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4"/>
          <w:szCs w:val="24"/>
          <w:color w:val="auto"/>
        </w:rPr>
      </w:pPr>
    </w:p>
    <w:p>
      <w:pPr>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653415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415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160655</wp:posOffset>
            </wp:positionV>
            <wp:extent cx="65341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4150" cy="571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2453005</wp:posOffset>
            </wp:positionH>
            <wp:positionV relativeFrom="paragraph">
              <wp:posOffset>49530</wp:posOffset>
            </wp:positionV>
            <wp:extent cx="162750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7505" cy="571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2453005</wp:posOffset>
            </wp:positionH>
            <wp:positionV relativeFrom="paragraph">
              <wp:posOffset>52070</wp:posOffset>
            </wp:positionV>
            <wp:extent cx="162750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7505" cy="5715"/>
                    </a:xfrm>
                    <a:prstGeom prst="rect">
                      <a:avLst/>
                    </a:prstGeom>
                    <a:noFill/>
                  </pic:spPr>
                </pic:pic>
              </a:graphicData>
            </a:graphic>
          </wp:anchor>
        </w:drawing>
      </w:r>
    </w:p>
    <w:p>
      <w:pPr>
        <w:spacing w:after="0" w:line="218" w:lineRule="exact"/>
        <w:rPr>
          <w:sz w:val="24"/>
          <w:szCs w:val="24"/>
          <w:color w:val="auto"/>
        </w:rPr>
      </w:pPr>
    </w:p>
    <w:p>
      <w:pPr>
        <w:ind w:left="380" w:hanging="376"/>
        <w:spacing w:after="0"/>
        <w:tabs>
          <w:tab w:leader="none" w:pos="380" w:val="left"/>
        </w:tabs>
        <w:numPr>
          <w:ilvl w:val="0"/>
          <w:numId w:val="1"/>
        </w:numPr>
        <w:rPr>
          <w:rFonts w:ascii="Arial" w:cs="Arial" w:eastAsia="Arial" w:hAnsi="Arial"/>
          <w:sz w:val="10"/>
          <w:szCs w:val="10"/>
          <w:color w:val="auto"/>
        </w:rPr>
      </w:pPr>
      <w:r>
        <w:rPr>
          <w:rFonts w:ascii="Times New Roman" w:cs="Times New Roman" w:eastAsia="Times New Roman" w:hAnsi="Times New Roman"/>
          <w:sz w:val="10"/>
          <w:szCs w:val="10"/>
          <w:b w:val="1"/>
          <w:bCs w:val="1"/>
          <w:color w:val="auto"/>
        </w:rPr>
        <w:t>Annual Report Pursuant to Section 13 or 15(d) of the Securities Exchange Act of 1934</w:t>
      </w:r>
    </w:p>
    <w:p>
      <w:pPr>
        <w:ind w:left="1280"/>
        <w:spacing w:after="0" w:line="229" w:lineRule="auto"/>
        <w:rPr>
          <w:rFonts w:ascii="Arial" w:cs="Arial" w:eastAsia="Arial" w:hAnsi="Arial"/>
          <w:sz w:val="10"/>
          <w:szCs w:val="10"/>
          <w:color w:val="auto"/>
        </w:rPr>
      </w:pPr>
      <w:r>
        <w:rPr>
          <w:rFonts w:ascii="Times New Roman" w:cs="Times New Roman" w:eastAsia="Times New Roman" w:hAnsi="Times New Roman"/>
          <w:sz w:val="10"/>
          <w:szCs w:val="10"/>
          <w:b w:val="1"/>
          <w:bCs w:val="1"/>
          <w:color w:val="auto"/>
        </w:rPr>
        <w:t>For the fiscal year ended December 31, 2020</w:t>
      </w:r>
    </w:p>
    <w:p>
      <w:pPr>
        <w:ind w:left="380" w:hanging="376"/>
        <w:spacing w:after="0" w:line="211" w:lineRule="auto"/>
        <w:tabs>
          <w:tab w:leader="none" w:pos="380" w:val="left"/>
        </w:tabs>
        <w:numPr>
          <w:ilvl w:val="0"/>
          <w:numId w:val="2"/>
        </w:numPr>
        <w:rPr>
          <w:rFonts w:ascii="Arial" w:cs="Arial" w:eastAsia="Arial" w:hAnsi="Arial"/>
          <w:sz w:val="10"/>
          <w:szCs w:val="10"/>
          <w:color w:val="auto"/>
        </w:rPr>
      </w:pPr>
      <w:r>
        <w:rPr>
          <w:rFonts w:ascii="Times New Roman" w:cs="Times New Roman" w:eastAsia="Times New Roman" w:hAnsi="Times New Roman"/>
          <w:sz w:val="10"/>
          <w:szCs w:val="10"/>
          <w:b w:val="1"/>
          <w:bCs w:val="1"/>
          <w:color w:val="auto"/>
        </w:rPr>
        <w:t>Transition Report Pursuant to Section 13 or 15(d) of the Securities Exchange Act of 1934</w:t>
      </w:r>
    </w:p>
    <w:p>
      <w:pPr>
        <w:ind w:left="1280"/>
        <w:spacing w:after="0"/>
        <w:tabs>
          <w:tab w:leader="none" w:pos="3160" w:val="left"/>
          <w:tab w:leader="none" w:pos="3780" w:val="left"/>
        </w:tabs>
        <w:rPr>
          <w:sz w:val="20"/>
          <w:szCs w:val="20"/>
          <w:color w:val="auto"/>
        </w:rPr>
      </w:pPr>
      <w:r>
        <w:rPr>
          <w:rFonts w:ascii="Times New Roman" w:cs="Times New Roman" w:eastAsia="Times New Roman" w:hAnsi="Times New Roman"/>
          <w:sz w:val="10"/>
          <w:szCs w:val="10"/>
          <w:b w:val="1"/>
          <w:bCs w:val="1"/>
          <w:color w:val="auto"/>
        </w:rPr>
        <w:t>For the Transition Period From</w:t>
      </w:r>
      <w:r>
        <w:rPr>
          <w:sz w:val="20"/>
          <w:szCs w:val="20"/>
          <w:color w:val="auto"/>
        </w:rPr>
        <w:tab/>
      </w:r>
      <w:r>
        <w:rPr>
          <w:rFonts w:ascii="Times New Roman" w:cs="Times New Roman" w:eastAsia="Times New Roman" w:hAnsi="Times New Roman"/>
          <w:sz w:val="10"/>
          <w:szCs w:val="10"/>
          <w:b w:val="1"/>
          <w:bCs w:val="1"/>
          <w:color w:val="auto"/>
        </w:rPr>
        <w:t>to</w:t>
      </w:r>
      <w:r>
        <w:rPr>
          <w:sz w:val="20"/>
          <w:szCs w:val="20"/>
          <w:color w:val="auto"/>
        </w:rPr>
        <w:tab/>
      </w:r>
      <w:r>
        <w:rPr>
          <w:rFonts w:ascii="Times New Roman" w:cs="Times New Roman" w:eastAsia="Times New Roman" w:hAnsi="Times New Roman"/>
          <w:sz w:val="8"/>
          <w:szCs w:val="8"/>
          <w:b w:val="1"/>
          <w:bCs w:val="1"/>
          <w:color w:val="auto"/>
        </w:rPr>
        <w:t>.</w:t>
      </w:r>
    </w:p>
    <w:p>
      <w:pPr>
        <w:spacing w:after="0" w:line="82" w:lineRule="exact"/>
        <w:rPr>
          <w:sz w:val="24"/>
          <w:szCs w:val="24"/>
          <w:color w:val="auto"/>
        </w:rPr>
      </w:pPr>
    </w:p>
    <w:p>
      <w:pPr>
        <w:jc w:val="right"/>
        <w:ind w:right="4320"/>
        <w:spacing w:after="0"/>
        <w:tabs>
          <w:tab w:leader="none" w:pos="2120" w:val="left"/>
        </w:tabs>
        <w:rPr>
          <w:sz w:val="20"/>
          <w:szCs w:val="20"/>
          <w:color w:val="auto"/>
        </w:rPr>
      </w:pPr>
      <w:r>
        <w:rPr>
          <w:rFonts w:ascii="Times New Roman" w:cs="Times New Roman" w:eastAsia="Times New Roman" w:hAnsi="Times New Roman"/>
          <w:sz w:val="10"/>
          <w:szCs w:val="10"/>
          <w:b w:val="1"/>
          <w:bCs w:val="1"/>
          <w:color w:val="auto"/>
        </w:rPr>
        <w:t>Commission file number</w:t>
      </w:r>
      <w:r>
        <w:rPr>
          <w:sz w:val="20"/>
          <w:szCs w:val="20"/>
          <w:color w:val="auto"/>
        </w:rPr>
        <w:tab/>
      </w:r>
      <w:r>
        <w:rPr>
          <w:rFonts w:ascii="Times New Roman" w:cs="Times New Roman" w:eastAsia="Times New Roman" w:hAnsi="Times New Roman"/>
          <w:sz w:val="10"/>
          <w:szCs w:val="10"/>
          <w:b w:val="1"/>
          <w:bCs w:val="1"/>
          <w:color w:val="auto"/>
        </w:rPr>
        <w:t>001-32336 (Digital Realty Trust, Inc.)</w:t>
      </w:r>
    </w:p>
    <w:p>
      <w:pPr>
        <w:spacing w:after="0" w:line="1" w:lineRule="exact"/>
        <w:rPr>
          <w:sz w:val="24"/>
          <w:szCs w:val="24"/>
          <w:color w:val="auto"/>
        </w:rPr>
      </w:pPr>
    </w:p>
    <w:p>
      <w:pPr>
        <w:jc w:val="right"/>
        <w:ind w:right="4320"/>
        <w:spacing w:after="0"/>
        <w:rPr>
          <w:sz w:val="20"/>
          <w:szCs w:val="20"/>
          <w:color w:val="auto"/>
        </w:rPr>
      </w:pPr>
      <w:r>
        <w:rPr>
          <w:rFonts w:ascii="Times New Roman" w:cs="Times New Roman" w:eastAsia="Times New Roman" w:hAnsi="Times New Roman"/>
          <w:sz w:val="10"/>
          <w:szCs w:val="10"/>
          <w:b w:val="1"/>
          <w:bCs w:val="1"/>
          <w:color w:val="auto"/>
        </w:rPr>
        <w:t>000-54023 (Digital Realty Trust,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2453005</wp:posOffset>
            </wp:positionH>
            <wp:positionV relativeFrom="paragraph">
              <wp:posOffset>140970</wp:posOffset>
            </wp:positionV>
            <wp:extent cx="162750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7505" cy="5715"/>
                    </a:xfrm>
                    <a:prstGeom prst="rect">
                      <a:avLst/>
                    </a:prstGeom>
                    <a:noFill/>
                  </pic:spPr>
                </pic:pic>
              </a:graphicData>
            </a:graphic>
          </wp:anchor>
        </w:drawing>
      </w:r>
    </w:p>
    <w:p>
      <w:pPr>
        <w:spacing w:after="0" w:line="255"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5"/>
          <w:szCs w:val="15"/>
          <w:b w:val="1"/>
          <w:bCs w:val="1"/>
          <w:color w:val="auto"/>
        </w:rPr>
        <w:t>DIGITAL REALTY TRUST, INC.</w:t>
      </w:r>
    </w:p>
    <w:p>
      <w:pPr>
        <w:spacing w:after="0" w:line="14"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5"/>
          <w:szCs w:val="15"/>
          <w:b w:val="1"/>
          <w:bCs w:val="1"/>
          <w:color w:val="auto"/>
        </w:rPr>
        <w:t>DIGITAL REALTY TRUST, L.P.</w:t>
      </w:r>
    </w:p>
    <w:p>
      <w:pPr>
        <w:jc w:val="center"/>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2453005</wp:posOffset>
            </wp:positionH>
            <wp:positionV relativeFrom="paragraph">
              <wp:posOffset>44450</wp:posOffset>
            </wp:positionV>
            <wp:extent cx="162750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7505" cy="5715"/>
                    </a:xfrm>
                    <a:prstGeom prst="rect">
                      <a:avLst/>
                    </a:prstGeom>
                    <a:noFill/>
                  </pic:spPr>
                </pic:pic>
              </a:graphicData>
            </a:graphic>
          </wp:anchor>
        </w:drawing>
      </w:r>
    </w:p>
    <w:p>
      <w:pPr>
        <w:sectPr>
          <w:pgSz w:w="11900" w:h="16838" w:orient="portrait"/>
          <w:cols w:equalWidth="0" w:num="1">
            <w:col w:w="10280"/>
          </w:cols>
          <w:pgMar w:left="800" w:top="506" w:right="8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Digital Realty Trust, Inc.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Digital Realty Trust, L.P.</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3500" w:type="dxa"/>
            <w:vAlign w:val="bottom"/>
            <w:gridSpan w:val="3"/>
          </w:tcPr>
          <w:p>
            <w:pPr>
              <w:jc w:val="center"/>
              <w:ind w:right="809"/>
              <w:spacing w:after="0"/>
              <w:rPr>
                <w:sz w:val="20"/>
                <w:szCs w:val="20"/>
                <w:color w:val="auto"/>
              </w:rPr>
            </w:pPr>
            <w:r>
              <w:rPr>
                <w:rFonts w:ascii="Times New Roman" w:cs="Times New Roman" w:eastAsia="Times New Roman" w:hAnsi="Times New Roman"/>
                <w:sz w:val="10"/>
                <w:szCs w:val="10"/>
                <w:b w:val="1"/>
                <w:bCs w:val="1"/>
                <w:color w:val="auto"/>
              </w:rPr>
              <w:t>Maryland (Digital Realty Trust, Inc.)</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60" w:type="dxa"/>
            <w:vAlign w:val="bottom"/>
          </w:tcPr>
          <w:p>
            <w:pPr>
              <w:jc w:val="center"/>
              <w:ind w:right="1690"/>
              <w:spacing w:after="0"/>
              <w:rPr>
                <w:sz w:val="20"/>
                <w:szCs w:val="20"/>
                <w:color w:val="auto"/>
              </w:rPr>
            </w:pPr>
            <w:r>
              <w:rPr>
                <w:rFonts w:ascii="Times New Roman" w:cs="Times New Roman" w:eastAsia="Times New Roman" w:hAnsi="Times New Roman"/>
                <w:sz w:val="10"/>
                <w:szCs w:val="10"/>
                <w:b w:val="1"/>
                <w:bCs w:val="1"/>
                <w:color w:val="auto"/>
              </w:rPr>
              <w:t>26-0081711</w:t>
            </w:r>
          </w:p>
        </w:tc>
        <w:tc>
          <w:tcPr>
            <w:tcW w:w="0" w:type="dxa"/>
            <w:vAlign w:val="bottom"/>
          </w:tcPr>
          <w:p>
            <w:pPr>
              <w:spacing w:after="0"/>
              <w:rPr>
                <w:sz w:val="1"/>
                <w:szCs w:val="1"/>
                <w:color w:val="auto"/>
              </w:rPr>
            </w:pPr>
          </w:p>
        </w:tc>
      </w:tr>
      <w:tr>
        <w:trPr>
          <w:trHeight w:val="132"/>
        </w:trPr>
        <w:tc>
          <w:tcPr>
            <w:tcW w:w="3500" w:type="dxa"/>
            <w:vAlign w:val="bottom"/>
            <w:gridSpan w:val="3"/>
          </w:tcPr>
          <w:p>
            <w:pPr>
              <w:jc w:val="center"/>
              <w:ind w:right="829"/>
              <w:spacing w:after="0"/>
              <w:rPr>
                <w:sz w:val="20"/>
                <w:szCs w:val="20"/>
                <w:color w:val="auto"/>
              </w:rPr>
            </w:pPr>
            <w:r>
              <w:rPr>
                <w:rFonts w:ascii="Times New Roman" w:cs="Times New Roman" w:eastAsia="Times New Roman" w:hAnsi="Times New Roman"/>
                <w:sz w:val="10"/>
                <w:szCs w:val="10"/>
                <w:b w:val="1"/>
                <w:bCs w:val="1"/>
                <w:color w:val="auto"/>
              </w:rPr>
              <w:t>Maryland (Digital Realty Trust, L.P.)</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60" w:type="dxa"/>
            <w:vAlign w:val="bottom"/>
          </w:tcPr>
          <w:p>
            <w:pPr>
              <w:jc w:val="center"/>
              <w:ind w:right="1690"/>
              <w:spacing w:after="0"/>
              <w:rPr>
                <w:sz w:val="20"/>
                <w:szCs w:val="20"/>
                <w:color w:val="auto"/>
              </w:rPr>
            </w:pPr>
            <w:r>
              <w:rPr>
                <w:rFonts w:ascii="Times New Roman" w:cs="Times New Roman" w:eastAsia="Times New Roman" w:hAnsi="Times New Roman"/>
                <w:sz w:val="10"/>
                <w:szCs w:val="10"/>
                <w:b w:val="1"/>
                <w:bCs w:val="1"/>
                <w:color w:val="auto"/>
              </w:rPr>
              <w:t>20-2402955</w:t>
            </w:r>
          </w:p>
        </w:tc>
        <w:tc>
          <w:tcPr>
            <w:tcW w:w="0" w:type="dxa"/>
            <w:vAlign w:val="bottom"/>
          </w:tcPr>
          <w:p>
            <w:pPr>
              <w:spacing w:after="0"/>
              <w:rPr>
                <w:sz w:val="1"/>
                <w:szCs w:val="1"/>
                <w:color w:val="auto"/>
              </w:rPr>
            </w:pPr>
          </w:p>
        </w:tc>
      </w:tr>
      <w:tr>
        <w:trPr>
          <w:trHeight w:val="152"/>
        </w:trPr>
        <w:tc>
          <w:tcPr>
            <w:tcW w:w="3500" w:type="dxa"/>
            <w:vAlign w:val="bottom"/>
            <w:gridSpan w:val="3"/>
          </w:tcPr>
          <w:p>
            <w:pPr>
              <w:jc w:val="center"/>
              <w:ind w:right="829"/>
              <w:spacing w:after="0"/>
              <w:rPr>
                <w:sz w:val="20"/>
                <w:szCs w:val="20"/>
                <w:color w:val="auto"/>
              </w:rPr>
            </w:pPr>
            <w:r>
              <w:rPr>
                <w:rFonts w:ascii="Times New Roman" w:cs="Times New Roman" w:eastAsia="Times New Roman" w:hAnsi="Times New Roman"/>
                <w:sz w:val="10"/>
                <w:szCs w:val="10"/>
                <w:b w:val="1"/>
                <w:bCs w:val="1"/>
                <w:color w:val="auto"/>
              </w:rPr>
              <w:t>(State or other jurisdiction of incorporation or organization)</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tcPr>
          <w:p>
            <w:pPr>
              <w:jc w:val="center"/>
              <w:ind w:right="1690"/>
              <w:spacing w:after="0"/>
              <w:rPr>
                <w:sz w:val="20"/>
                <w:szCs w:val="20"/>
                <w:color w:val="auto"/>
              </w:rPr>
            </w:pPr>
            <w:r>
              <w:rPr>
                <w:rFonts w:ascii="Times New Roman" w:cs="Times New Roman" w:eastAsia="Times New Roman" w:hAnsi="Times New Roman"/>
                <w:sz w:val="10"/>
                <w:szCs w:val="10"/>
                <w:b w:val="1"/>
                <w:bCs w:val="1"/>
                <w:color w:val="auto"/>
              </w:rPr>
              <w:t>(IRS employer identification number)</w:t>
            </w:r>
          </w:p>
        </w:tc>
        <w:tc>
          <w:tcPr>
            <w:tcW w:w="0" w:type="dxa"/>
            <w:vAlign w:val="bottom"/>
          </w:tcPr>
          <w:p>
            <w:pPr>
              <w:spacing w:after="0"/>
              <w:rPr>
                <w:sz w:val="1"/>
                <w:szCs w:val="1"/>
                <w:color w:val="auto"/>
              </w:rPr>
            </w:pPr>
          </w:p>
        </w:tc>
      </w:tr>
      <w:tr>
        <w:trPr>
          <w:trHeight w:val="124"/>
        </w:trPr>
        <w:tc>
          <w:tcPr>
            <w:tcW w:w="3500" w:type="dxa"/>
            <w:vAlign w:val="bottom"/>
            <w:gridSpan w:val="3"/>
          </w:tcPr>
          <w:p>
            <w:pPr>
              <w:jc w:val="center"/>
              <w:ind w:right="829"/>
              <w:spacing w:after="0"/>
              <w:rPr>
                <w:sz w:val="20"/>
                <w:szCs w:val="20"/>
                <w:color w:val="auto"/>
              </w:rPr>
            </w:pPr>
            <w:r>
              <w:rPr>
                <w:rFonts w:ascii="Times New Roman" w:cs="Times New Roman" w:eastAsia="Times New Roman" w:hAnsi="Times New Roman"/>
                <w:sz w:val="10"/>
                <w:szCs w:val="10"/>
                <w:b w:val="1"/>
                <w:bCs w:val="1"/>
                <w:color w:val="auto"/>
              </w:rPr>
              <w:t>5707 Southwest Parkway, Building 1, Suite 275</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60" w:type="dxa"/>
            <w:vAlign w:val="bottom"/>
            <w:vMerge w:val="restart"/>
          </w:tcPr>
          <w:p>
            <w:pPr>
              <w:jc w:val="center"/>
              <w:ind w:right="1690"/>
              <w:spacing w:after="0"/>
              <w:rPr>
                <w:sz w:val="20"/>
                <w:szCs w:val="20"/>
                <w:color w:val="auto"/>
              </w:rPr>
            </w:pPr>
            <w:r>
              <w:rPr>
                <w:rFonts w:ascii="Times New Roman" w:cs="Times New Roman" w:eastAsia="Times New Roman" w:hAnsi="Times New Roman"/>
                <w:sz w:val="10"/>
                <w:szCs w:val="10"/>
                <w:b w:val="1"/>
                <w:bCs w:val="1"/>
                <w:color w:val="auto"/>
              </w:rPr>
              <w:t>78735</w:t>
            </w:r>
          </w:p>
        </w:tc>
        <w:tc>
          <w:tcPr>
            <w:tcW w:w="0" w:type="dxa"/>
            <w:vAlign w:val="bottom"/>
          </w:tcPr>
          <w:p>
            <w:pPr>
              <w:spacing w:after="0"/>
              <w:rPr>
                <w:sz w:val="1"/>
                <w:szCs w:val="1"/>
                <w:color w:val="auto"/>
              </w:rPr>
            </w:pPr>
          </w:p>
        </w:tc>
      </w:tr>
      <w:tr>
        <w:trPr>
          <w:trHeight w:val="132"/>
        </w:trPr>
        <w:tc>
          <w:tcPr>
            <w:tcW w:w="740" w:type="dxa"/>
            <w:vAlign w:val="bottom"/>
          </w:tcPr>
          <w:p>
            <w:pPr>
              <w:spacing w:after="0"/>
              <w:rPr>
                <w:sz w:val="11"/>
                <w:szCs w:val="11"/>
                <w:color w:val="auto"/>
              </w:rPr>
            </w:pPr>
          </w:p>
        </w:tc>
        <w:tc>
          <w:tcPr>
            <w:tcW w:w="2760" w:type="dxa"/>
            <w:vAlign w:val="bottom"/>
            <w:gridSpan w:val="2"/>
          </w:tcPr>
          <w:p>
            <w:pPr>
              <w:jc w:val="center"/>
              <w:ind w:right="1569"/>
              <w:spacing w:after="0"/>
              <w:rPr>
                <w:sz w:val="20"/>
                <w:szCs w:val="20"/>
                <w:color w:val="auto"/>
              </w:rPr>
            </w:pPr>
            <w:r>
              <w:rPr>
                <w:rFonts w:ascii="Times New Roman" w:cs="Times New Roman" w:eastAsia="Times New Roman" w:hAnsi="Times New Roman"/>
                <w:sz w:val="10"/>
                <w:szCs w:val="10"/>
                <w:b w:val="1"/>
                <w:bCs w:val="1"/>
                <w:color w:val="auto"/>
                <w:w w:val="99"/>
              </w:rPr>
              <w:t>Austin, Texas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500" w:type="dxa"/>
            <w:vAlign w:val="bottom"/>
            <w:gridSpan w:val="3"/>
          </w:tcPr>
          <w:p>
            <w:pPr>
              <w:jc w:val="center"/>
              <w:ind w:right="82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tcPr>
          <w:p>
            <w:pPr>
              <w:jc w:val="center"/>
              <w:ind w:right="1690"/>
              <w:spacing w:after="0"/>
              <w:rPr>
                <w:sz w:val="20"/>
                <w:szCs w:val="20"/>
                <w:color w:val="auto"/>
              </w:rPr>
            </w:pPr>
            <w:r>
              <w:rPr>
                <w:rFonts w:ascii="Times New Roman" w:cs="Times New Roman" w:eastAsia="Times New Roman" w:hAnsi="Times New Roman"/>
                <w:sz w:val="10"/>
                <w:szCs w:val="10"/>
                <w:b w:val="1"/>
                <w:bCs w:val="1"/>
                <w:color w:val="auto"/>
                <w:w w:val="99"/>
              </w:rPr>
              <w:t>(Zip Code)</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gridSpan w:val="3"/>
          </w:tcPr>
          <w:p>
            <w:pPr>
              <w:jc w:val="center"/>
              <w:ind w:right="510"/>
              <w:spacing w:after="0"/>
              <w:rPr>
                <w:sz w:val="20"/>
                <w:szCs w:val="20"/>
                <w:color w:val="auto"/>
              </w:rPr>
            </w:pPr>
            <w:r>
              <w:rPr>
                <w:rFonts w:ascii="Times New Roman" w:cs="Times New Roman" w:eastAsia="Times New Roman" w:hAnsi="Times New Roman"/>
                <w:sz w:val="10"/>
                <w:szCs w:val="10"/>
                <w:b w:val="1"/>
                <w:bCs w:val="1"/>
                <w:color w:val="auto"/>
              </w:rPr>
              <w:t>(737) 281-0101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660" w:type="dxa"/>
            <w:vAlign w:val="bottom"/>
            <w:gridSpan w:val="6"/>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7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560" w:type="dxa"/>
            <w:vAlign w:val="bottom"/>
            <w:tcBorders>
              <w:bottom w:val="single" w:sz="8" w:color="auto"/>
            </w:tcBorders>
            <w:gridSpan w:val="5"/>
          </w:tcPr>
          <w:p>
            <w:pPr>
              <w:spacing w:after="0"/>
              <w:rPr>
                <w:sz w:val="5"/>
                <w:szCs w:val="5"/>
                <w:color w:val="auto"/>
              </w:rPr>
            </w:pPr>
          </w:p>
        </w:tc>
        <w:tc>
          <w:tcPr>
            <w:tcW w:w="1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60" w:type="dxa"/>
            <w:vAlign w:val="bottom"/>
            <w:gridSpan w:val="6"/>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2760" w:type="dxa"/>
            <w:vAlign w:val="bottom"/>
            <w:gridSpan w:val="2"/>
          </w:tcPr>
          <w:p>
            <w:pPr>
              <w:jc w:val="center"/>
              <w:ind w:left="43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Trading Symbols(s)</w:t>
            </w:r>
          </w:p>
        </w:tc>
        <w:tc>
          <w:tcPr>
            <w:tcW w:w="3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 on which registered</w:t>
            </w:r>
          </w:p>
        </w:tc>
        <w:tc>
          <w:tcPr>
            <w:tcW w:w="0" w:type="dxa"/>
            <w:vAlign w:val="bottom"/>
          </w:tcPr>
          <w:p>
            <w:pPr>
              <w:spacing w:after="0"/>
              <w:rPr>
                <w:sz w:val="1"/>
                <w:szCs w:val="1"/>
                <w:color w:val="auto"/>
              </w:rPr>
            </w:pPr>
          </w:p>
        </w:tc>
      </w:tr>
      <w:tr>
        <w:trPr>
          <w:trHeight w:val="79"/>
        </w:trPr>
        <w:tc>
          <w:tcPr>
            <w:tcW w:w="740" w:type="dxa"/>
            <w:vAlign w:val="bottom"/>
          </w:tcPr>
          <w:p>
            <w:pPr>
              <w:spacing w:after="0"/>
              <w:rPr>
                <w:sz w:val="6"/>
                <w:szCs w:val="6"/>
                <w:color w:val="auto"/>
              </w:rPr>
            </w:pPr>
          </w:p>
        </w:tc>
        <w:tc>
          <w:tcPr>
            <w:tcW w:w="2760" w:type="dxa"/>
            <w:vAlign w:val="bottom"/>
            <w:tcBorders>
              <w:top w:val="single" w:sz="8" w:color="auto"/>
            </w:tcBorders>
            <w:gridSpan w:val="2"/>
          </w:tcPr>
          <w:p>
            <w:pPr>
              <w:jc w:val="center"/>
              <w:ind w:left="450"/>
              <w:spacing w:after="0" w:line="79" w:lineRule="exact"/>
              <w:rPr>
                <w:sz w:val="20"/>
                <w:szCs w:val="20"/>
                <w:color w:val="auto"/>
              </w:rPr>
            </w:pPr>
            <w:r>
              <w:rPr>
                <w:rFonts w:ascii="Times New Roman" w:cs="Times New Roman" w:eastAsia="Times New Roman" w:hAnsi="Times New Roman"/>
                <w:sz w:val="9"/>
                <w:szCs w:val="9"/>
                <w:color w:val="auto"/>
              </w:rPr>
              <w:t>Common Stock, $0.01 par value per share</w:t>
            </w:r>
          </w:p>
        </w:tc>
        <w:tc>
          <w:tcPr>
            <w:tcW w:w="5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Borders>
              <w:top w:val="single" w:sz="8" w:color="auto"/>
            </w:tcBorders>
          </w:tcPr>
          <w:p>
            <w:pPr>
              <w:jc w:val="center"/>
              <w:spacing w:after="0" w:line="79" w:lineRule="exact"/>
              <w:rPr>
                <w:sz w:val="20"/>
                <w:szCs w:val="20"/>
                <w:color w:val="auto"/>
              </w:rPr>
            </w:pPr>
            <w:r>
              <w:rPr>
                <w:rFonts w:ascii="Times New Roman" w:cs="Times New Roman" w:eastAsia="Times New Roman" w:hAnsi="Times New Roman"/>
                <w:sz w:val="9"/>
                <w:szCs w:val="9"/>
                <w:color w:val="auto"/>
              </w:rPr>
              <w:t>DLR</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60" w:type="dxa"/>
            <w:vAlign w:val="bottom"/>
            <w:tcBorders>
              <w:top w:val="single" w:sz="8" w:color="auto"/>
            </w:tcBorders>
          </w:tcPr>
          <w:p>
            <w:pPr>
              <w:jc w:val="center"/>
              <w:spacing w:after="0" w:line="79" w:lineRule="exact"/>
              <w:rPr>
                <w:sz w:val="20"/>
                <w:szCs w:val="20"/>
                <w:color w:val="auto"/>
              </w:rPr>
            </w:pPr>
            <w:r>
              <w:rPr>
                <w:rFonts w:ascii="Times New Roman" w:cs="Times New Roman" w:eastAsia="Times New Roman" w:hAnsi="Times New Roman"/>
                <w:sz w:val="9"/>
                <w:szCs w:val="9"/>
                <w:color w:val="auto"/>
              </w:rPr>
              <w:t>New York Stock Exchange</w:t>
            </w:r>
          </w:p>
        </w:tc>
        <w:tc>
          <w:tcPr>
            <w:tcW w:w="0" w:type="dxa"/>
            <w:vAlign w:val="bottom"/>
          </w:tcPr>
          <w:p>
            <w:pPr>
              <w:spacing w:after="0"/>
              <w:rPr>
                <w:sz w:val="1"/>
                <w:szCs w:val="1"/>
                <w:color w:val="auto"/>
              </w:rPr>
            </w:pPr>
          </w:p>
        </w:tc>
      </w:tr>
      <w:tr>
        <w:trPr>
          <w:trHeight w:val="104"/>
        </w:trPr>
        <w:tc>
          <w:tcPr>
            <w:tcW w:w="740" w:type="dxa"/>
            <w:vAlign w:val="bottom"/>
          </w:tcPr>
          <w:p>
            <w:pPr>
              <w:spacing w:after="0"/>
              <w:rPr>
                <w:sz w:val="9"/>
                <w:szCs w:val="9"/>
                <w:color w:val="auto"/>
              </w:rPr>
            </w:pPr>
          </w:p>
        </w:tc>
        <w:tc>
          <w:tcPr>
            <w:tcW w:w="2760" w:type="dxa"/>
            <w:vAlign w:val="bottom"/>
            <w:gridSpan w:val="2"/>
          </w:tcPr>
          <w:p>
            <w:pPr>
              <w:jc w:val="center"/>
              <w:ind w:left="450"/>
              <w:spacing w:after="0" w:line="104" w:lineRule="exact"/>
              <w:rPr>
                <w:sz w:val="20"/>
                <w:szCs w:val="20"/>
                <w:color w:val="auto"/>
              </w:rPr>
            </w:pPr>
            <w:r>
              <w:rPr>
                <w:rFonts w:ascii="Times New Roman" w:cs="Times New Roman" w:eastAsia="Times New Roman" w:hAnsi="Times New Roman"/>
                <w:sz w:val="10"/>
                <w:szCs w:val="10"/>
                <w:color w:val="auto"/>
              </w:rPr>
              <w:t>Series C Cumulative Redeemable Perpetual</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3"/>
          </w:tcPr>
          <w:p>
            <w:pPr>
              <w:jc w:val="center"/>
              <w:ind w:right="240"/>
              <w:spacing w:after="0" w:line="104" w:lineRule="exact"/>
              <w:rPr>
                <w:sz w:val="20"/>
                <w:szCs w:val="20"/>
                <w:color w:val="auto"/>
              </w:rPr>
            </w:pPr>
            <w:r>
              <w:rPr>
                <w:rFonts w:ascii="Times New Roman" w:cs="Times New Roman" w:eastAsia="Times New Roman" w:hAnsi="Times New Roman"/>
                <w:sz w:val="10"/>
                <w:szCs w:val="10"/>
                <w:color w:val="auto"/>
                <w:w w:val="98"/>
              </w:rPr>
              <w:t>DLR Pr C</w:t>
            </w:r>
          </w:p>
        </w:tc>
        <w:tc>
          <w:tcPr>
            <w:tcW w:w="376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w w:val="98"/>
              </w:rPr>
              <w:t>New York Stock Exchange</w:t>
            </w:r>
          </w:p>
        </w:tc>
        <w:tc>
          <w:tcPr>
            <w:tcW w:w="0" w:type="dxa"/>
            <w:vAlign w:val="bottom"/>
          </w:tcPr>
          <w:p>
            <w:pPr>
              <w:spacing w:after="0"/>
              <w:rPr>
                <w:sz w:val="1"/>
                <w:szCs w:val="1"/>
                <w:color w:val="auto"/>
              </w:rPr>
            </w:pPr>
          </w:p>
        </w:tc>
      </w:tr>
      <w:tr>
        <w:trPr>
          <w:trHeight w:val="104"/>
        </w:trPr>
        <w:tc>
          <w:tcPr>
            <w:tcW w:w="740" w:type="dxa"/>
            <w:vAlign w:val="bottom"/>
          </w:tcPr>
          <w:p>
            <w:pPr>
              <w:spacing w:after="0"/>
              <w:rPr>
                <w:sz w:val="9"/>
                <w:szCs w:val="9"/>
                <w:color w:val="auto"/>
              </w:rPr>
            </w:pPr>
          </w:p>
        </w:tc>
        <w:tc>
          <w:tcPr>
            <w:tcW w:w="2760" w:type="dxa"/>
            <w:vAlign w:val="bottom"/>
            <w:gridSpan w:val="2"/>
          </w:tcPr>
          <w:p>
            <w:pPr>
              <w:jc w:val="center"/>
              <w:ind w:left="450"/>
              <w:spacing w:after="0" w:line="104" w:lineRule="exact"/>
              <w:rPr>
                <w:sz w:val="20"/>
                <w:szCs w:val="20"/>
                <w:color w:val="auto"/>
              </w:rPr>
            </w:pPr>
            <w:r>
              <w:rPr>
                <w:rFonts w:ascii="Times New Roman" w:cs="Times New Roman" w:eastAsia="Times New Roman" w:hAnsi="Times New Roman"/>
                <w:sz w:val="10"/>
                <w:szCs w:val="10"/>
                <w:color w:val="auto"/>
              </w:rPr>
              <w:t>Preferred Stock, $0.01 par value per share</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40" w:type="dxa"/>
            <w:vAlign w:val="bottom"/>
          </w:tcPr>
          <w:p>
            <w:pPr>
              <w:spacing w:after="0"/>
              <w:rPr>
                <w:sz w:val="9"/>
                <w:szCs w:val="9"/>
                <w:color w:val="auto"/>
              </w:rPr>
            </w:pPr>
          </w:p>
        </w:tc>
        <w:tc>
          <w:tcPr>
            <w:tcW w:w="2760" w:type="dxa"/>
            <w:vAlign w:val="bottom"/>
            <w:gridSpan w:val="2"/>
          </w:tcPr>
          <w:p>
            <w:pPr>
              <w:jc w:val="center"/>
              <w:ind w:left="450"/>
              <w:spacing w:after="0" w:line="104" w:lineRule="exact"/>
              <w:rPr>
                <w:sz w:val="20"/>
                <w:szCs w:val="20"/>
                <w:color w:val="auto"/>
              </w:rPr>
            </w:pPr>
            <w:r>
              <w:rPr>
                <w:rFonts w:ascii="Times New Roman" w:cs="Times New Roman" w:eastAsia="Times New Roman" w:hAnsi="Times New Roman"/>
                <w:sz w:val="10"/>
                <w:szCs w:val="10"/>
                <w:color w:val="auto"/>
              </w:rPr>
              <w:t>Series J Cumulative Redeemable Preferred</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3"/>
          </w:tcPr>
          <w:p>
            <w:pPr>
              <w:jc w:val="center"/>
              <w:ind w:right="240"/>
              <w:spacing w:after="0" w:line="104" w:lineRule="exact"/>
              <w:rPr>
                <w:sz w:val="20"/>
                <w:szCs w:val="20"/>
                <w:color w:val="auto"/>
              </w:rPr>
            </w:pPr>
            <w:r>
              <w:rPr>
                <w:rFonts w:ascii="Times New Roman" w:cs="Times New Roman" w:eastAsia="Times New Roman" w:hAnsi="Times New Roman"/>
                <w:sz w:val="10"/>
                <w:szCs w:val="10"/>
                <w:color w:val="auto"/>
              </w:rPr>
              <w:t>DLR Pr J</w:t>
            </w:r>
          </w:p>
        </w:tc>
        <w:tc>
          <w:tcPr>
            <w:tcW w:w="376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w w:val="98"/>
              </w:rPr>
              <w:t>New York Stock Exchange</w:t>
            </w:r>
          </w:p>
        </w:tc>
        <w:tc>
          <w:tcPr>
            <w:tcW w:w="0" w:type="dxa"/>
            <w:vAlign w:val="bottom"/>
          </w:tcPr>
          <w:p>
            <w:pPr>
              <w:spacing w:after="0"/>
              <w:rPr>
                <w:sz w:val="1"/>
                <w:szCs w:val="1"/>
                <w:color w:val="auto"/>
              </w:rPr>
            </w:pPr>
          </w:p>
        </w:tc>
      </w:tr>
      <w:tr>
        <w:trPr>
          <w:trHeight w:val="104"/>
        </w:trPr>
        <w:tc>
          <w:tcPr>
            <w:tcW w:w="740" w:type="dxa"/>
            <w:vAlign w:val="bottom"/>
          </w:tcPr>
          <w:p>
            <w:pPr>
              <w:spacing w:after="0"/>
              <w:rPr>
                <w:sz w:val="9"/>
                <w:szCs w:val="9"/>
                <w:color w:val="auto"/>
              </w:rPr>
            </w:pPr>
          </w:p>
        </w:tc>
        <w:tc>
          <w:tcPr>
            <w:tcW w:w="2760" w:type="dxa"/>
            <w:vAlign w:val="bottom"/>
            <w:gridSpan w:val="2"/>
          </w:tcPr>
          <w:p>
            <w:pPr>
              <w:jc w:val="center"/>
              <w:ind w:left="450"/>
              <w:spacing w:after="0" w:line="104" w:lineRule="exact"/>
              <w:rPr>
                <w:sz w:val="20"/>
                <w:szCs w:val="20"/>
                <w:color w:val="auto"/>
              </w:rPr>
            </w:pPr>
            <w:r>
              <w:rPr>
                <w:rFonts w:ascii="Times New Roman" w:cs="Times New Roman" w:eastAsia="Times New Roman" w:hAnsi="Times New Roman"/>
                <w:sz w:val="10"/>
                <w:szCs w:val="10"/>
                <w:color w:val="auto"/>
              </w:rPr>
              <w:t>Stock, $0.01 par value per share</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40" w:type="dxa"/>
            <w:vAlign w:val="bottom"/>
          </w:tcPr>
          <w:p>
            <w:pPr>
              <w:spacing w:after="0"/>
              <w:rPr>
                <w:sz w:val="9"/>
                <w:szCs w:val="9"/>
                <w:color w:val="auto"/>
              </w:rPr>
            </w:pPr>
          </w:p>
        </w:tc>
        <w:tc>
          <w:tcPr>
            <w:tcW w:w="2760" w:type="dxa"/>
            <w:vAlign w:val="bottom"/>
            <w:gridSpan w:val="2"/>
          </w:tcPr>
          <w:p>
            <w:pPr>
              <w:jc w:val="center"/>
              <w:ind w:left="450"/>
              <w:spacing w:after="0" w:line="104" w:lineRule="exact"/>
              <w:rPr>
                <w:sz w:val="20"/>
                <w:szCs w:val="20"/>
                <w:color w:val="auto"/>
              </w:rPr>
            </w:pPr>
            <w:r>
              <w:rPr>
                <w:rFonts w:ascii="Times New Roman" w:cs="Times New Roman" w:eastAsia="Times New Roman" w:hAnsi="Times New Roman"/>
                <w:sz w:val="10"/>
                <w:szCs w:val="10"/>
                <w:color w:val="auto"/>
              </w:rPr>
              <w:t>Series K Cumulative Redeemable Preferred</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3"/>
          </w:tcPr>
          <w:p>
            <w:pPr>
              <w:jc w:val="center"/>
              <w:ind w:right="240"/>
              <w:spacing w:after="0" w:line="104" w:lineRule="exact"/>
              <w:rPr>
                <w:sz w:val="20"/>
                <w:szCs w:val="20"/>
                <w:color w:val="auto"/>
              </w:rPr>
            </w:pPr>
            <w:r>
              <w:rPr>
                <w:rFonts w:ascii="Times New Roman" w:cs="Times New Roman" w:eastAsia="Times New Roman" w:hAnsi="Times New Roman"/>
                <w:sz w:val="10"/>
                <w:szCs w:val="10"/>
                <w:color w:val="auto"/>
                <w:w w:val="97"/>
              </w:rPr>
              <w:t>DLR Pr K</w:t>
            </w:r>
          </w:p>
        </w:tc>
        <w:tc>
          <w:tcPr>
            <w:tcW w:w="376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w w:val="98"/>
              </w:rPr>
              <w:t>New York Stock Exchange</w:t>
            </w:r>
          </w:p>
        </w:tc>
        <w:tc>
          <w:tcPr>
            <w:tcW w:w="0" w:type="dxa"/>
            <w:vAlign w:val="bottom"/>
          </w:tcPr>
          <w:p>
            <w:pPr>
              <w:spacing w:after="0"/>
              <w:rPr>
                <w:sz w:val="1"/>
                <w:szCs w:val="1"/>
                <w:color w:val="auto"/>
              </w:rPr>
            </w:pPr>
          </w:p>
        </w:tc>
      </w:tr>
      <w:tr>
        <w:trPr>
          <w:trHeight w:val="104"/>
        </w:trPr>
        <w:tc>
          <w:tcPr>
            <w:tcW w:w="740" w:type="dxa"/>
            <w:vAlign w:val="bottom"/>
          </w:tcPr>
          <w:p>
            <w:pPr>
              <w:spacing w:after="0"/>
              <w:rPr>
                <w:sz w:val="9"/>
                <w:szCs w:val="9"/>
                <w:color w:val="auto"/>
              </w:rPr>
            </w:pPr>
          </w:p>
        </w:tc>
        <w:tc>
          <w:tcPr>
            <w:tcW w:w="2760" w:type="dxa"/>
            <w:vAlign w:val="bottom"/>
            <w:gridSpan w:val="2"/>
          </w:tcPr>
          <w:p>
            <w:pPr>
              <w:jc w:val="center"/>
              <w:ind w:left="450"/>
              <w:spacing w:after="0" w:line="104" w:lineRule="exact"/>
              <w:rPr>
                <w:sz w:val="20"/>
                <w:szCs w:val="20"/>
                <w:color w:val="auto"/>
              </w:rPr>
            </w:pPr>
            <w:r>
              <w:rPr>
                <w:rFonts w:ascii="Times New Roman" w:cs="Times New Roman" w:eastAsia="Times New Roman" w:hAnsi="Times New Roman"/>
                <w:sz w:val="10"/>
                <w:szCs w:val="10"/>
                <w:color w:val="auto"/>
              </w:rPr>
              <w:t>Stock, $0.01 par value per share</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40" w:type="dxa"/>
            <w:vAlign w:val="bottom"/>
          </w:tcPr>
          <w:p>
            <w:pPr>
              <w:spacing w:after="0"/>
              <w:rPr>
                <w:sz w:val="9"/>
                <w:szCs w:val="9"/>
                <w:color w:val="auto"/>
              </w:rPr>
            </w:pPr>
          </w:p>
        </w:tc>
        <w:tc>
          <w:tcPr>
            <w:tcW w:w="2760" w:type="dxa"/>
            <w:vAlign w:val="bottom"/>
            <w:gridSpan w:val="2"/>
          </w:tcPr>
          <w:p>
            <w:pPr>
              <w:jc w:val="center"/>
              <w:ind w:left="430"/>
              <w:spacing w:after="0" w:line="104" w:lineRule="exact"/>
              <w:rPr>
                <w:sz w:val="20"/>
                <w:szCs w:val="20"/>
                <w:color w:val="auto"/>
              </w:rPr>
            </w:pPr>
            <w:r>
              <w:rPr>
                <w:rFonts w:ascii="Times New Roman" w:cs="Times New Roman" w:eastAsia="Times New Roman" w:hAnsi="Times New Roman"/>
                <w:sz w:val="10"/>
                <w:szCs w:val="10"/>
                <w:color w:val="auto"/>
              </w:rPr>
              <w:t>Series L Cumulative Redeemable Preferred</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3"/>
          </w:tcPr>
          <w:p>
            <w:pPr>
              <w:jc w:val="center"/>
              <w:ind w:right="240"/>
              <w:spacing w:after="0" w:line="104" w:lineRule="exact"/>
              <w:rPr>
                <w:sz w:val="20"/>
                <w:szCs w:val="20"/>
                <w:color w:val="auto"/>
              </w:rPr>
            </w:pPr>
            <w:r>
              <w:rPr>
                <w:rFonts w:ascii="Times New Roman" w:cs="Times New Roman" w:eastAsia="Times New Roman" w:hAnsi="Times New Roman"/>
                <w:sz w:val="10"/>
                <w:szCs w:val="10"/>
                <w:color w:val="auto"/>
                <w:w w:val="99"/>
              </w:rPr>
              <w:t>DLR Pr L</w:t>
            </w:r>
          </w:p>
        </w:tc>
        <w:tc>
          <w:tcPr>
            <w:tcW w:w="376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w w:val="98"/>
              </w:rPr>
              <w:t>New York Stock Exchange</w:t>
            </w:r>
          </w:p>
        </w:tc>
        <w:tc>
          <w:tcPr>
            <w:tcW w:w="0" w:type="dxa"/>
            <w:vAlign w:val="bottom"/>
          </w:tcPr>
          <w:p>
            <w:pPr>
              <w:spacing w:after="0"/>
              <w:rPr>
                <w:sz w:val="1"/>
                <w:szCs w:val="1"/>
                <w:color w:val="auto"/>
              </w:rPr>
            </w:pPr>
          </w:p>
        </w:tc>
      </w:tr>
      <w:tr>
        <w:trPr>
          <w:trHeight w:val="104"/>
        </w:trPr>
        <w:tc>
          <w:tcPr>
            <w:tcW w:w="740" w:type="dxa"/>
            <w:vAlign w:val="bottom"/>
          </w:tcPr>
          <w:p>
            <w:pPr>
              <w:spacing w:after="0"/>
              <w:rPr>
                <w:sz w:val="9"/>
                <w:szCs w:val="9"/>
                <w:color w:val="auto"/>
              </w:rPr>
            </w:pPr>
          </w:p>
        </w:tc>
        <w:tc>
          <w:tcPr>
            <w:tcW w:w="2760" w:type="dxa"/>
            <w:vAlign w:val="bottom"/>
            <w:gridSpan w:val="2"/>
          </w:tcPr>
          <w:p>
            <w:pPr>
              <w:jc w:val="center"/>
              <w:ind w:left="450"/>
              <w:spacing w:after="0" w:line="104" w:lineRule="exact"/>
              <w:rPr>
                <w:sz w:val="20"/>
                <w:szCs w:val="20"/>
                <w:color w:val="auto"/>
              </w:rPr>
            </w:pPr>
            <w:r>
              <w:rPr>
                <w:rFonts w:ascii="Times New Roman" w:cs="Times New Roman" w:eastAsia="Times New Roman" w:hAnsi="Times New Roman"/>
                <w:sz w:val="10"/>
                <w:szCs w:val="10"/>
                <w:color w:val="auto"/>
              </w:rPr>
              <w:t>Stock, $0.01 par value per share</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740" w:type="dxa"/>
            <w:vAlign w:val="bottom"/>
          </w:tcPr>
          <w:p>
            <w:pPr>
              <w:spacing w:after="0"/>
              <w:rPr>
                <w:sz w:val="11"/>
                <w:szCs w:val="11"/>
                <w:color w:val="auto"/>
              </w:rPr>
            </w:pPr>
          </w:p>
        </w:tc>
        <w:tc>
          <w:tcPr>
            <w:tcW w:w="2760" w:type="dxa"/>
            <w:vAlign w:val="bottom"/>
            <w:gridSpan w:val="2"/>
          </w:tcPr>
          <w:p>
            <w:pPr>
              <w:jc w:val="center"/>
              <w:ind w:left="450"/>
              <w:spacing w:after="0"/>
              <w:rPr>
                <w:sz w:val="20"/>
                <w:szCs w:val="20"/>
                <w:color w:val="auto"/>
              </w:rPr>
            </w:pPr>
            <w:r>
              <w:rPr>
                <w:rFonts w:ascii="Times New Roman" w:cs="Times New Roman" w:eastAsia="Times New Roman" w:hAnsi="Times New Roman"/>
                <w:sz w:val="10"/>
                <w:szCs w:val="10"/>
                <w:color w:val="auto"/>
              </w:rPr>
              <w:t>None</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color w:val="auto"/>
                <w:w w:val="92"/>
              </w:rPr>
              <w:t>None</w:t>
            </w:r>
          </w:p>
        </w:tc>
        <w:tc>
          <w:tcPr>
            <w:tcW w:w="3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None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1767205</wp:posOffset>
            </wp:positionH>
            <wp:positionV relativeFrom="paragraph">
              <wp:posOffset>95250</wp:posOffset>
            </wp:positionV>
            <wp:extent cx="1627505" cy="12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7505" cy="1206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020" w:space="60"/>
            <w:col w:w="9200"/>
          </w:cols>
          <w:pgMar w:left="800" w:top="506" w:right="81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32"/>
        </w:trPr>
        <w:tc>
          <w:tcPr>
            <w:tcW w:w="2380" w:type="dxa"/>
            <w:vAlign w:val="bottom"/>
          </w:tcPr>
          <w:p>
            <w:pPr>
              <w:spacing w:after="0"/>
              <w:rPr>
                <w:sz w:val="11"/>
                <w:szCs w:val="11"/>
                <w:color w:val="auto"/>
              </w:rPr>
            </w:pPr>
          </w:p>
        </w:tc>
        <w:tc>
          <w:tcPr>
            <w:tcW w:w="7380" w:type="dxa"/>
            <w:vAlign w:val="bottom"/>
          </w:tcPr>
          <w:p>
            <w:pPr>
              <w:ind w:left="1520"/>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12(g) of the Act:</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4"/>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Digital Realty Trust, Inc.</w:t>
            </w:r>
          </w:p>
        </w:tc>
        <w:tc>
          <w:tcPr>
            <w:tcW w:w="7380" w:type="dxa"/>
            <w:vAlign w:val="bottom"/>
          </w:tcPr>
          <w:p>
            <w:pPr>
              <w:ind w:left="1920"/>
              <w:spacing w:after="0"/>
              <w:rPr>
                <w:sz w:val="20"/>
                <w:szCs w:val="20"/>
                <w:color w:val="auto"/>
              </w:rPr>
            </w:pPr>
            <w:r>
              <w:rPr>
                <w:rFonts w:ascii="Times New Roman" w:cs="Times New Roman" w:eastAsia="Times New Roman" w:hAnsi="Times New Roman"/>
                <w:sz w:val="10"/>
                <w:szCs w:val="10"/>
                <w:color w:val="auto"/>
              </w:rPr>
              <w:t>None</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30"/>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Digital Realty Trust, L.P.</w:t>
            </w:r>
          </w:p>
        </w:tc>
        <w:tc>
          <w:tcPr>
            <w:tcW w:w="7380" w:type="dxa"/>
            <w:vAlign w:val="bottom"/>
          </w:tcPr>
          <w:p>
            <w:pPr>
              <w:ind w:left="1360"/>
              <w:spacing w:after="0"/>
              <w:rPr>
                <w:sz w:val="20"/>
                <w:szCs w:val="20"/>
                <w:color w:val="auto"/>
              </w:rPr>
            </w:pPr>
            <w:r>
              <w:rPr>
                <w:rFonts w:ascii="Times New Roman" w:cs="Times New Roman" w:eastAsia="Times New Roman" w:hAnsi="Times New Roman"/>
                <w:sz w:val="10"/>
                <w:szCs w:val="10"/>
                <w:color w:val="auto"/>
              </w:rPr>
              <w:t>Common Units of Partnership Interest</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90"/>
        </w:trPr>
        <w:tc>
          <w:tcPr>
            <w:tcW w:w="97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Indicate by check mark if the registrant is a well-known seasoned issuer, as defined in Rule 405 of the Securities Act.</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4"/>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Digital Realty Trust, Inc.</w:t>
            </w:r>
          </w:p>
        </w:tc>
        <w:tc>
          <w:tcPr>
            <w:tcW w:w="7380" w:type="dxa"/>
            <w:vAlign w:val="bottom"/>
          </w:tcPr>
          <w:p>
            <w:pPr>
              <w:ind w:left="7240"/>
              <w:spacing w:after="0"/>
              <w:rPr>
                <w:sz w:val="20"/>
                <w:szCs w:val="20"/>
                <w:color w:val="auto"/>
              </w:rPr>
            </w:pPr>
            <w:r>
              <w:rPr>
                <w:rFonts w:ascii="Times New Roman" w:cs="Times New Roman" w:eastAsia="Times New Roman" w:hAnsi="Times New Roman"/>
                <w:sz w:val="10"/>
                <w:szCs w:val="10"/>
                <w:color w:val="auto"/>
                <w:w w:val="76"/>
              </w:rPr>
              <w:t>Yes</w:t>
            </w:r>
          </w:p>
        </w:tc>
        <w:tc>
          <w:tcPr>
            <w:tcW w:w="380" w:type="dxa"/>
            <w:vAlign w:val="bottom"/>
          </w:tcPr>
          <w:p>
            <w:pPr>
              <w:jc w:val="right"/>
              <w:spacing w:after="0" w:line="134" w:lineRule="exact"/>
              <w:rPr>
                <w:sz w:val="20"/>
                <w:szCs w:val="20"/>
                <w:color w:val="auto"/>
              </w:rPr>
            </w:pP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w:t>
            </w:r>
          </w:p>
        </w:tc>
        <w:tc>
          <w:tcPr>
            <w:tcW w:w="140" w:type="dxa"/>
            <w:vAlign w:val="bottom"/>
          </w:tcPr>
          <w:p>
            <w:pPr>
              <w:jc w:val="right"/>
              <w:spacing w:after="0" w:line="134" w:lineRule="exact"/>
              <w:rPr>
                <w:sz w:val="20"/>
                <w:szCs w:val="20"/>
                <w:color w:val="auto"/>
              </w:rPr>
            </w:pPr>
            <w:r>
              <w:rPr>
                <w:rFonts w:ascii="Arial Unicode MS" w:cs="Arial Unicode MS" w:eastAsia="Arial Unicode MS" w:hAnsi="Arial Unicode MS"/>
                <w:sz w:val="10"/>
                <w:szCs w:val="10"/>
                <w:color w:val="auto"/>
              </w:rPr>
              <w:t>☐</w:t>
            </w:r>
          </w:p>
        </w:tc>
      </w:tr>
      <w:tr>
        <w:trPr>
          <w:trHeight w:val="158"/>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Digital Realty Trust, L.P.</w:t>
            </w:r>
          </w:p>
        </w:tc>
        <w:tc>
          <w:tcPr>
            <w:tcW w:w="7380" w:type="dxa"/>
            <w:vAlign w:val="bottom"/>
          </w:tcPr>
          <w:p>
            <w:pPr>
              <w:ind w:left="7240"/>
              <w:spacing w:after="0"/>
              <w:rPr>
                <w:sz w:val="20"/>
                <w:szCs w:val="20"/>
                <w:color w:val="auto"/>
              </w:rPr>
            </w:pPr>
            <w:r>
              <w:rPr>
                <w:rFonts w:ascii="Times New Roman" w:cs="Times New Roman" w:eastAsia="Times New Roman" w:hAnsi="Times New Roman"/>
                <w:sz w:val="10"/>
                <w:szCs w:val="10"/>
                <w:color w:val="auto"/>
                <w:w w:val="76"/>
              </w:rPr>
              <w:t>Yes</w:t>
            </w:r>
          </w:p>
        </w:tc>
        <w:tc>
          <w:tcPr>
            <w:tcW w:w="380" w:type="dxa"/>
            <w:vAlign w:val="bottom"/>
          </w:tcPr>
          <w:p>
            <w:pPr>
              <w:jc w:val="right"/>
              <w:spacing w:after="0" w:line="134" w:lineRule="exact"/>
              <w:rPr>
                <w:sz w:val="20"/>
                <w:szCs w:val="20"/>
                <w:color w:val="auto"/>
              </w:rPr>
            </w:pP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w:t>
            </w:r>
          </w:p>
        </w:tc>
        <w:tc>
          <w:tcPr>
            <w:tcW w:w="140" w:type="dxa"/>
            <w:vAlign w:val="bottom"/>
          </w:tcPr>
          <w:p>
            <w:pPr>
              <w:jc w:val="right"/>
              <w:spacing w:after="0" w:line="134" w:lineRule="exact"/>
              <w:rPr>
                <w:sz w:val="20"/>
                <w:szCs w:val="20"/>
                <w:color w:val="auto"/>
              </w:rPr>
            </w:pPr>
            <w:r>
              <w:rPr>
                <w:rFonts w:ascii="Arial Unicode MS" w:cs="Arial Unicode MS" w:eastAsia="Arial Unicode MS" w:hAnsi="Arial Unicode MS"/>
                <w:sz w:val="10"/>
                <w:szCs w:val="10"/>
                <w:color w:val="auto"/>
              </w:rPr>
              <w:t>☐</w:t>
            </w:r>
          </w:p>
        </w:tc>
      </w:tr>
      <w:tr>
        <w:trPr>
          <w:trHeight w:val="189"/>
        </w:trPr>
        <w:tc>
          <w:tcPr>
            <w:tcW w:w="97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Indicate by check mark if the registrant is not required to file reports pursuant to Section 13 or Section 15(d) of the Act.</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Digital Realty Trust, Inc.</w:t>
            </w:r>
          </w:p>
        </w:tc>
        <w:tc>
          <w:tcPr>
            <w:tcW w:w="7380" w:type="dxa"/>
            <w:vAlign w:val="bottom"/>
          </w:tcPr>
          <w:p>
            <w:pPr>
              <w:ind w:left="7220"/>
              <w:spacing w:after="0"/>
              <w:rPr>
                <w:sz w:val="20"/>
                <w:szCs w:val="20"/>
                <w:color w:val="auto"/>
              </w:rPr>
            </w:pPr>
            <w:r>
              <w:rPr>
                <w:rFonts w:ascii="Times New Roman" w:cs="Times New Roman" w:eastAsia="Times New Roman" w:hAnsi="Times New Roman"/>
                <w:sz w:val="10"/>
                <w:szCs w:val="10"/>
                <w:color w:val="auto"/>
                <w:w w:val="89"/>
              </w:rPr>
              <w:t>Yes</w:t>
            </w:r>
          </w:p>
        </w:tc>
        <w:tc>
          <w:tcPr>
            <w:tcW w:w="380" w:type="dxa"/>
            <w:vAlign w:val="bottom"/>
          </w:tcPr>
          <w:p>
            <w:pPr>
              <w:jc w:val="right"/>
              <w:ind w:right="9"/>
              <w:spacing w:after="0" w:line="134" w:lineRule="exact"/>
              <w:rPr>
                <w:sz w:val="20"/>
                <w:szCs w:val="20"/>
                <w:color w:val="auto"/>
              </w:rPr>
            </w:pP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w:t>
            </w:r>
          </w:p>
        </w:tc>
        <w:tc>
          <w:tcPr>
            <w:tcW w:w="140" w:type="dxa"/>
            <w:vAlign w:val="bottom"/>
          </w:tcPr>
          <w:p>
            <w:pPr>
              <w:jc w:val="right"/>
              <w:spacing w:after="0" w:line="134" w:lineRule="exact"/>
              <w:rPr>
                <w:sz w:val="20"/>
                <w:szCs w:val="20"/>
                <w:color w:val="auto"/>
              </w:rPr>
            </w:pPr>
            <w:r>
              <w:rPr>
                <w:rFonts w:ascii="Arial Unicode MS" w:cs="Arial Unicode MS" w:eastAsia="Arial Unicode MS" w:hAnsi="Arial Unicode MS"/>
                <w:sz w:val="10"/>
                <w:szCs w:val="10"/>
                <w:color w:val="auto"/>
              </w:rPr>
              <w:t>⌧</w:t>
            </w:r>
          </w:p>
        </w:tc>
      </w:tr>
      <w:tr>
        <w:trPr>
          <w:trHeight w:val="158"/>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Digital Realty Trust, L.P.</w:t>
            </w:r>
          </w:p>
        </w:tc>
        <w:tc>
          <w:tcPr>
            <w:tcW w:w="7380" w:type="dxa"/>
            <w:vAlign w:val="bottom"/>
          </w:tcPr>
          <w:p>
            <w:pPr>
              <w:ind w:left="7200"/>
              <w:spacing w:after="0"/>
              <w:rPr>
                <w:sz w:val="20"/>
                <w:szCs w:val="20"/>
                <w:color w:val="auto"/>
              </w:rPr>
            </w:pPr>
            <w:r>
              <w:rPr>
                <w:rFonts w:ascii="Times New Roman" w:cs="Times New Roman" w:eastAsia="Times New Roman" w:hAnsi="Times New Roman"/>
                <w:sz w:val="10"/>
                <w:szCs w:val="10"/>
                <w:color w:val="auto"/>
              </w:rPr>
              <w:t>Yes</w:t>
            </w:r>
          </w:p>
        </w:tc>
        <w:tc>
          <w:tcPr>
            <w:tcW w:w="380" w:type="dxa"/>
            <w:vAlign w:val="bottom"/>
          </w:tcPr>
          <w:p>
            <w:pPr>
              <w:jc w:val="right"/>
              <w:ind w:right="9"/>
              <w:spacing w:after="0" w:line="134" w:lineRule="exact"/>
              <w:rPr>
                <w:sz w:val="20"/>
                <w:szCs w:val="20"/>
                <w:color w:val="auto"/>
              </w:rPr>
            </w:pP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w:t>
            </w:r>
          </w:p>
        </w:tc>
        <w:tc>
          <w:tcPr>
            <w:tcW w:w="140" w:type="dxa"/>
            <w:vAlign w:val="bottom"/>
          </w:tcPr>
          <w:p>
            <w:pPr>
              <w:jc w:val="right"/>
              <w:spacing w:after="0" w:line="134" w:lineRule="exact"/>
              <w:rPr>
                <w:sz w:val="20"/>
                <w:szCs w:val="20"/>
                <w:color w:val="auto"/>
              </w:rPr>
            </w:pPr>
            <w:r>
              <w:rPr>
                <w:rFonts w:ascii="Arial Unicode MS" w:cs="Arial Unicode MS" w:eastAsia="Arial Unicode MS" w:hAnsi="Arial Unicode MS"/>
                <w:sz w:val="10"/>
                <w:szCs w:val="10"/>
                <w:color w:val="auto"/>
              </w:rPr>
              <w:t>⌧</w:t>
            </w:r>
          </w:p>
        </w:tc>
      </w:tr>
    </w:tbl>
    <w:p>
      <w:pPr>
        <w:spacing w:after="0" w:line="69" w:lineRule="exact"/>
        <w:rPr>
          <w:sz w:val="24"/>
          <w:szCs w:val="24"/>
          <w:color w:val="auto"/>
        </w:rPr>
      </w:pPr>
    </w:p>
    <w:p>
      <w:pPr>
        <w:ind w:right="120" w:firstLine="228"/>
        <w:spacing w:after="0" w:line="249" w:lineRule="auto"/>
        <w:rPr>
          <w:sz w:val="20"/>
          <w:szCs w:val="20"/>
          <w:color w:val="auto"/>
        </w:rPr>
      </w:pPr>
      <w:r>
        <w:rPr>
          <w:rFonts w:ascii="Times New Roman" w:cs="Times New Roman" w:eastAsia="Times New Roman" w:hAnsi="Times New Roman"/>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34"/>
        </w:trPr>
        <w:tc>
          <w:tcPr>
            <w:tcW w:w="5320" w:type="dxa"/>
            <w:vAlign w:val="bottom"/>
          </w:tcPr>
          <w:p>
            <w:pPr>
              <w:spacing w:after="0"/>
              <w:rPr>
                <w:sz w:val="20"/>
                <w:szCs w:val="20"/>
                <w:color w:val="auto"/>
              </w:rPr>
            </w:pPr>
            <w:r>
              <w:rPr>
                <w:rFonts w:ascii="Times New Roman" w:cs="Times New Roman" w:eastAsia="Times New Roman" w:hAnsi="Times New Roman"/>
                <w:sz w:val="10"/>
                <w:szCs w:val="10"/>
                <w:color w:val="auto"/>
              </w:rPr>
              <w:t>Digital Realty Trust, Inc.</w:t>
            </w:r>
          </w:p>
        </w:tc>
        <w:tc>
          <w:tcPr>
            <w:tcW w:w="4480" w:type="dxa"/>
            <w:vAlign w:val="bottom"/>
          </w:tcPr>
          <w:p>
            <w:pPr>
              <w:ind w:left="4300"/>
              <w:spacing w:after="0"/>
              <w:rPr>
                <w:sz w:val="20"/>
                <w:szCs w:val="20"/>
                <w:color w:val="auto"/>
              </w:rPr>
            </w:pPr>
            <w:r>
              <w:rPr>
                <w:rFonts w:ascii="Times New Roman" w:cs="Times New Roman" w:eastAsia="Times New Roman" w:hAnsi="Times New Roman"/>
                <w:sz w:val="10"/>
                <w:szCs w:val="10"/>
                <w:color w:val="auto"/>
              </w:rPr>
              <w:t>Yes</w:t>
            </w:r>
          </w:p>
        </w:tc>
        <w:tc>
          <w:tcPr>
            <w:tcW w:w="360" w:type="dxa"/>
            <w:vAlign w:val="bottom"/>
          </w:tcPr>
          <w:p>
            <w:pPr>
              <w:ind w:left="40"/>
              <w:spacing w:after="0" w:line="134" w:lineRule="exact"/>
              <w:rPr>
                <w:sz w:val="20"/>
                <w:szCs w:val="20"/>
                <w:color w:val="auto"/>
              </w:rPr>
            </w:pP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w:t>
            </w:r>
          </w:p>
        </w:tc>
        <w:tc>
          <w:tcPr>
            <w:tcW w:w="120" w:type="dxa"/>
            <w:vAlign w:val="bottom"/>
          </w:tcPr>
          <w:p>
            <w:pPr>
              <w:ind w:left="20"/>
              <w:spacing w:after="0" w:line="134" w:lineRule="exact"/>
              <w:rPr>
                <w:sz w:val="20"/>
                <w:szCs w:val="20"/>
                <w:color w:val="auto"/>
              </w:rPr>
            </w:pPr>
            <w:r>
              <w:rPr>
                <w:rFonts w:ascii="Arial Unicode MS" w:cs="Arial Unicode MS" w:eastAsia="Arial Unicode MS" w:hAnsi="Arial Unicode MS"/>
                <w:sz w:val="10"/>
                <w:szCs w:val="10"/>
                <w:color w:val="auto"/>
              </w:rPr>
              <w:t>☐</w:t>
            </w:r>
          </w:p>
        </w:tc>
      </w:tr>
      <w:tr>
        <w:trPr>
          <w:trHeight w:val="158"/>
        </w:trPr>
        <w:tc>
          <w:tcPr>
            <w:tcW w:w="5320" w:type="dxa"/>
            <w:vAlign w:val="bottom"/>
          </w:tcPr>
          <w:p>
            <w:pPr>
              <w:spacing w:after="0"/>
              <w:rPr>
                <w:sz w:val="20"/>
                <w:szCs w:val="20"/>
                <w:color w:val="auto"/>
              </w:rPr>
            </w:pPr>
            <w:r>
              <w:rPr>
                <w:rFonts w:ascii="Times New Roman" w:cs="Times New Roman" w:eastAsia="Times New Roman" w:hAnsi="Times New Roman"/>
                <w:sz w:val="10"/>
                <w:szCs w:val="10"/>
                <w:color w:val="auto"/>
              </w:rPr>
              <w:t>Digital Realty Trust, L.P.</w:t>
            </w:r>
          </w:p>
        </w:tc>
        <w:tc>
          <w:tcPr>
            <w:tcW w:w="4480" w:type="dxa"/>
            <w:vAlign w:val="bottom"/>
          </w:tcPr>
          <w:p>
            <w:pPr>
              <w:ind w:left="4300"/>
              <w:spacing w:after="0"/>
              <w:rPr>
                <w:sz w:val="20"/>
                <w:szCs w:val="20"/>
                <w:color w:val="auto"/>
              </w:rPr>
            </w:pPr>
            <w:r>
              <w:rPr>
                <w:rFonts w:ascii="Times New Roman" w:cs="Times New Roman" w:eastAsia="Times New Roman" w:hAnsi="Times New Roman"/>
                <w:sz w:val="10"/>
                <w:szCs w:val="10"/>
                <w:color w:val="auto"/>
              </w:rPr>
              <w:t>Yes</w:t>
            </w:r>
          </w:p>
        </w:tc>
        <w:tc>
          <w:tcPr>
            <w:tcW w:w="360" w:type="dxa"/>
            <w:vAlign w:val="bottom"/>
          </w:tcPr>
          <w:p>
            <w:pPr>
              <w:ind w:left="40"/>
              <w:spacing w:after="0" w:line="134" w:lineRule="exact"/>
              <w:rPr>
                <w:sz w:val="20"/>
                <w:szCs w:val="20"/>
                <w:color w:val="auto"/>
              </w:rPr>
            </w:pP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w:t>
            </w:r>
          </w:p>
        </w:tc>
        <w:tc>
          <w:tcPr>
            <w:tcW w:w="120" w:type="dxa"/>
            <w:vAlign w:val="bottom"/>
          </w:tcPr>
          <w:p>
            <w:pPr>
              <w:ind w:left="20"/>
              <w:spacing w:after="0" w:line="134" w:lineRule="exact"/>
              <w:rPr>
                <w:sz w:val="20"/>
                <w:szCs w:val="20"/>
                <w:color w:val="auto"/>
              </w:rPr>
            </w:pPr>
            <w:r>
              <w:rPr>
                <w:rFonts w:ascii="Arial Unicode MS" w:cs="Arial Unicode MS" w:eastAsia="Arial Unicode MS" w:hAnsi="Arial Unicode MS"/>
                <w:sz w:val="10"/>
                <w:szCs w:val="10"/>
                <w:color w:val="auto"/>
              </w:rPr>
              <w:t>☐</w:t>
            </w:r>
          </w:p>
        </w:tc>
      </w:tr>
      <w:tr>
        <w:trPr>
          <w:trHeight w:val="614"/>
        </w:trPr>
        <w:tc>
          <w:tcPr>
            <w:tcW w:w="53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0280"/>
          </w:cols>
          <w:pgMar w:left="800" w:top="506" w:right="819" w:bottom="1440" w:gutter="0" w:footer="0" w:header="0"/>
          <w:type w:val="continuous"/>
        </w:sectPr>
      </w:pPr>
    </w:p>
    <w:bookmarkStart w:id="1" w:name="page2"/>
    <w:bookmarkEnd w:id="1"/>
    <w:p>
      <w:pPr>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right="100" w:firstLine="228"/>
        <w:spacing w:after="0" w:line="118" w:lineRule="exact"/>
        <w:rPr>
          <w:sz w:val="20"/>
          <w:szCs w:val="20"/>
          <w:color w:val="auto"/>
        </w:rPr>
      </w:pPr>
      <w:r>
        <w:rPr>
          <w:rFonts w:ascii="Arial Unicode MS" w:cs="Arial Unicode MS" w:eastAsia="Arial Unicode MS" w:hAnsi="Arial Unicode MS"/>
          <w:sz w:val="10"/>
          <w:szCs w:val="1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320" w:type="dxa"/>
            <w:vAlign w:val="bottom"/>
          </w:tcPr>
          <w:p>
            <w:pPr>
              <w:spacing w:after="0" w:line="134" w:lineRule="exact"/>
              <w:rPr>
                <w:sz w:val="20"/>
                <w:szCs w:val="20"/>
                <w:color w:val="auto"/>
              </w:rPr>
            </w:pPr>
            <w:r>
              <w:rPr>
                <w:rFonts w:ascii="Arial Unicode MS" w:cs="Arial Unicode MS" w:eastAsia="Arial Unicode MS" w:hAnsi="Arial Unicode MS"/>
                <w:sz w:val="10"/>
                <w:szCs w:val="10"/>
                <w:color w:val="auto"/>
              </w:rPr>
              <w:t>Digital Realty Trust, Inc.</w:t>
            </w:r>
          </w:p>
        </w:tc>
        <w:tc>
          <w:tcPr>
            <w:tcW w:w="4480" w:type="dxa"/>
            <w:vAlign w:val="bottom"/>
          </w:tcPr>
          <w:p>
            <w:pPr>
              <w:ind w:left="4300"/>
              <w:spacing w:after="0" w:line="134" w:lineRule="exact"/>
              <w:rPr>
                <w:sz w:val="20"/>
                <w:szCs w:val="20"/>
                <w:color w:val="auto"/>
              </w:rPr>
            </w:pPr>
            <w:r>
              <w:rPr>
                <w:rFonts w:ascii="Arial Unicode MS" w:cs="Arial Unicode MS" w:eastAsia="Arial Unicode MS" w:hAnsi="Arial Unicode MS"/>
                <w:sz w:val="10"/>
                <w:szCs w:val="10"/>
                <w:color w:val="auto"/>
                <w:w w:val="92"/>
              </w:rPr>
              <w:t>Yes</w:t>
            </w:r>
          </w:p>
        </w:tc>
        <w:tc>
          <w:tcPr>
            <w:tcW w:w="360" w:type="dxa"/>
            <w:vAlign w:val="bottom"/>
          </w:tcPr>
          <w:p>
            <w:pPr>
              <w:ind w:left="40"/>
              <w:spacing w:after="0" w:line="134" w:lineRule="exact"/>
              <w:rPr>
                <w:sz w:val="20"/>
                <w:szCs w:val="20"/>
                <w:color w:val="auto"/>
              </w:rPr>
            </w:pPr>
            <w:r>
              <w:rPr>
                <w:rFonts w:ascii="Arial Unicode MS" w:cs="Arial Unicode MS" w:eastAsia="Arial Unicode MS" w:hAnsi="Arial Unicode MS"/>
                <w:sz w:val="10"/>
                <w:szCs w:val="10"/>
                <w:color w:val="auto"/>
              </w:rPr>
              <w:t>⌧ No</w:t>
            </w:r>
          </w:p>
        </w:tc>
        <w:tc>
          <w:tcPr>
            <w:tcW w:w="120" w:type="dxa"/>
            <w:vAlign w:val="bottom"/>
          </w:tcPr>
          <w:p>
            <w:pPr>
              <w:ind w:left="20"/>
              <w:spacing w:after="0" w:line="134" w:lineRule="exact"/>
              <w:rPr>
                <w:sz w:val="20"/>
                <w:szCs w:val="20"/>
                <w:color w:val="auto"/>
              </w:rPr>
            </w:pPr>
            <w:r>
              <w:rPr>
                <w:rFonts w:ascii="Arial Unicode MS" w:cs="Arial Unicode MS" w:eastAsia="Arial Unicode MS" w:hAnsi="Arial Unicode MS"/>
                <w:sz w:val="10"/>
                <w:szCs w:val="10"/>
                <w:color w:val="auto"/>
              </w:rPr>
              <w:t>☐</w:t>
            </w:r>
          </w:p>
        </w:tc>
      </w:tr>
      <w:tr>
        <w:trPr>
          <w:trHeight w:val="158"/>
        </w:trPr>
        <w:tc>
          <w:tcPr>
            <w:tcW w:w="5320" w:type="dxa"/>
            <w:vAlign w:val="bottom"/>
          </w:tcPr>
          <w:p>
            <w:pPr>
              <w:spacing w:after="0" w:line="134" w:lineRule="exact"/>
              <w:rPr>
                <w:sz w:val="20"/>
                <w:szCs w:val="20"/>
                <w:color w:val="auto"/>
              </w:rPr>
            </w:pPr>
            <w:r>
              <w:rPr>
                <w:rFonts w:ascii="Arial Unicode MS" w:cs="Arial Unicode MS" w:eastAsia="Arial Unicode MS" w:hAnsi="Arial Unicode MS"/>
                <w:sz w:val="10"/>
                <w:szCs w:val="10"/>
                <w:color w:val="auto"/>
              </w:rPr>
              <w:t>Digital Realty Trust, L.P.</w:t>
            </w:r>
          </w:p>
        </w:tc>
        <w:tc>
          <w:tcPr>
            <w:tcW w:w="4480" w:type="dxa"/>
            <w:vAlign w:val="bottom"/>
          </w:tcPr>
          <w:p>
            <w:pPr>
              <w:ind w:left="4300"/>
              <w:spacing w:after="0" w:line="134" w:lineRule="exact"/>
              <w:rPr>
                <w:sz w:val="20"/>
                <w:szCs w:val="20"/>
                <w:color w:val="auto"/>
              </w:rPr>
            </w:pPr>
            <w:r>
              <w:rPr>
                <w:rFonts w:ascii="Arial Unicode MS" w:cs="Arial Unicode MS" w:eastAsia="Arial Unicode MS" w:hAnsi="Arial Unicode MS"/>
                <w:sz w:val="10"/>
                <w:szCs w:val="10"/>
                <w:color w:val="auto"/>
                <w:w w:val="92"/>
              </w:rPr>
              <w:t>Yes</w:t>
            </w:r>
          </w:p>
        </w:tc>
        <w:tc>
          <w:tcPr>
            <w:tcW w:w="360" w:type="dxa"/>
            <w:vAlign w:val="bottom"/>
          </w:tcPr>
          <w:p>
            <w:pPr>
              <w:ind w:left="40"/>
              <w:spacing w:after="0" w:line="134" w:lineRule="exact"/>
              <w:rPr>
                <w:sz w:val="20"/>
                <w:szCs w:val="20"/>
                <w:color w:val="auto"/>
              </w:rPr>
            </w:pPr>
            <w:r>
              <w:rPr>
                <w:rFonts w:ascii="Arial Unicode MS" w:cs="Arial Unicode MS" w:eastAsia="Arial Unicode MS" w:hAnsi="Arial Unicode MS"/>
                <w:sz w:val="10"/>
                <w:szCs w:val="10"/>
                <w:color w:val="auto"/>
              </w:rPr>
              <w:t>⌧ No</w:t>
            </w:r>
          </w:p>
        </w:tc>
        <w:tc>
          <w:tcPr>
            <w:tcW w:w="120" w:type="dxa"/>
            <w:vAlign w:val="bottom"/>
          </w:tcPr>
          <w:p>
            <w:pPr>
              <w:ind w:left="20"/>
              <w:spacing w:after="0" w:line="134" w:lineRule="exact"/>
              <w:rPr>
                <w:sz w:val="20"/>
                <w:szCs w:val="20"/>
                <w:color w:val="auto"/>
              </w:rPr>
            </w:pPr>
            <w:r>
              <w:rPr>
                <w:rFonts w:ascii="Arial Unicode MS" w:cs="Arial Unicode MS" w:eastAsia="Arial Unicode MS" w:hAnsi="Arial Unicode MS"/>
                <w:sz w:val="10"/>
                <w:szCs w:val="10"/>
                <w:color w:val="auto"/>
              </w:rPr>
              <w:t>☐</w:t>
            </w:r>
          </w:p>
        </w:tc>
      </w:tr>
    </w:tbl>
    <w:p>
      <w:pPr>
        <w:spacing w:after="0" w:line="59" w:lineRule="exact"/>
        <w:rPr>
          <w:sz w:val="20"/>
          <w:szCs w:val="20"/>
          <w:color w:val="auto"/>
        </w:rPr>
      </w:pPr>
    </w:p>
    <w:p>
      <w:pPr>
        <w:ind w:right="220" w:firstLine="228"/>
        <w:spacing w:after="0" w:line="109" w:lineRule="exact"/>
        <w:rPr>
          <w:sz w:val="20"/>
          <w:szCs w:val="20"/>
          <w:color w:val="auto"/>
        </w:rPr>
      </w:pPr>
      <w:r>
        <w:rPr>
          <w:rFonts w:ascii="Arial Unicode MS" w:cs="Arial Unicode MS" w:eastAsia="Arial Unicode MS" w:hAnsi="Arial Unicode MS"/>
          <w:sz w:val="10"/>
          <w:szCs w:val="10"/>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ind w:left="220"/>
        <w:spacing w:after="0" w:line="122" w:lineRule="exact"/>
        <w:rPr>
          <w:sz w:val="20"/>
          <w:szCs w:val="20"/>
          <w:color w:val="auto"/>
        </w:rPr>
      </w:pPr>
      <w:r>
        <w:rPr>
          <w:rFonts w:ascii="Arial Unicode MS" w:cs="Arial Unicode MS" w:eastAsia="Arial Unicode MS" w:hAnsi="Arial Unicode MS"/>
          <w:sz w:val="10"/>
          <w:szCs w:val="10"/>
          <w:color w:val="auto"/>
        </w:rPr>
        <w:t>Digital Realty Trust, Inc.:</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400" w:type="dxa"/>
            <w:vAlign w:val="bottom"/>
          </w:tcPr>
          <w:p>
            <w:pPr>
              <w:spacing w:after="0" w:line="134" w:lineRule="exact"/>
              <w:rPr>
                <w:sz w:val="20"/>
                <w:szCs w:val="20"/>
                <w:color w:val="auto"/>
              </w:rPr>
            </w:pPr>
            <w:r>
              <w:rPr>
                <w:rFonts w:ascii="Arial Unicode MS" w:cs="Arial Unicode MS" w:eastAsia="Arial Unicode MS" w:hAnsi="Arial Unicode MS"/>
                <w:sz w:val="10"/>
                <w:szCs w:val="10"/>
                <w:color w:val="auto"/>
              </w:rPr>
              <w:t>Large accelerated filer</w:t>
            </w:r>
          </w:p>
        </w:tc>
        <w:tc>
          <w:tcPr>
            <w:tcW w:w="3000" w:type="dxa"/>
            <w:vAlign w:val="bottom"/>
          </w:tcPr>
          <w:p>
            <w:pPr>
              <w:ind w:left="140"/>
              <w:spacing w:after="0" w:line="134" w:lineRule="exact"/>
              <w:rPr>
                <w:sz w:val="20"/>
                <w:szCs w:val="20"/>
                <w:color w:val="auto"/>
              </w:rPr>
            </w:pPr>
            <w:r>
              <w:rPr>
                <w:rFonts w:ascii="Arial Unicode MS" w:cs="Arial Unicode MS" w:eastAsia="Arial Unicode MS" w:hAnsi="Arial Unicode MS"/>
                <w:sz w:val="10"/>
                <w:szCs w:val="10"/>
                <w:color w:val="auto"/>
              </w:rPr>
              <w:t>⌧</w:t>
            </w:r>
          </w:p>
        </w:tc>
        <w:tc>
          <w:tcPr>
            <w:tcW w:w="4840" w:type="dxa"/>
            <w:vAlign w:val="bottom"/>
          </w:tcPr>
          <w:p>
            <w:pPr>
              <w:ind w:left="2780"/>
              <w:spacing w:after="0" w:line="134" w:lineRule="exact"/>
              <w:rPr>
                <w:sz w:val="20"/>
                <w:szCs w:val="20"/>
                <w:color w:val="auto"/>
              </w:rPr>
            </w:pPr>
            <w:r>
              <w:rPr>
                <w:rFonts w:ascii="Arial Unicode MS" w:cs="Arial Unicode MS" w:eastAsia="Arial Unicode MS" w:hAnsi="Arial Unicode MS"/>
                <w:sz w:val="10"/>
                <w:szCs w:val="10"/>
                <w:color w:val="auto"/>
              </w:rPr>
              <w:t>Accelerated filer</w:t>
            </w:r>
          </w:p>
        </w:tc>
        <w:tc>
          <w:tcPr>
            <w:tcW w:w="1040" w:type="dxa"/>
            <w:vAlign w:val="bottom"/>
          </w:tcPr>
          <w:p>
            <w:pPr>
              <w:ind w:left="940"/>
              <w:spacing w:after="0" w:line="134" w:lineRule="exact"/>
              <w:rPr>
                <w:sz w:val="20"/>
                <w:szCs w:val="20"/>
                <w:color w:val="auto"/>
              </w:rPr>
            </w:pPr>
            <w:r>
              <w:rPr>
                <w:rFonts w:ascii="Arial Unicode MS" w:cs="Arial Unicode MS" w:eastAsia="Arial Unicode MS" w:hAnsi="Arial Unicode MS"/>
                <w:sz w:val="10"/>
                <w:szCs w:val="10"/>
                <w:color w:val="auto"/>
              </w:rPr>
              <w:t>☐</w:t>
            </w:r>
          </w:p>
        </w:tc>
      </w:tr>
      <w:tr>
        <w:trPr>
          <w:trHeight w:val="123"/>
        </w:trPr>
        <w:tc>
          <w:tcPr>
            <w:tcW w:w="1400" w:type="dxa"/>
            <w:vAlign w:val="bottom"/>
          </w:tcPr>
          <w:p>
            <w:pPr>
              <w:spacing w:after="0" w:line="124" w:lineRule="exact"/>
              <w:rPr>
                <w:sz w:val="20"/>
                <w:szCs w:val="20"/>
                <w:color w:val="auto"/>
              </w:rPr>
            </w:pPr>
            <w:r>
              <w:rPr>
                <w:rFonts w:ascii="Arial Unicode MS" w:cs="Arial Unicode MS" w:eastAsia="Arial Unicode MS" w:hAnsi="Arial Unicode MS"/>
                <w:sz w:val="10"/>
                <w:szCs w:val="10"/>
                <w:color w:val="auto"/>
              </w:rPr>
              <w:t>Non-accelerated filer</w:t>
            </w:r>
          </w:p>
        </w:tc>
        <w:tc>
          <w:tcPr>
            <w:tcW w:w="3000" w:type="dxa"/>
            <w:vAlign w:val="bottom"/>
          </w:tcPr>
          <w:p>
            <w:pPr>
              <w:ind w:left="140"/>
              <w:spacing w:after="0" w:line="124" w:lineRule="exact"/>
              <w:rPr>
                <w:sz w:val="20"/>
                <w:szCs w:val="20"/>
                <w:color w:val="auto"/>
              </w:rPr>
            </w:pPr>
            <w:r>
              <w:rPr>
                <w:rFonts w:ascii="Arial Unicode MS" w:cs="Arial Unicode MS" w:eastAsia="Arial Unicode MS" w:hAnsi="Arial Unicode MS"/>
                <w:sz w:val="10"/>
                <w:szCs w:val="10"/>
                <w:color w:val="auto"/>
              </w:rPr>
              <w:t>☐</w:t>
            </w:r>
          </w:p>
        </w:tc>
        <w:tc>
          <w:tcPr>
            <w:tcW w:w="4840" w:type="dxa"/>
            <w:vAlign w:val="bottom"/>
          </w:tcPr>
          <w:p>
            <w:pPr>
              <w:ind w:left="2780"/>
              <w:spacing w:after="0" w:line="124" w:lineRule="exact"/>
              <w:rPr>
                <w:sz w:val="20"/>
                <w:szCs w:val="20"/>
                <w:color w:val="auto"/>
              </w:rPr>
            </w:pPr>
            <w:r>
              <w:rPr>
                <w:rFonts w:ascii="Arial Unicode MS" w:cs="Arial Unicode MS" w:eastAsia="Arial Unicode MS" w:hAnsi="Arial Unicode MS"/>
                <w:sz w:val="10"/>
                <w:szCs w:val="10"/>
                <w:color w:val="auto"/>
              </w:rPr>
              <w:t>Smaller reporting company</w:t>
            </w:r>
          </w:p>
        </w:tc>
        <w:tc>
          <w:tcPr>
            <w:tcW w:w="1040" w:type="dxa"/>
            <w:vAlign w:val="bottom"/>
          </w:tcPr>
          <w:p>
            <w:pPr>
              <w:ind w:left="940"/>
              <w:spacing w:after="0" w:line="124" w:lineRule="exact"/>
              <w:rPr>
                <w:sz w:val="20"/>
                <w:szCs w:val="20"/>
                <w:color w:val="auto"/>
              </w:rPr>
            </w:pPr>
            <w:r>
              <w:rPr>
                <w:rFonts w:ascii="Arial Unicode MS" w:cs="Arial Unicode MS" w:eastAsia="Arial Unicode MS" w:hAnsi="Arial Unicode MS"/>
                <w:sz w:val="10"/>
                <w:szCs w:val="10"/>
                <w:color w:val="auto"/>
              </w:rPr>
              <w:t>☐</w:t>
            </w:r>
          </w:p>
        </w:tc>
      </w:tr>
      <w:tr>
        <w:trPr>
          <w:trHeight w:val="158"/>
        </w:trPr>
        <w:tc>
          <w:tcPr>
            <w:tcW w:w="14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840" w:type="dxa"/>
            <w:vAlign w:val="bottom"/>
          </w:tcPr>
          <w:p>
            <w:pPr>
              <w:ind w:left="2780"/>
              <w:spacing w:after="0" w:line="134" w:lineRule="exact"/>
              <w:rPr>
                <w:sz w:val="20"/>
                <w:szCs w:val="20"/>
                <w:color w:val="auto"/>
              </w:rPr>
            </w:pPr>
            <w:r>
              <w:rPr>
                <w:rFonts w:ascii="Arial Unicode MS" w:cs="Arial Unicode MS" w:eastAsia="Arial Unicode MS" w:hAnsi="Arial Unicode MS"/>
                <w:sz w:val="10"/>
                <w:szCs w:val="10"/>
                <w:color w:val="auto"/>
              </w:rPr>
              <w:t>Emerging growth company</w:t>
            </w:r>
          </w:p>
        </w:tc>
        <w:tc>
          <w:tcPr>
            <w:tcW w:w="1040" w:type="dxa"/>
            <w:vAlign w:val="bottom"/>
          </w:tcPr>
          <w:p>
            <w:pPr>
              <w:ind w:left="940"/>
              <w:spacing w:after="0" w:line="134" w:lineRule="exact"/>
              <w:rPr>
                <w:sz w:val="20"/>
                <w:szCs w:val="20"/>
                <w:color w:val="auto"/>
              </w:rPr>
            </w:pPr>
            <w:r>
              <w:rPr>
                <w:rFonts w:ascii="Arial Unicode MS" w:cs="Arial Unicode MS" w:eastAsia="Arial Unicode MS" w:hAnsi="Arial Unicode MS"/>
                <w:sz w:val="10"/>
                <w:szCs w:val="10"/>
                <w:color w:val="auto"/>
              </w:rPr>
              <w:t>☐</w:t>
            </w:r>
          </w:p>
        </w:tc>
      </w:tr>
      <w:tr>
        <w:trPr>
          <w:trHeight w:val="185"/>
        </w:trPr>
        <w:tc>
          <w:tcPr>
            <w:tcW w:w="1400" w:type="dxa"/>
            <w:vAlign w:val="bottom"/>
          </w:tcPr>
          <w:p>
            <w:pPr>
              <w:ind w:left="220"/>
              <w:spacing w:after="0" w:line="134" w:lineRule="exact"/>
              <w:rPr>
                <w:sz w:val="20"/>
                <w:szCs w:val="20"/>
                <w:color w:val="auto"/>
              </w:rPr>
            </w:pPr>
            <w:r>
              <w:rPr>
                <w:rFonts w:ascii="Arial Unicode MS" w:cs="Arial Unicode MS" w:eastAsia="Arial Unicode MS" w:hAnsi="Arial Unicode MS"/>
                <w:sz w:val="10"/>
                <w:szCs w:val="10"/>
                <w:color w:val="auto"/>
              </w:rPr>
              <w:t>Digital Realty Trust, L.P.:</w:t>
            </w:r>
          </w:p>
        </w:tc>
        <w:tc>
          <w:tcPr>
            <w:tcW w:w="30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1400" w:type="dxa"/>
            <w:vAlign w:val="bottom"/>
          </w:tcPr>
          <w:p>
            <w:pPr>
              <w:spacing w:after="0" w:line="134" w:lineRule="exact"/>
              <w:rPr>
                <w:sz w:val="20"/>
                <w:szCs w:val="20"/>
                <w:color w:val="auto"/>
              </w:rPr>
            </w:pPr>
            <w:r>
              <w:rPr>
                <w:rFonts w:ascii="Arial Unicode MS" w:cs="Arial Unicode MS" w:eastAsia="Arial Unicode MS" w:hAnsi="Arial Unicode MS"/>
                <w:sz w:val="10"/>
                <w:szCs w:val="10"/>
                <w:color w:val="auto"/>
              </w:rPr>
              <w:t>Large accelerated filer</w:t>
            </w:r>
          </w:p>
        </w:tc>
        <w:tc>
          <w:tcPr>
            <w:tcW w:w="3000" w:type="dxa"/>
            <w:vAlign w:val="bottom"/>
          </w:tcPr>
          <w:p>
            <w:pPr>
              <w:ind w:left="120"/>
              <w:spacing w:after="0" w:line="134" w:lineRule="exact"/>
              <w:rPr>
                <w:sz w:val="20"/>
                <w:szCs w:val="20"/>
                <w:color w:val="auto"/>
              </w:rPr>
            </w:pPr>
            <w:r>
              <w:rPr>
                <w:rFonts w:ascii="Arial Unicode MS" w:cs="Arial Unicode MS" w:eastAsia="Arial Unicode MS" w:hAnsi="Arial Unicode MS"/>
                <w:sz w:val="10"/>
                <w:szCs w:val="10"/>
                <w:color w:val="auto"/>
              </w:rPr>
              <w:t>☐</w:t>
            </w:r>
          </w:p>
        </w:tc>
        <w:tc>
          <w:tcPr>
            <w:tcW w:w="4840" w:type="dxa"/>
            <w:vAlign w:val="bottom"/>
          </w:tcPr>
          <w:p>
            <w:pPr>
              <w:ind w:left="2760"/>
              <w:spacing w:after="0" w:line="134" w:lineRule="exact"/>
              <w:rPr>
                <w:sz w:val="20"/>
                <w:szCs w:val="20"/>
                <w:color w:val="auto"/>
              </w:rPr>
            </w:pPr>
            <w:r>
              <w:rPr>
                <w:rFonts w:ascii="Arial Unicode MS" w:cs="Arial Unicode MS" w:eastAsia="Arial Unicode MS" w:hAnsi="Arial Unicode MS"/>
                <w:sz w:val="10"/>
                <w:szCs w:val="10"/>
                <w:color w:val="auto"/>
              </w:rPr>
              <w:t>Accelerated filer</w:t>
            </w:r>
          </w:p>
        </w:tc>
        <w:tc>
          <w:tcPr>
            <w:tcW w:w="1040" w:type="dxa"/>
            <w:vAlign w:val="bottom"/>
          </w:tcPr>
          <w:p>
            <w:pPr>
              <w:ind w:left="940"/>
              <w:spacing w:after="0" w:line="134" w:lineRule="exact"/>
              <w:rPr>
                <w:sz w:val="20"/>
                <w:szCs w:val="20"/>
                <w:color w:val="auto"/>
              </w:rPr>
            </w:pPr>
            <w:r>
              <w:rPr>
                <w:rFonts w:ascii="Arial Unicode MS" w:cs="Arial Unicode MS" w:eastAsia="Arial Unicode MS" w:hAnsi="Arial Unicode MS"/>
                <w:sz w:val="10"/>
                <w:szCs w:val="10"/>
                <w:color w:val="auto"/>
              </w:rPr>
              <w:t>☐</w:t>
            </w:r>
          </w:p>
        </w:tc>
      </w:tr>
      <w:tr>
        <w:trPr>
          <w:trHeight w:val="123"/>
        </w:trPr>
        <w:tc>
          <w:tcPr>
            <w:tcW w:w="1400" w:type="dxa"/>
            <w:vAlign w:val="bottom"/>
          </w:tcPr>
          <w:p>
            <w:pPr>
              <w:spacing w:after="0" w:line="124" w:lineRule="exact"/>
              <w:rPr>
                <w:sz w:val="20"/>
                <w:szCs w:val="20"/>
                <w:color w:val="auto"/>
              </w:rPr>
            </w:pPr>
            <w:r>
              <w:rPr>
                <w:rFonts w:ascii="Arial Unicode MS" w:cs="Arial Unicode MS" w:eastAsia="Arial Unicode MS" w:hAnsi="Arial Unicode MS"/>
                <w:sz w:val="10"/>
                <w:szCs w:val="10"/>
                <w:color w:val="auto"/>
              </w:rPr>
              <w:t>Non-accelerated filer</w:t>
            </w:r>
          </w:p>
        </w:tc>
        <w:tc>
          <w:tcPr>
            <w:tcW w:w="3000" w:type="dxa"/>
            <w:vAlign w:val="bottom"/>
          </w:tcPr>
          <w:p>
            <w:pPr>
              <w:ind w:left="120"/>
              <w:spacing w:after="0" w:line="124" w:lineRule="exact"/>
              <w:rPr>
                <w:sz w:val="20"/>
                <w:szCs w:val="20"/>
                <w:color w:val="auto"/>
              </w:rPr>
            </w:pPr>
            <w:r>
              <w:rPr>
                <w:rFonts w:ascii="Arial Unicode MS" w:cs="Arial Unicode MS" w:eastAsia="Arial Unicode MS" w:hAnsi="Arial Unicode MS"/>
                <w:sz w:val="10"/>
                <w:szCs w:val="10"/>
                <w:color w:val="auto"/>
              </w:rPr>
              <w:t>⌧</w:t>
            </w:r>
          </w:p>
        </w:tc>
        <w:tc>
          <w:tcPr>
            <w:tcW w:w="4840" w:type="dxa"/>
            <w:vAlign w:val="bottom"/>
          </w:tcPr>
          <w:p>
            <w:pPr>
              <w:ind w:left="2760"/>
              <w:spacing w:after="0" w:line="124" w:lineRule="exact"/>
              <w:rPr>
                <w:sz w:val="20"/>
                <w:szCs w:val="20"/>
                <w:color w:val="auto"/>
              </w:rPr>
            </w:pPr>
            <w:r>
              <w:rPr>
                <w:rFonts w:ascii="Arial Unicode MS" w:cs="Arial Unicode MS" w:eastAsia="Arial Unicode MS" w:hAnsi="Arial Unicode MS"/>
                <w:sz w:val="10"/>
                <w:szCs w:val="10"/>
                <w:color w:val="auto"/>
              </w:rPr>
              <w:t>Smaller reporting company</w:t>
            </w:r>
          </w:p>
        </w:tc>
        <w:tc>
          <w:tcPr>
            <w:tcW w:w="1040" w:type="dxa"/>
            <w:vAlign w:val="bottom"/>
          </w:tcPr>
          <w:p>
            <w:pPr>
              <w:ind w:left="940"/>
              <w:spacing w:after="0" w:line="124" w:lineRule="exact"/>
              <w:rPr>
                <w:sz w:val="20"/>
                <w:szCs w:val="20"/>
                <w:color w:val="auto"/>
              </w:rPr>
            </w:pPr>
            <w:r>
              <w:rPr>
                <w:rFonts w:ascii="Arial Unicode MS" w:cs="Arial Unicode MS" w:eastAsia="Arial Unicode MS" w:hAnsi="Arial Unicode MS"/>
                <w:sz w:val="10"/>
                <w:szCs w:val="10"/>
                <w:color w:val="auto"/>
              </w:rPr>
              <w:t>☐</w:t>
            </w:r>
          </w:p>
        </w:tc>
      </w:tr>
      <w:tr>
        <w:trPr>
          <w:trHeight w:val="158"/>
        </w:trPr>
        <w:tc>
          <w:tcPr>
            <w:tcW w:w="14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840" w:type="dxa"/>
            <w:vAlign w:val="bottom"/>
          </w:tcPr>
          <w:p>
            <w:pPr>
              <w:ind w:left="2760"/>
              <w:spacing w:after="0" w:line="134" w:lineRule="exact"/>
              <w:rPr>
                <w:sz w:val="20"/>
                <w:szCs w:val="20"/>
                <w:color w:val="auto"/>
              </w:rPr>
            </w:pPr>
            <w:r>
              <w:rPr>
                <w:rFonts w:ascii="Arial Unicode MS" w:cs="Arial Unicode MS" w:eastAsia="Arial Unicode MS" w:hAnsi="Arial Unicode MS"/>
                <w:sz w:val="10"/>
                <w:szCs w:val="10"/>
                <w:color w:val="auto"/>
              </w:rPr>
              <w:t>Emerging growth company</w:t>
            </w:r>
          </w:p>
        </w:tc>
        <w:tc>
          <w:tcPr>
            <w:tcW w:w="1040" w:type="dxa"/>
            <w:vAlign w:val="bottom"/>
          </w:tcPr>
          <w:p>
            <w:pPr>
              <w:ind w:left="940"/>
              <w:spacing w:after="0" w:line="134" w:lineRule="exact"/>
              <w:rPr>
                <w:sz w:val="20"/>
                <w:szCs w:val="20"/>
                <w:color w:val="auto"/>
              </w:rPr>
            </w:pPr>
            <w:r>
              <w:rPr>
                <w:rFonts w:ascii="Arial Unicode MS" w:cs="Arial Unicode MS" w:eastAsia="Arial Unicode MS" w:hAnsi="Arial Unicode MS"/>
                <w:sz w:val="10"/>
                <w:szCs w:val="10"/>
                <w:color w:val="auto"/>
              </w:rPr>
              <w:t>☐</w:t>
            </w:r>
          </w:p>
        </w:tc>
      </w:tr>
    </w:tbl>
    <w:p>
      <w:pPr>
        <w:spacing w:after="0" w:line="49" w:lineRule="exact"/>
        <w:rPr>
          <w:sz w:val="20"/>
          <w:szCs w:val="20"/>
          <w:color w:val="auto"/>
        </w:rPr>
      </w:pPr>
    </w:p>
    <w:p>
      <w:pPr>
        <w:ind w:left="220"/>
        <w:spacing w:after="0" w:line="121" w:lineRule="exact"/>
        <w:rPr>
          <w:sz w:val="20"/>
          <w:szCs w:val="20"/>
          <w:color w:val="auto"/>
        </w:rPr>
      </w:pPr>
      <w:r>
        <w:rPr>
          <w:rFonts w:ascii="Arial Unicode MS" w:cs="Arial Unicode MS" w:eastAsia="Arial Unicode MS" w:hAnsi="Arial Unicode MS"/>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121" w:lineRule="exact"/>
        <w:rPr>
          <w:sz w:val="20"/>
          <w:szCs w:val="20"/>
          <w:color w:val="auto"/>
        </w:rPr>
      </w:pPr>
      <w:r>
        <w:rPr>
          <w:rFonts w:ascii="Arial Unicode MS" w:cs="Arial Unicode MS" w:eastAsia="Arial Unicode MS" w:hAnsi="Arial Unicode MS"/>
          <w:sz w:val="10"/>
          <w:szCs w:val="10"/>
          <w:color w:val="auto"/>
        </w:rPr>
        <w:t>Act.</w:t>
      </w:r>
    </w:p>
    <w:p>
      <w:pPr>
        <w:sectPr>
          <w:pgSz w:w="11900" w:h="16838" w:orient="portrait"/>
          <w:cols w:equalWidth="0" w:num="1">
            <w:col w:w="10280"/>
          </w:cols>
          <w:pgMar w:left="800" w:top="402" w:right="819" w:bottom="1440" w:gutter="0" w:footer="0" w:header="0"/>
        </w:sectPr>
      </w:pPr>
    </w:p>
    <w:p>
      <w:pPr>
        <w:spacing w:after="0" w:line="84" w:lineRule="exact"/>
        <w:rPr>
          <w:sz w:val="20"/>
          <w:szCs w:val="20"/>
          <w:color w:val="auto"/>
        </w:rPr>
      </w:pPr>
    </w:p>
    <w:p>
      <w:pPr>
        <w:spacing w:after="0" w:line="134" w:lineRule="exact"/>
        <w:rPr>
          <w:sz w:val="20"/>
          <w:szCs w:val="20"/>
          <w:color w:val="auto"/>
        </w:rPr>
      </w:pPr>
      <w:r>
        <w:rPr>
          <w:rFonts w:ascii="Arial Unicode MS" w:cs="Arial Unicode MS" w:eastAsia="Arial Unicode MS" w:hAnsi="Arial Unicode MS"/>
          <w:sz w:val="10"/>
          <w:szCs w:val="10"/>
          <w:color w:val="auto"/>
        </w:rPr>
        <w:t>Digital Realty Trust, Inc.</w:t>
      </w:r>
    </w:p>
    <w:p>
      <w:pPr>
        <w:spacing w:after="0" w:line="124" w:lineRule="exact"/>
        <w:rPr>
          <w:sz w:val="20"/>
          <w:szCs w:val="20"/>
          <w:color w:val="auto"/>
        </w:rPr>
      </w:pPr>
      <w:r>
        <w:rPr>
          <w:rFonts w:ascii="Arial Unicode MS" w:cs="Arial Unicode MS" w:eastAsia="Arial Unicode MS" w:hAnsi="Arial Unicode MS"/>
          <w:sz w:val="10"/>
          <w:szCs w:val="10"/>
          <w:color w:val="auto"/>
        </w:rPr>
        <w:t>Digital Realty Trust, L.P.</w:t>
      </w:r>
    </w:p>
    <w:p>
      <w:pPr>
        <w:spacing w:after="0" w:line="162" w:lineRule="exact"/>
        <w:rPr>
          <w:sz w:val="20"/>
          <w:szCs w:val="20"/>
          <w:color w:val="auto"/>
        </w:rPr>
      </w:pPr>
    </w:p>
    <w:p>
      <w:pPr>
        <w:ind w:left="220"/>
        <w:spacing w:after="0" w:line="121" w:lineRule="exact"/>
        <w:rPr>
          <w:sz w:val="20"/>
          <w:szCs w:val="20"/>
          <w:color w:val="auto"/>
        </w:rPr>
      </w:pPr>
      <w:r>
        <w:rPr>
          <w:rFonts w:ascii="Arial Unicode MS" w:cs="Arial Unicode MS" w:eastAsia="Arial Unicode MS" w:hAnsi="Arial Unicode MS"/>
          <w:sz w:val="9"/>
          <w:szCs w:val="9"/>
          <w:color w:val="auto"/>
        </w:rPr>
        <w:t>Indicate by check mark whether the registrant has led a report on and attestation to its management’s assessment of the e</w:t>
      </w:r>
      <w:r>
        <w:rPr>
          <w:rFonts w:ascii="Arial" w:cs="Arial" w:eastAsia="Arial" w:hAnsi="Arial"/>
          <w:sz w:val="9"/>
          <w:szCs w:val="9"/>
          <w:color w:val="auto"/>
        </w:rPr>
        <w:t>ﬀ</w:t>
      </w:r>
      <w:r>
        <w:rPr>
          <w:rFonts w:ascii="Arial Unicode MS" w:cs="Arial Unicode MS" w:eastAsia="Arial Unicode MS" w:hAnsi="Arial Unicode MS"/>
          <w:sz w:val="9"/>
          <w:szCs w:val="9"/>
          <w:color w:val="auto"/>
        </w:rPr>
        <w:t>ectiveness of its internal control over nancial reporting under Section 404(b) of the Sarbanes-Oxley Act (15 U.S.C.</w:t>
      </w:r>
    </w:p>
    <w:p>
      <w:pPr>
        <w:spacing w:after="0" w:line="1" w:lineRule="exact"/>
        <w:rPr>
          <w:sz w:val="20"/>
          <w:szCs w:val="20"/>
          <w:color w:val="auto"/>
        </w:rPr>
      </w:pPr>
    </w:p>
    <w:p>
      <w:pPr>
        <w:spacing w:after="0" w:line="134" w:lineRule="exact"/>
        <w:rPr>
          <w:sz w:val="20"/>
          <w:szCs w:val="20"/>
          <w:color w:val="auto"/>
        </w:rPr>
      </w:pPr>
      <w:r>
        <w:rPr>
          <w:rFonts w:ascii="Arial Unicode MS" w:cs="Arial Unicode MS" w:eastAsia="Arial Unicode MS" w:hAnsi="Arial Unicode MS"/>
          <w:sz w:val="10"/>
          <w:szCs w:val="10"/>
          <w:color w:val="auto"/>
        </w:rPr>
        <w:t>7262(b)) by the registered public accounting rm that prepared or issued its audit report.</w:t>
      </w:r>
    </w:p>
    <w:p>
      <w:pPr>
        <w:spacing w:after="0" w:line="103" w:lineRule="exact"/>
        <w:rPr>
          <w:sz w:val="20"/>
          <w:szCs w:val="20"/>
          <w:color w:val="auto"/>
        </w:rPr>
      </w:pPr>
    </w:p>
    <w:p>
      <w:pPr>
        <w:spacing w:after="0" w:line="134" w:lineRule="exact"/>
        <w:rPr>
          <w:sz w:val="20"/>
          <w:szCs w:val="20"/>
          <w:color w:val="auto"/>
        </w:rPr>
      </w:pPr>
      <w:r>
        <w:rPr>
          <w:rFonts w:ascii="Arial Unicode MS" w:cs="Arial Unicode MS" w:eastAsia="Arial Unicode MS" w:hAnsi="Arial Unicode MS"/>
          <w:sz w:val="10"/>
          <w:szCs w:val="10"/>
          <w:color w:val="auto"/>
        </w:rPr>
        <w:t>Digital Realty Trust, Inc.</w:t>
      </w:r>
    </w:p>
    <w:p>
      <w:pPr>
        <w:spacing w:after="0" w:line="124" w:lineRule="exact"/>
        <w:rPr>
          <w:sz w:val="20"/>
          <w:szCs w:val="20"/>
          <w:color w:val="auto"/>
        </w:rPr>
      </w:pPr>
      <w:r>
        <w:rPr>
          <w:rFonts w:ascii="Arial Unicode MS" w:cs="Arial Unicode MS" w:eastAsia="Arial Unicode MS" w:hAnsi="Arial Unicode MS"/>
          <w:sz w:val="10"/>
          <w:szCs w:val="10"/>
          <w:color w:val="auto"/>
        </w:rPr>
        <w:t>Digital Realty Trust, L.P.</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980" w:type="dxa"/>
            <w:vAlign w:val="bottom"/>
          </w:tcPr>
          <w:p>
            <w:pPr>
              <w:ind w:left="220"/>
              <w:spacing w:after="0" w:line="134" w:lineRule="exact"/>
              <w:rPr>
                <w:sz w:val="20"/>
                <w:szCs w:val="20"/>
                <w:color w:val="auto"/>
              </w:rPr>
            </w:pPr>
            <w:r>
              <w:rPr>
                <w:rFonts w:ascii="Arial Unicode MS" w:cs="Arial Unicode MS" w:eastAsia="Arial Unicode MS" w:hAnsi="Arial Unicode MS"/>
                <w:sz w:val="10"/>
                <w:szCs w:val="10"/>
                <w:color w:val="auto"/>
              </w:rPr>
              <w:t>Indicate by check mark whether the registrant is a shell company (as defined in Rule 12b-2 of the Act).</w:t>
            </w:r>
          </w:p>
        </w:tc>
        <w:tc>
          <w:tcPr>
            <w:tcW w:w="27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203"/>
        </w:trPr>
        <w:tc>
          <w:tcPr>
            <w:tcW w:w="6980" w:type="dxa"/>
            <w:vAlign w:val="bottom"/>
          </w:tcPr>
          <w:p>
            <w:pPr>
              <w:spacing w:after="0" w:line="134" w:lineRule="exact"/>
              <w:rPr>
                <w:sz w:val="20"/>
                <w:szCs w:val="20"/>
                <w:color w:val="auto"/>
              </w:rPr>
            </w:pPr>
            <w:r>
              <w:rPr>
                <w:rFonts w:ascii="Arial Unicode MS" w:cs="Arial Unicode MS" w:eastAsia="Arial Unicode MS" w:hAnsi="Arial Unicode MS"/>
                <w:sz w:val="10"/>
                <w:szCs w:val="10"/>
                <w:color w:val="auto"/>
              </w:rPr>
              <w:t>Digital Realty Trust, Inc.</w:t>
            </w:r>
          </w:p>
        </w:tc>
        <w:tc>
          <w:tcPr>
            <w:tcW w:w="2760" w:type="dxa"/>
            <w:vAlign w:val="bottom"/>
          </w:tcPr>
          <w:p>
            <w:pPr>
              <w:ind w:left="2620"/>
              <w:spacing w:after="0" w:line="121" w:lineRule="exact"/>
              <w:rPr>
                <w:sz w:val="20"/>
                <w:szCs w:val="20"/>
                <w:color w:val="auto"/>
              </w:rPr>
            </w:pPr>
            <w:r>
              <w:rPr>
                <w:rFonts w:ascii="Arial Unicode MS" w:cs="Arial Unicode MS" w:eastAsia="Arial Unicode MS" w:hAnsi="Arial Unicode MS"/>
                <w:sz w:val="9"/>
                <w:szCs w:val="9"/>
                <w:color w:val="auto"/>
                <w:w w:val="77"/>
              </w:rPr>
              <w:t>Yes</w:t>
            </w:r>
          </w:p>
        </w:tc>
        <w:tc>
          <w:tcPr>
            <w:tcW w:w="340" w:type="dxa"/>
            <w:vAlign w:val="bottom"/>
          </w:tcPr>
          <w:p>
            <w:pPr>
              <w:ind w:left="40"/>
              <w:spacing w:after="0" w:line="134" w:lineRule="exact"/>
              <w:rPr>
                <w:sz w:val="20"/>
                <w:szCs w:val="20"/>
                <w:color w:val="auto"/>
              </w:rPr>
            </w:pPr>
            <w:r>
              <w:rPr>
                <w:rFonts w:ascii="Arial Unicode MS" w:cs="Arial Unicode MS" w:eastAsia="Arial Unicode MS" w:hAnsi="Arial Unicode MS"/>
                <w:sz w:val="10"/>
                <w:szCs w:val="10"/>
                <w:color w:val="auto"/>
              </w:rPr>
              <w:t>☐ No</w:t>
            </w:r>
          </w:p>
        </w:tc>
      </w:tr>
      <w:tr>
        <w:trPr>
          <w:trHeight w:val="167"/>
        </w:trPr>
        <w:tc>
          <w:tcPr>
            <w:tcW w:w="6980" w:type="dxa"/>
            <w:vAlign w:val="bottom"/>
          </w:tcPr>
          <w:p>
            <w:pPr>
              <w:spacing w:after="0" w:line="134" w:lineRule="exact"/>
              <w:rPr>
                <w:sz w:val="20"/>
                <w:szCs w:val="20"/>
                <w:color w:val="auto"/>
              </w:rPr>
            </w:pPr>
            <w:r>
              <w:rPr>
                <w:rFonts w:ascii="Arial Unicode MS" w:cs="Arial Unicode MS" w:eastAsia="Arial Unicode MS" w:hAnsi="Arial Unicode MS"/>
                <w:sz w:val="10"/>
                <w:szCs w:val="10"/>
                <w:color w:val="auto"/>
              </w:rPr>
              <w:t>Digital Realty Trust, L.P.</w:t>
            </w:r>
          </w:p>
        </w:tc>
        <w:tc>
          <w:tcPr>
            <w:tcW w:w="2760" w:type="dxa"/>
            <w:vAlign w:val="bottom"/>
          </w:tcPr>
          <w:p>
            <w:pPr>
              <w:ind w:left="2580"/>
              <w:spacing w:after="0" w:line="134" w:lineRule="exact"/>
              <w:rPr>
                <w:sz w:val="20"/>
                <w:szCs w:val="20"/>
                <w:color w:val="auto"/>
              </w:rPr>
            </w:pPr>
            <w:r>
              <w:rPr>
                <w:rFonts w:ascii="Arial Unicode MS" w:cs="Arial Unicode MS" w:eastAsia="Arial Unicode MS" w:hAnsi="Arial Unicode MS"/>
                <w:sz w:val="10"/>
                <w:szCs w:val="10"/>
                <w:color w:val="auto"/>
                <w:w w:val="92"/>
              </w:rPr>
              <w:t>Yes</w:t>
            </w:r>
          </w:p>
        </w:tc>
        <w:tc>
          <w:tcPr>
            <w:tcW w:w="340" w:type="dxa"/>
            <w:vAlign w:val="bottom"/>
          </w:tcPr>
          <w:p>
            <w:pPr>
              <w:spacing w:after="0" w:line="134" w:lineRule="exact"/>
              <w:rPr>
                <w:sz w:val="20"/>
                <w:szCs w:val="20"/>
                <w:color w:val="auto"/>
              </w:rPr>
            </w:pPr>
            <w:r>
              <w:rPr>
                <w:rFonts w:ascii="Arial Unicode MS" w:cs="Arial Unicode MS" w:eastAsia="Arial Unicode MS" w:hAnsi="Arial Unicode MS"/>
                <w:sz w:val="10"/>
                <w:szCs w:val="10"/>
                <w:color w:val="auto"/>
              </w:rPr>
              <w:t>☐ No</w:t>
            </w: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right"/>
        <w:spacing w:after="0" w:line="134" w:lineRule="exact"/>
        <w:rPr>
          <w:sz w:val="20"/>
          <w:szCs w:val="20"/>
          <w:color w:val="auto"/>
        </w:rPr>
      </w:pPr>
      <w:r>
        <w:rPr>
          <w:rFonts w:ascii="Arial Unicode MS" w:cs="Arial Unicode MS" w:eastAsia="Arial Unicode MS" w:hAnsi="Arial Unicode MS"/>
          <w:sz w:val="10"/>
          <w:szCs w:val="10"/>
          <w:color w:val="auto"/>
        </w:rPr>
        <w:t>☐</w:t>
      </w:r>
    </w:p>
    <w:p>
      <w:pPr>
        <w:spacing w:after="0" w:line="13" w:lineRule="exact"/>
        <w:rPr>
          <w:sz w:val="20"/>
          <w:szCs w:val="20"/>
          <w:color w:val="auto"/>
        </w:rPr>
      </w:pPr>
    </w:p>
    <w:p>
      <w:pPr>
        <w:jc w:val="right"/>
        <w:spacing w:after="0" w:line="134" w:lineRule="exact"/>
        <w:rPr>
          <w:sz w:val="20"/>
          <w:szCs w:val="20"/>
          <w:color w:val="auto"/>
        </w:rPr>
      </w:pPr>
      <w:r>
        <w:rPr>
          <w:rFonts w:ascii="Arial Unicode MS" w:cs="Arial Unicode MS" w:eastAsia="Arial Unicode MS" w:hAnsi="Arial Unicode MS"/>
          <w:sz w:val="10"/>
          <w:szCs w:val="10"/>
          <w:color w:val="auto"/>
        </w:rPr>
        <w:t>☐</w:t>
      </w:r>
    </w:p>
    <w:p>
      <w:pPr>
        <w:spacing w:after="0" w:line="200" w:lineRule="exact"/>
        <w:rPr>
          <w:sz w:val="20"/>
          <w:szCs w:val="20"/>
          <w:color w:val="auto"/>
        </w:rPr>
      </w:pPr>
    </w:p>
    <w:p>
      <w:pPr>
        <w:spacing w:after="0" w:line="297" w:lineRule="exact"/>
        <w:rPr>
          <w:sz w:val="20"/>
          <w:szCs w:val="20"/>
          <w:color w:val="auto"/>
        </w:rPr>
      </w:pPr>
    </w:p>
    <w:p>
      <w:pPr>
        <w:jc w:val="right"/>
        <w:spacing w:after="0" w:line="134" w:lineRule="exact"/>
        <w:rPr>
          <w:sz w:val="20"/>
          <w:szCs w:val="20"/>
          <w:color w:val="auto"/>
        </w:rPr>
      </w:pPr>
      <w:r>
        <w:rPr>
          <w:rFonts w:ascii="Arial Unicode MS" w:cs="Arial Unicode MS" w:eastAsia="Arial Unicode MS" w:hAnsi="Arial Unicode MS"/>
          <w:sz w:val="10"/>
          <w:szCs w:val="10"/>
          <w:color w:val="auto"/>
        </w:rPr>
        <w:t>☒</w:t>
      </w:r>
    </w:p>
    <w:p>
      <w:pPr>
        <w:spacing w:after="0" w:line="13" w:lineRule="exact"/>
        <w:rPr>
          <w:sz w:val="20"/>
          <w:szCs w:val="20"/>
          <w:color w:val="auto"/>
        </w:rPr>
      </w:pPr>
    </w:p>
    <w:p>
      <w:pPr>
        <w:jc w:val="right"/>
        <w:spacing w:after="0" w:line="134" w:lineRule="exact"/>
        <w:rPr>
          <w:sz w:val="20"/>
          <w:szCs w:val="20"/>
          <w:color w:val="auto"/>
        </w:rPr>
      </w:pPr>
      <w:r>
        <w:rPr>
          <w:rFonts w:ascii="Arial Unicode MS" w:cs="Arial Unicode MS" w:eastAsia="Arial Unicode MS" w:hAnsi="Arial Unicode MS"/>
          <w:sz w:val="10"/>
          <w:szCs w:val="10"/>
          <w:color w:val="auto"/>
        </w:rPr>
        <w:t>☐</w:t>
      </w:r>
    </w:p>
    <w:p>
      <w:pPr>
        <w:spacing w:after="0" w:line="200" w:lineRule="exact"/>
        <w:rPr>
          <w:sz w:val="20"/>
          <w:szCs w:val="20"/>
          <w:color w:val="auto"/>
        </w:rPr>
      </w:pPr>
    </w:p>
    <w:p>
      <w:pPr>
        <w:spacing w:after="0" w:line="221" w:lineRule="exact"/>
        <w:rPr>
          <w:sz w:val="20"/>
          <w:szCs w:val="20"/>
          <w:color w:val="auto"/>
        </w:rPr>
      </w:pPr>
    </w:p>
    <w:p>
      <w:pPr>
        <w:spacing w:after="0" w:line="134" w:lineRule="exact"/>
        <w:rPr>
          <w:sz w:val="20"/>
          <w:szCs w:val="20"/>
          <w:color w:val="auto"/>
        </w:rPr>
      </w:pPr>
      <w:r>
        <w:rPr>
          <w:rFonts w:ascii="Arial Unicode MS" w:cs="Arial Unicode MS" w:eastAsia="Arial Unicode MS" w:hAnsi="Arial Unicode MS"/>
          <w:sz w:val="10"/>
          <w:szCs w:val="10"/>
          <w:color w:val="auto"/>
        </w:rPr>
        <w:t>⌧</w:t>
      </w:r>
    </w:p>
    <w:p>
      <w:pPr>
        <w:spacing w:after="0" w:line="24" w:lineRule="exact"/>
        <w:rPr>
          <w:sz w:val="20"/>
          <w:szCs w:val="20"/>
          <w:color w:val="auto"/>
        </w:rPr>
      </w:pPr>
    </w:p>
    <w:p>
      <w:pPr>
        <w:spacing w:after="0" w:line="134" w:lineRule="exact"/>
        <w:rPr>
          <w:sz w:val="20"/>
          <w:szCs w:val="20"/>
          <w:color w:val="auto"/>
        </w:rPr>
      </w:pPr>
      <w:r>
        <w:rPr>
          <w:rFonts w:ascii="Arial Unicode MS" w:cs="Arial Unicode MS" w:eastAsia="Arial Unicode MS" w:hAnsi="Arial Unicode MS"/>
          <w:sz w:val="10"/>
          <w:szCs w:val="10"/>
          <w:color w:val="auto"/>
        </w:rPr>
        <w:t>⌧</w:t>
      </w:r>
    </w:p>
    <w:p>
      <w:pPr>
        <w:spacing w:after="0" w:line="77" w:lineRule="exact"/>
        <w:rPr>
          <w:sz w:val="20"/>
          <w:szCs w:val="20"/>
          <w:color w:val="auto"/>
        </w:rPr>
      </w:pPr>
    </w:p>
    <w:p>
      <w:pPr>
        <w:sectPr>
          <w:pgSz w:w="11900" w:h="16838" w:orient="portrait"/>
          <w:cols w:equalWidth="0" w:num="2">
            <w:col w:w="10080" w:space="80"/>
            <w:col w:w="120"/>
          </w:cols>
          <w:pgMar w:left="800" w:top="402" w:right="819" w:bottom="1440" w:gutter="0" w:footer="0" w:header="0"/>
          <w:type w:val="continuous"/>
        </w:sectPr>
      </w:pPr>
    </w:p>
    <w:p>
      <w:pPr>
        <w:jc w:val="both"/>
        <w:spacing w:after="0" w:line="113" w:lineRule="exact"/>
        <w:rPr>
          <w:sz w:val="20"/>
          <w:szCs w:val="20"/>
          <w:color w:val="auto"/>
        </w:rPr>
      </w:pPr>
      <w:r>
        <w:rPr>
          <w:rFonts w:ascii="Arial Unicode MS" w:cs="Arial Unicode MS" w:eastAsia="Arial Unicode MS" w:hAnsi="Arial Unicode MS"/>
          <w:sz w:val="10"/>
          <w:szCs w:val="10"/>
          <w:color w:val="auto"/>
        </w:rPr>
        <w:t>The aggregate market value of the common equity held by non-affiliates of Digital Realty Trust, Inc. as of June 30, 2020 totaled approximately $38 billion based on the closing price for Digital Realty Trust, Inc.’s common stock on that day as reported by the New York Stock Exchange. Such value excludes common stock held by executive officers, directors and 10% or greater stockholders as of June 30, 2020. The identification of 10% or greater stockholders as of June 30, 2020 is based on Schedule 13G and amended Schedule 13G reports publicly filed before June 30, 2020. This calculation does not reflect a determination that such parties are affiliates for any other purposes.</w:t>
      </w:r>
    </w:p>
    <w:p>
      <w:pPr>
        <w:spacing w:after="0" w:line="57" w:lineRule="exact"/>
        <w:rPr>
          <w:sz w:val="20"/>
          <w:szCs w:val="20"/>
          <w:color w:val="auto"/>
        </w:rPr>
      </w:pPr>
    </w:p>
    <w:p>
      <w:pPr>
        <w:ind w:left="220"/>
        <w:spacing w:after="0" w:line="134" w:lineRule="exact"/>
        <w:rPr>
          <w:sz w:val="20"/>
          <w:szCs w:val="20"/>
          <w:color w:val="auto"/>
        </w:rPr>
      </w:pPr>
      <w:r>
        <w:rPr>
          <w:rFonts w:ascii="Arial Unicode MS" w:cs="Arial Unicode MS" w:eastAsia="Arial Unicode MS" w:hAnsi="Arial Unicode MS"/>
          <w:sz w:val="10"/>
          <w:szCs w:val="10"/>
          <w:color w:val="auto"/>
        </w:rPr>
        <w:t>There is no public trading market for the common units of Digital Realty Trust, L.P. As a result, the aggregate market value of the common units held by non-affiliates of Digital Realty Trust, L.P. cannot be determined.</w:t>
      </w:r>
    </w:p>
    <w:p>
      <w:pPr>
        <w:spacing w:after="0" w:line="56" w:lineRule="exact"/>
        <w:rPr>
          <w:sz w:val="20"/>
          <w:szCs w:val="20"/>
          <w:color w:val="auto"/>
        </w:rPr>
      </w:pPr>
    </w:p>
    <w:p>
      <w:pPr>
        <w:ind w:left="220"/>
        <w:spacing w:after="0" w:line="134" w:lineRule="exact"/>
        <w:rPr>
          <w:sz w:val="20"/>
          <w:szCs w:val="20"/>
          <w:color w:val="auto"/>
        </w:rPr>
      </w:pPr>
      <w:r>
        <w:rPr>
          <w:rFonts w:ascii="Arial Unicode MS" w:cs="Arial Unicode MS" w:eastAsia="Arial Unicode MS" w:hAnsi="Arial Unicode MS"/>
          <w:sz w:val="10"/>
          <w:szCs w:val="10"/>
          <w:color w:val="auto"/>
        </w:rPr>
        <w:t>Indicate the number of shares outstanding of each of the registrant’s classes of common stock, as of the latest practicable date.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320" w:type="dxa"/>
            <w:vAlign w:val="bottom"/>
          </w:tcPr>
          <w:p>
            <w:pPr>
              <w:ind w:left="220"/>
              <w:spacing w:after="0" w:line="134" w:lineRule="exact"/>
              <w:rPr>
                <w:sz w:val="20"/>
                <w:szCs w:val="20"/>
                <w:color w:val="auto"/>
              </w:rPr>
            </w:pPr>
            <w:r>
              <w:rPr>
                <w:rFonts w:ascii="Arial Unicode MS" w:cs="Arial Unicode MS" w:eastAsia="Arial Unicode MS" w:hAnsi="Arial Unicode MS"/>
                <w:sz w:val="10"/>
                <w:szCs w:val="10"/>
                <w:color w:val="auto"/>
              </w:rPr>
              <w:t>Digital Realty Trust, Inc.:</w:t>
            </w:r>
          </w:p>
        </w:tc>
        <w:tc>
          <w:tcPr>
            <w:tcW w:w="1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40" w:type="dxa"/>
            <w:vAlign w:val="bottom"/>
          </w:tcPr>
          <w:p>
            <w:pPr>
              <w:spacing w:after="0"/>
              <w:rPr>
                <w:sz w:val="11"/>
                <w:szCs w:val="11"/>
                <w:color w:val="auto"/>
              </w:rPr>
            </w:pPr>
          </w:p>
        </w:tc>
      </w:tr>
      <w:tr>
        <w:trPr>
          <w:trHeight w:val="188"/>
        </w:trPr>
        <w:tc>
          <w:tcPr>
            <w:tcW w:w="332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0"/>
                <w:szCs w:val="10"/>
                <w:b w:val="1"/>
                <w:bCs w:val="1"/>
                <w:color w:val="auto"/>
              </w:rPr>
              <w:t>Class</w:t>
            </w:r>
          </w:p>
        </w:tc>
        <w:tc>
          <w:tcPr>
            <w:tcW w:w="1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40" w:type="dxa"/>
            <w:vAlign w:val="bottom"/>
            <w:tcBorders>
              <w:bottom w:val="single" w:sz="8" w:color="auto"/>
            </w:tcBorders>
          </w:tcPr>
          <w:p>
            <w:pPr>
              <w:jc w:val="right"/>
              <w:ind w:right="1749"/>
              <w:spacing w:after="0"/>
              <w:rPr>
                <w:sz w:val="20"/>
                <w:szCs w:val="20"/>
                <w:color w:val="auto"/>
              </w:rPr>
            </w:pPr>
            <w:r>
              <w:rPr>
                <w:rFonts w:ascii="Times New Roman" w:cs="Times New Roman" w:eastAsia="Times New Roman" w:hAnsi="Times New Roman"/>
                <w:sz w:val="10"/>
                <w:szCs w:val="10"/>
                <w:b w:val="1"/>
                <w:bCs w:val="1"/>
                <w:color w:val="auto"/>
              </w:rPr>
              <w:t>Outstanding at February 22, 2021</w:t>
            </w:r>
          </w:p>
        </w:tc>
      </w:tr>
      <w:tr>
        <w:trPr>
          <w:trHeight w:val="120"/>
        </w:trPr>
        <w:tc>
          <w:tcPr>
            <w:tcW w:w="3320" w:type="dxa"/>
            <w:vAlign w:val="bottom"/>
          </w:tcPr>
          <w:p>
            <w:pPr>
              <w:ind w:left="40"/>
              <w:spacing w:after="0" w:line="120" w:lineRule="exact"/>
              <w:rPr>
                <w:sz w:val="20"/>
                <w:szCs w:val="20"/>
                <w:color w:val="auto"/>
              </w:rPr>
            </w:pPr>
            <w:r>
              <w:rPr>
                <w:rFonts w:ascii="Arial Unicode MS" w:cs="Arial Unicode MS" w:eastAsia="Arial Unicode MS" w:hAnsi="Arial Unicode MS"/>
                <w:sz w:val="10"/>
                <w:szCs w:val="10"/>
                <w:color w:val="auto"/>
              </w:rPr>
              <w:t>Common Stock, $.01 par value per share</w:t>
            </w:r>
          </w:p>
        </w:tc>
        <w:tc>
          <w:tcPr>
            <w:tcW w:w="1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40" w:type="dxa"/>
            <w:vAlign w:val="bottom"/>
          </w:tcPr>
          <w:p>
            <w:pPr>
              <w:jc w:val="right"/>
              <w:ind w:right="9"/>
              <w:spacing w:after="0" w:line="120" w:lineRule="exact"/>
              <w:rPr>
                <w:sz w:val="20"/>
                <w:szCs w:val="20"/>
                <w:color w:val="auto"/>
              </w:rPr>
            </w:pPr>
            <w:r>
              <w:rPr>
                <w:rFonts w:ascii="Arial Unicode MS" w:cs="Arial Unicode MS" w:eastAsia="Arial Unicode MS" w:hAnsi="Arial Unicode MS"/>
                <w:sz w:val="10"/>
                <w:szCs w:val="10"/>
                <w:color w:val="auto"/>
              </w:rPr>
              <w:t>281,121,062</w:t>
            </w:r>
          </w:p>
        </w:tc>
      </w:tr>
      <w:tr>
        <w:trPr>
          <w:trHeight w:val="175"/>
        </w:trPr>
        <w:tc>
          <w:tcPr>
            <w:tcW w:w="3320" w:type="dxa"/>
            <w:vAlign w:val="bottom"/>
          </w:tcPr>
          <w:p>
            <w:pPr>
              <w:spacing w:after="0"/>
              <w:rPr>
                <w:sz w:val="15"/>
                <w:szCs w:val="15"/>
                <w:color w:val="auto"/>
              </w:rPr>
            </w:pPr>
          </w:p>
        </w:tc>
        <w:tc>
          <w:tcPr>
            <w:tcW w:w="6960" w:type="dxa"/>
            <w:vAlign w:val="bottom"/>
            <w:gridSpan w:val="3"/>
          </w:tcPr>
          <w:p>
            <w:pPr>
              <w:jc w:val="right"/>
              <w:ind w:right="3929"/>
              <w:spacing w:after="0"/>
              <w:rPr>
                <w:sz w:val="20"/>
                <w:szCs w:val="20"/>
                <w:color w:val="auto"/>
              </w:rPr>
            </w:pPr>
            <w:r>
              <w:rPr>
                <w:rFonts w:ascii="Times New Roman" w:cs="Times New Roman" w:eastAsia="Times New Roman" w:hAnsi="Times New Roman"/>
                <w:sz w:val="10"/>
                <w:szCs w:val="10"/>
                <w:b w:val="1"/>
                <w:bCs w:val="1"/>
                <w:color w:val="auto"/>
              </w:rPr>
              <w:t>DOCUMENTS INCORPORATED BY REFERENCE</w:t>
            </w:r>
          </w:p>
        </w:tc>
      </w:tr>
    </w:tbl>
    <w:p>
      <w:pPr>
        <w:spacing w:after="0" w:line="60" w:lineRule="exact"/>
        <w:rPr>
          <w:sz w:val="20"/>
          <w:szCs w:val="20"/>
          <w:color w:val="auto"/>
        </w:rPr>
      </w:pPr>
    </w:p>
    <w:p>
      <w:pPr>
        <w:ind w:right="200" w:firstLine="228"/>
        <w:spacing w:after="0" w:line="118" w:lineRule="exact"/>
        <w:rPr>
          <w:sz w:val="20"/>
          <w:szCs w:val="20"/>
          <w:color w:val="auto"/>
        </w:rPr>
      </w:pPr>
      <w:r>
        <w:rPr>
          <w:rFonts w:ascii="Arial Unicode MS" w:cs="Arial Unicode MS" w:eastAsia="Arial Unicode MS" w:hAnsi="Arial Unicode MS"/>
          <w:sz w:val="10"/>
          <w:szCs w:val="10"/>
          <w:color w:val="auto"/>
        </w:rPr>
        <w:t>Part III incorporates by reference portions of Digital Realty Trust, Inc.’s Proxy Statement for its 2021 Annual Meeting of Stockholders which the registrants anticipate will be filed no later than 120 days after the end of its fiscal year pursuant to Regulation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535305</wp:posOffset>
            </wp:positionV>
            <wp:extent cx="6534150" cy="12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4150"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47625</wp:posOffset>
            </wp:positionV>
            <wp:extent cx="653415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415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77470</wp:posOffset>
            </wp:positionV>
            <wp:extent cx="6534150"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4150" cy="24130"/>
                    </a:xfrm>
                    <a:prstGeom prst="rect">
                      <a:avLst/>
                    </a:prstGeom>
                    <a:noFill/>
                  </pic:spPr>
                </pic:pic>
              </a:graphicData>
            </a:graphic>
          </wp:anchor>
        </w:drawing>
      </w:r>
    </w:p>
    <w:p>
      <w:pPr>
        <w:sectPr>
          <w:pgSz w:w="11900" w:h="16838" w:orient="portrait"/>
          <w:cols w:equalWidth="0" w:num="1">
            <w:col w:w="10280"/>
          </w:cols>
          <w:pgMar w:left="800" w:top="402" w:right="819" w:bottom="1440" w:gutter="0" w:footer="0" w:header="0"/>
          <w:type w:val="continuous"/>
        </w:sectPr>
      </w:pPr>
    </w:p>
    <w:bookmarkStart w:id="2" w:name="page3"/>
    <w:bookmarkEnd w:id="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EXPLANATORY NOTE</w:t>
      </w:r>
    </w:p>
    <w:p>
      <w:pPr>
        <w:spacing w:after="0" w:line="156" w:lineRule="exact"/>
        <w:rPr>
          <w:sz w:val="20"/>
          <w:szCs w:val="20"/>
          <w:color w:val="auto"/>
        </w:rPr>
      </w:pPr>
    </w:p>
    <w:p>
      <w:pPr>
        <w:ind w:left="20" w:right="59" w:firstLine="228"/>
        <w:spacing w:after="0" w:line="275" w:lineRule="auto"/>
        <w:rPr>
          <w:sz w:val="20"/>
          <w:szCs w:val="20"/>
          <w:color w:val="auto"/>
        </w:rPr>
      </w:pPr>
      <w:r>
        <w:rPr>
          <w:rFonts w:ascii="Times New Roman" w:cs="Times New Roman" w:eastAsia="Times New Roman" w:hAnsi="Times New Roman"/>
          <w:sz w:val="12"/>
          <w:szCs w:val="12"/>
          <w:color w:val="auto"/>
        </w:rPr>
        <w:t>This report combines the annual reports on Form 10-K for the year ended December 31, 2020 of Digital Realty Trust, Inc., a Maryland corporation, and Digital Realty Trust, L.P., a Maryland limited partnership, of which Digital Realty Trust, Inc. is the sole general partner. Unless otherwise indicated or unless the context requires otherwise, all references in this report to “we,” “us,” “our,” “our Company” or “the Company” refer to Digital Realty Trust, Inc. together with its consolidated subsidiaries, including Digital Realty Trust, L.P. In statements regarding qualification as a REIT, such terms refer solely to Digital Realty Trust, Inc. Unless otherwise indicated or unless the context requires otherwise, all references to “our Operating Partnership” or “the Operating Partnership” refer to Digital Realty Trust, L.P. together with its consolidated subsidiaries.</w:t>
      </w:r>
    </w:p>
    <w:p>
      <w:pPr>
        <w:spacing w:after="0" w:line="121" w:lineRule="exact"/>
        <w:rPr>
          <w:sz w:val="20"/>
          <w:szCs w:val="20"/>
          <w:color w:val="auto"/>
        </w:rPr>
      </w:pPr>
    </w:p>
    <w:p>
      <w:pPr>
        <w:ind w:left="20" w:right="99" w:firstLine="228"/>
        <w:spacing w:after="0" w:line="249" w:lineRule="auto"/>
        <w:rPr>
          <w:sz w:val="20"/>
          <w:szCs w:val="20"/>
          <w:color w:val="auto"/>
        </w:rPr>
      </w:pPr>
      <w:r>
        <w:rPr>
          <w:rFonts w:ascii="Times New Roman" w:cs="Times New Roman" w:eastAsia="Times New Roman" w:hAnsi="Times New Roman"/>
          <w:sz w:val="13"/>
          <w:szCs w:val="13"/>
          <w:color w:val="auto"/>
        </w:rPr>
        <w:t>Digital Realty Trust, Inc. is a real estate investment trust, or REIT, and the sole general partner of Digital Realty Trust, L.P. As of December 31, 2020, Digital Realty Trust, Inc. owned an approximate 97.2% common general partnership interest in Digital Realty Trust, L.P. The remaining approximate 2.8% of the common limited partnership interests of Digital Realty Trust, L.P. are owned by non-affiliated third parties and certain directors and officers of Digital Realty Trust, Inc. As of December 31, 2020, Digital Realty Trust, Inc. owned all of the preferred limited partnership interests of Digital Realty Trust, L.P. As the sole general partner of Digital Realty Trust, L.P., Digital Realty Trust, Inc. has the full, exclusive and complete responsibility for the Operating Partnership’s day-to-day management and control.</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We believe combining the annual reports on Form 10-K of Digital Realty Trust, Inc. and Digital Realty Trust, L.P. into this single report results in the following benefits:</w:t>
      </w:r>
    </w:p>
    <w:p>
      <w:pPr>
        <w:spacing w:after="0" w:line="166" w:lineRule="exact"/>
        <w:rPr>
          <w:sz w:val="20"/>
          <w:szCs w:val="20"/>
          <w:color w:val="auto"/>
        </w:rPr>
      </w:pPr>
    </w:p>
    <w:p>
      <w:pPr>
        <w:ind w:left="500" w:right="419" w:hanging="228"/>
        <w:spacing w:after="0" w:line="254" w:lineRule="auto"/>
        <w:tabs>
          <w:tab w:leader="none" w:pos="5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enhancing investors’ understanding of our Company and our Operating Partnership by enabling investors to view the business as a whole in the same manner as management views and operates the business;</w:t>
      </w:r>
    </w:p>
    <w:p>
      <w:pPr>
        <w:ind w:left="500" w:right="539" w:hanging="228"/>
        <w:spacing w:after="0" w:line="243" w:lineRule="auto"/>
        <w:tabs>
          <w:tab w:leader="none" w:pos="5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eliminating duplicative disclosure and providing a more streamlined and readable presentation since a substantial portion of the disclosure applies to both our Company and our Operating Partnership; and</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creating time and cost efficiencies through the preparation of one combined report instead of two separate reports.</w:t>
      </w:r>
    </w:p>
    <w:p>
      <w:pPr>
        <w:spacing w:after="0" w:line="141" w:lineRule="exact"/>
        <w:rPr>
          <w:sz w:val="20"/>
          <w:szCs w:val="20"/>
          <w:color w:val="auto"/>
        </w:rPr>
      </w:pPr>
    </w:p>
    <w:p>
      <w:pPr>
        <w:ind w:left="20" w:right="119" w:firstLine="228"/>
        <w:spacing w:after="0" w:line="246" w:lineRule="auto"/>
        <w:rPr>
          <w:sz w:val="20"/>
          <w:szCs w:val="20"/>
          <w:color w:val="auto"/>
        </w:rPr>
      </w:pPr>
      <w:r>
        <w:rPr>
          <w:rFonts w:ascii="Times New Roman" w:cs="Times New Roman" w:eastAsia="Times New Roman" w:hAnsi="Times New Roman"/>
          <w:sz w:val="13"/>
          <w:szCs w:val="13"/>
          <w:color w:val="auto"/>
        </w:rPr>
        <w:t>There are a few differences between our Company and our Operating Partnership, which are reflected in the disclosure in this report. We believe it is important to understand the differences between our Company and our Operating Partnership in the context of how we operate as an interrelated consolidated company. Digital Realty Trust, Inc. is a REIT, whose only material asset is its ownership of partnership interests of Digital Realty Trust, L.P. As a result, Digital Realty Trust, Inc. does not conduct business itself, other than acting as the sole general partner of Digital Realty Trust, L.P., issuing public equity from time to time and guaranteeing certain unsecured debt of Digital Realty Trust, L.P. and certain of its subsidiaries. Digital Realty Trust, Inc. itself does not issue any indebtedness but guarantees the unsecured debt of Digital Realty Trust, L.P. and certain of its subsidiaries and affiliates, as disclosed in this report. Digital Realty Trust, L.P. holds substantially all the assets of the Company and holds the ownership interests in the Company’s joint ventures. Digital Realty Trust, L.P. conducts the operations of the business and is structured as a partnership with no publicly traded equity. Except for net proceeds from public equity issuances by Digital Realty Trust, Inc., which are generally contributed to Digital Realty Trust, L.P. in exchange for partnership units, Digital Realty Trust, L.P. generates the capital required by the Company’s business through Digital Realty Trust, L.P.’s operations, by Digital Realty Trust, L.P.’s direct or indirect incurrence of indebtedness or through the issuance of partnership units.</w:t>
      </w:r>
    </w:p>
    <w:p>
      <w:pPr>
        <w:spacing w:after="0" w:line="138" w:lineRule="exact"/>
        <w:rPr>
          <w:sz w:val="20"/>
          <w:szCs w:val="20"/>
          <w:color w:val="auto"/>
        </w:rPr>
      </w:pPr>
    </w:p>
    <w:p>
      <w:pPr>
        <w:ind w:left="20" w:right="159" w:firstLine="228"/>
        <w:spacing w:after="0" w:line="247" w:lineRule="auto"/>
        <w:rPr>
          <w:sz w:val="20"/>
          <w:szCs w:val="20"/>
          <w:color w:val="auto"/>
        </w:rPr>
      </w:pPr>
      <w:r>
        <w:rPr>
          <w:rFonts w:ascii="Times New Roman" w:cs="Times New Roman" w:eastAsia="Times New Roman" w:hAnsi="Times New Roman"/>
          <w:sz w:val="13"/>
          <w:szCs w:val="13"/>
          <w:color w:val="auto"/>
        </w:rPr>
        <w:t>The presentation of noncontrolling interests in operating partnership, stockholders’ equity and partners’ capital are the main areas of difference between the consolidated financial statements of Digital Realty Trust, Inc. and those of Digital Realty Trust, L.P. The common limited partnership interests held by the limited partners in Digital Realty Trust, L.P. are presented as limited partners’ capital within partners’ capital in Digital Realty Trust, L.P.’s consolidated financial statements and as noncontrolling interests in operating partnership within equity in Digital Realty Trust, Inc.’s consolidated financial statements. The common and preferred partnership interests held by Digital Realty Trust, Inc. in Digital Realty Trust, L.P. are presented as general partner’s capital within partners’ capital in Digital Realty Trust, L.P.’s consolidated financial statements and as preferred stock, common stock, additional paid-in capital and accumulated dividends in excess of earnings within stockholders’ equity in Digital Realty Trust, Inc.’s consolidated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337185</wp:posOffset>
            </wp:positionV>
            <wp:extent cx="5690235" cy="12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 w:name="page4"/>
    <w:bookmarkEnd w:id="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579"/>
        <w:spacing w:after="0" w:line="268" w:lineRule="auto"/>
        <w:rPr>
          <w:sz w:val="20"/>
          <w:szCs w:val="20"/>
          <w:color w:val="auto"/>
        </w:rPr>
      </w:pPr>
      <w:r>
        <w:rPr>
          <w:rFonts w:ascii="Times New Roman" w:cs="Times New Roman" w:eastAsia="Times New Roman" w:hAnsi="Times New Roman"/>
          <w:sz w:val="13"/>
          <w:szCs w:val="13"/>
          <w:color w:val="auto"/>
        </w:rPr>
        <w:t>statements. The differences in the presentations between stockholders’ equity and partners’ capital result from the differences in the equity issued at the Digital Realty Trust, Inc. and the Digital Realty Trust, L.P. levels.</w:t>
      </w:r>
    </w:p>
    <w:p>
      <w:pPr>
        <w:spacing w:after="0" w:line="122" w:lineRule="exact"/>
        <w:rPr>
          <w:sz w:val="20"/>
          <w:szCs w:val="20"/>
          <w:color w:val="auto"/>
        </w:rPr>
      </w:pPr>
    </w:p>
    <w:p>
      <w:pPr>
        <w:ind w:left="20" w:right="59" w:firstLine="228"/>
        <w:spacing w:after="0" w:line="268" w:lineRule="auto"/>
        <w:rPr>
          <w:sz w:val="20"/>
          <w:szCs w:val="20"/>
          <w:color w:val="auto"/>
        </w:rPr>
      </w:pPr>
      <w:r>
        <w:rPr>
          <w:rFonts w:ascii="Times New Roman" w:cs="Times New Roman" w:eastAsia="Times New Roman" w:hAnsi="Times New Roman"/>
          <w:sz w:val="13"/>
          <w:szCs w:val="13"/>
          <w:color w:val="auto"/>
        </w:rPr>
        <w:t>To help investors understand the significant differences between the Company and the Operating Partnership, this report presents the following separate sections for each of the Company and the Operating Partnership:</w:t>
      </w:r>
    </w:p>
    <w:p>
      <w:pPr>
        <w:spacing w:after="0" w:line="122" w:lineRule="exact"/>
        <w:rPr>
          <w:sz w:val="20"/>
          <w:szCs w:val="20"/>
          <w:color w:val="auto"/>
        </w:rPr>
      </w:pPr>
    </w:p>
    <w:p>
      <w:pPr>
        <w:ind w:left="500" w:hanging="228"/>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financial statements;</w:t>
      </w:r>
    </w:p>
    <w:p>
      <w:pPr>
        <w:spacing w:after="0" w:line="15"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notes to the consolidated financial statements:</w:t>
      </w:r>
    </w:p>
    <w:p>
      <w:pPr>
        <w:spacing w:after="0" w:line="2"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of the Company" and "Debt of the Operating Partnership";</w:t>
      </w:r>
    </w:p>
    <w:p>
      <w:pPr>
        <w:spacing w:after="0" w:line="2"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"Income per Share" and "Income per Unit";</w:t>
      </w:r>
    </w:p>
    <w:p>
      <w:pPr>
        <w:spacing w:after="0" w:line="2" w:lineRule="exact"/>
        <w:rPr>
          <w:rFonts w:ascii="Times New Roman" w:cs="Times New Roman" w:eastAsia="Times New Roman" w:hAnsi="Times New Roman"/>
          <w:sz w:val="13"/>
          <w:szCs w:val="13"/>
          <w:color w:val="auto"/>
        </w:rPr>
      </w:pPr>
    </w:p>
    <w:p>
      <w:pPr>
        <w:ind w:left="720" w:right="559" w:hanging="220"/>
        <w:spacing w:after="0" w:line="243" w:lineRule="auto"/>
        <w:tabs>
          <w:tab w:leader="none" w:pos="7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and Accumulated Other Comprehensive Loss, Net of the Company" and "Capital and Accumulated Other Comprehensive Loss of the Operating Partnership"; and</w:t>
      </w:r>
    </w:p>
    <w:p>
      <w:pPr>
        <w:spacing w:after="0" w:line="1"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"Quarterly Financial Information";</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Liquidity and Capital Resources in Management’s Discussion and Analysis of Financial Condition and Results of Operations;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for Registrant’s Common Equity, Related Stockholder Matters and Issuer Purchases of Equity Securities; and</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Selected Financial Data.</w:t>
      </w:r>
    </w:p>
    <w:p>
      <w:pPr>
        <w:spacing w:after="0" w:line="141" w:lineRule="exact"/>
        <w:rPr>
          <w:sz w:val="20"/>
          <w:szCs w:val="20"/>
          <w:color w:val="auto"/>
        </w:rPr>
      </w:pPr>
    </w:p>
    <w:p>
      <w:pPr>
        <w:ind w:left="20" w:right="199" w:firstLine="228"/>
        <w:spacing w:after="0" w:line="256" w:lineRule="auto"/>
        <w:rPr>
          <w:sz w:val="20"/>
          <w:szCs w:val="20"/>
          <w:color w:val="auto"/>
        </w:rPr>
      </w:pPr>
      <w:r>
        <w:rPr>
          <w:rFonts w:ascii="Times New Roman" w:cs="Times New Roman" w:eastAsia="Times New Roman" w:hAnsi="Times New Roman"/>
          <w:sz w:val="13"/>
          <w:szCs w:val="13"/>
          <w:color w:val="auto"/>
        </w:rPr>
        <w:t>This report also includes separate Item 9A. Controls and Procedures sections and separate Exhibit 31 and 32 certifications for each of the Company and the Operating Partnership in order to establish that the Chief Executive Officer and Chief Financial Officer of each entity has made the requisite certifications and that the Company and the Operating Partnership are compliant with Rule 13a-15 or Rule 15d-15 of the Securities Exchange Act of 1934 and 18 U.S.C. §1350.</w:t>
      </w:r>
    </w:p>
    <w:p>
      <w:pPr>
        <w:spacing w:after="0" w:line="129" w:lineRule="exact"/>
        <w:rPr>
          <w:sz w:val="20"/>
          <w:szCs w:val="20"/>
          <w:color w:val="auto"/>
        </w:rPr>
      </w:pPr>
    </w:p>
    <w:p>
      <w:pPr>
        <w:ind w:left="20" w:right="39" w:firstLine="228"/>
        <w:spacing w:after="0" w:line="279" w:lineRule="auto"/>
        <w:rPr>
          <w:sz w:val="20"/>
          <w:szCs w:val="20"/>
          <w:color w:val="auto"/>
        </w:rPr>
      </w:pPr>
      <w:r>
        <w:rPr>
          <w:rFonts w:ascii="Times New Roman" w:cs="Times New Roman" w:eastAsia="Times New Roman" w:hAnsi="Times New Roman"/>
          <w:sz w:val="12"/>
          <w:szCs w:val="12"/>
          <w:color w:val="auto"/>
        </w:rPr>
        <w:t>In order to highlight the differences between the Company and the Operating Partnership, the separate sections in this report for the Company and the Operating Partnership specifically refer to the Company and the Operating Partnership. In the sections that combine disclosure of the Company and the Operating Partnership, this report refers to actions or holdings as being actions or holdings of the Company. Although the Operating Partnership is generally the entity that enters into contracts and joint ventures and holds assets and debt, reference to the Company is appropriate because the business is one enterprise and the Company operates the business through the Operating Partnership.</w:t>
      </w:r>
    </w:p>
    <w:p>
      <w:pPr>
        <w:spacing w:after="0" w:line="118" w:lineRule="exact"/>
        <w:rPr>
          <w:sz w:val="20"/>
          <w:szCs w:val="20"/>
          <w:color w:val="auto"/>
        </w:rPr>
      </w:pPr>
    </w:p>
    <w:p>
      <w:pPr>
        <w:ind w:left="20" w:right="159" w:firstLine="228"/>
        <w:spacing w:after="0" w:line="252" w:lineRule="auto"/>
        <w:rPr>
          <w:sz w:val="20"/>
          <w:szCs w:val="20"/>
          <w:color w:val="auto"/>
        </w:rPr>
      </w:pPr>
      <w:r>
        <w:rPr>
          <w:rFonts w:ascii="Times New Roman" w:cs="Times New Roman" w:eastAsia="Times New Roman" w:hAnsi="Times New Roman"/>
          <w:sz w:val="13"/>
          <w:szCs w:val="13"/>
          <w:color w:val="auto"/>
        </w:rPr>
        <w:t>As general partner with control of the Operating Partnership, Digital Realty Trust, Inc. consolidates the Operating Partnership for financial reporting purposes, and it does not have significant assets other than its investment in the Operating Partnership. Therefore, the assets and liabilities of Digital Realty Trust, Inc. and Digital Realty Trust, L.P. are the same on their respective consolidated financial statements. The separate discussions of Digital Realty Trust, Inc. and Digital Realty Trust, L.P. in this report should be read in conjunction with each other to understand the results of the Company on a consolidated basis and how management operates the Company.</w:t>
      </w:r>
    </w:p>
    <w:p>
      <w:pPr>
        <w:spacing w:after="0" w:line="132" w:lineRule="exact"/>
        <w:rPr>
          <w:sz w:val="20"/>
          <w:szCs w:val="20"/>
          <w:color w:val="auto"/>
        </w:rPr>
      </w:pPr>
    </w:p>
    <w:p>
      <w:pPr>
        <w:ind w:left="20" w:right="119" w:firstLine="228"/>
        <w:spacing w:after="0" w:line="247" w:lineRule="auto"/>
        <w:rPr>
          <w:sz w:val="20"/>
          <w:szCs w:val="20"/>
          <w:color w:val="auto"/>
        </w:rPr>
      </w:pPr>
      <w:r>
        <w:rPr>
          <w:rFonts w:ascii="Times New Roman" w:cs="Times New Roman" w:eastAsia="Times New Roman" w:hAnsi="Times New Roman"/>
          <w:sz w:val="13"/>
          <w:szCs w:val="13"/>
          <w:color w:val="auto"/>
        </w:rPr>
        <w:t>In this report, “properties” and “buildings” refer to all or any of the buildings in our portfolio, including data centers and non-data centers, and “data centers” refers only to the properties or buildings in our portfolio that contain data center space. In this report, “global revolving credit facility” refers to our Operating Partnership’s $2.35 billion senior unsecured revolving credit facility and global senior credit agreement; “term loan facility” or “unsecured term loans” refers to our Operating Partnership’s senior unsecured multi-currency term loan facility and term loan agreement, which governs a $300 million five-year senior unsecured term loan and a $512 million five-year senior unsecured term loan; “Yen revolving credit facility” refers to our Operating Partnership’s ¥33,285,000,000 (approximately $322 million based on exchange rates at December 31, 2020) senior unsecured revolving credit facility and Yen credit agreement; and “revolving credit facilities” or “global revolving credit facilities” refer to our global revolving credit facility and our Yen revolving credit facility,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529590</wp:posOffset>
            </wp:positionV>
            <wp:extent cx="5690235" cy="12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165"/>
        </w:trPr>
        <w:tc>
          <w:tcPr>
            <w:tcW w:w="8020" w:type="dxa"/>
            <w:vAlign w:val="bottom"/>
            <w:gridSpan w:val="2"/>
          </w:tcPr>
          <w:p>
            <w:pPr>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tc>
        <w:tc>
          <w:tcPr>
            <w:tcW w:w="940" w:type="dxa"/>
            <w:vAlign w:val="bottom"/>
          </w:tcPr>
          <w:p>
            <w:pPr>
              <w:spacing w:after="0"/>
              <w:rPr>
                <w:sz w:val="14"/>
                <w:szCs w:val="14"/>
                <w:color w:val="auto"/>
              </w:rPr>
            </w:pPr>
          </w:p>
        </w:tc>
      </w:tr>
      <w:tr>
        <w:trPr>
          <w:trHeight w:val="370"/>
        </w:trPr>
        <w:tc>
          <w:tcPr>
            <w:tcW w:w="8020" w:type="dxa"/>
            <w:vAlign w:val="bottom"/>
            <w:gridSpan w:val="2"/>
          </w:tcPr>
          <w:p>
            <w:pPr>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tc>
        <w:tc>
          <w:tcPr>
            <w:tcW w:w="940" w:type="dxa"/>
            <w:vAlign w:val="bottom"/>
          </w:tcPr>
          <w:p>
            <w:pPr>
              <w:spacing w:after="0"/>
              <w:rPr>
                <w:sz w:val="24"/>
                <w:szCs w:val="24"/>
                <w:color w:val="auto"/>
              </w:rPr>
            </w:pPr>
          </w:p>
        </w:tc>
      </w:tr>
      <w:tr>
        <w:trPr>
          <w:trHeight w:val="289"/>
        </w:trPr>
        <w:tc>
          <w:tcPr>
            <w:tcW w:w="840" w:type="dxa"/>
            <w:vAlign w:val="bottom"/>
          </w:tcPr>
          <w:p>
            <w:pPr>
              <w:spacing w:after="0"/>
              <w:rPr>
                <w:sz w:val="24"/>
                <w:szCs w:val="24"/>
                <w:color w:val="auto"/>
              </w:rPr>
            </w:pPr>
          </w:p>
        </w:tc>
        <w:tc>
          <w:tcPr>
            <w:tcW w:w="718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5"/>
              </w:rPr>
              <w:t>DIGITAL REALTY TRUST, INC. AND DIGITAL REALTY TRUST, L.P.</w:t>
            </w:r>
          </w:p>
        </w:tc>
        <w:tc>
          <w:tcPr>
            <w:tcW w:w="940" w:type="dxa"/>
            <w:vAlign w:val="bottom"/>
          </w:tcPr>
          <w:p>
            <w:pPr>
              <w:spacing w:after="0"/>
              <w:rPr>
                <w:sz w:val="24"/>
                <w:szCs w:val="24"/>
                <w:color w:val="auto"/>
              </w:rPr>
            </w:pPr>
          </w:p>
        </w:tc>
      </w:tr>
      <w:tr>
        <w:trPr>
          <w:trHeight w:val="152"/>
        </w:trPr>
        <w:tc>
          <w:tcPr>
            <w:tcW w:w="840" w:type="dxa"/>
            <w:vAlign w:val="bottom"/>
          </w:tcPr>
          <w:p>
            <w:pPr>
              <w:spacing w:after="0"/>
              <w:rPr>
                <w:sz w:val="13"/>
                <w:szCs w:val="13"/>
                <w:color w:val="auto"/>
              </w:rPr>
            </w:pPr>
          </w:p>
        </w:tc>
        <w:tc>
          <w:tcPr>
            <w:tcW w:w="718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6"/>
              </w:rPr>
              <w:t>FORM 10-K</w:t>
            </w:r>
          </w:p>
        </w:tc>
        <w:tc>
          <w:tcPr>
            <w:tcW w:w="940" w:type="dxa"/>
            <w:vAlign w:val="bottom"/>
          </w:tcPr>
          <w:p>
            <w:pPr>
              <w:spacing w:after="0"/>
              <w:rPr>
                <w:sz w:val="13"/>
                <w:szCs w:val="13"/>
                <w:color w:val="auto"/>
              </w:rPr>
            </w:pPr>
          </w:p>
        </w:tc>
      </w:tr>
      <w:tr>
        <w:trPr>
          <w:trHeight w:val="167"/>
        </w:trPr>
        <w:tc>
          <w:tcPr>
            <w:tcW w:w="840" w:type="dxa"/>
            <w:vAlign w:val="bottom"/>
          </w:tcPr>
          <w:p>
            <w:pPr>
              <w:spacing w:after="0"/>
              <w:rPr>
                <w:sz w:val="14"/>
                <w:szCs w:val="14"/>
                <w:color w:val="auto"/>
              </w:rPr>
            </w:pPr>
          </w:p>
        </w:tc>
        <w:tc>
          <w:tcPr>
            <w:tcW w:w="718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7"/>
              </w:rPr>
              <w:t>FOR THE YEAR ENDED DECEMBER 31, 2020</w:t>
            </w:r>
          </w:p>
        </w:tc>
        <w:tc>
          <w:tcPr>
            <w:tcW w:w="940" w:type="dxa"/>
            <w:vAlign w:val="bottom"/>
          </w:tcPr>
          <w:p>
            <w:pPr>
              <w:spacing w:after="0"/>
              <w:rPr>
                <w:sz w:val="14"/>
                <w:szCs w:val="14"/>
                <w:color w:val="auto"/>
              </w:rPr>
            </w:pPr>
          </w:p>
        </w:tc>
      </w:tr>
      <w:tr>
        <w:trPr>
          <w:trHeight w:val="304"/>
        </w:trPr>
        <w:tc>
          <w:tcPr>
            <w:tcW w:w="840" w:type="dxa"/>
            <w:vAlign w:val="bottom"/>
          </w:tcPr>
          <w:p>
            <w:pPr>
              <w:spacing w:after="0"/>
              <w:rPr>
                <w:sz w:val="24"/>
                <w:szCs w:val="24"/>
                <w:color w:val="auto"/>
              </w:rPr>
            </w:pPr>
          </w:p>
        </w:tc>
        <w:tc>
          <w:tcPr>
            <w:tcW w:w="718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7"/>
              </w:rPr>
              <w:t>TABLE OF CONTENTS</w:t>
            </w:r>
          </w:p>
        </w:tc>
        <w:tc>
          <w:tcPr>
            <w:tcW w:w="940" w:type="dxa"/>
            <w:vAlign w:val="bottom"/>
          </w:tcPr>
          <w:p>
            <w:pPr>
              <w:spacing w:after="0"/>
              <w:rPr>
                <w:sz w:val="24"/>
                <w:szCs w:val="24"/>
                <w:color w:val="auto"/>
              </w:rPr>
            </w:pPr>
          </w:p>
        </w:tc>
      </w:tr>
      <w:tr>
        <w:trPr>
          <w:trHeight w:val="313"/>
        </w:trPr>
        <w:tc>
          <w:tcPr>
            <w:tcW w:w="8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9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PAGE NO.</w:t>
            </w:r>
          </w:p>
        </w:tc>
      </w:tr>
      <w:tr>
        <w:trPr>
          <w:trHeight w:val="160"/>
        </w:trPr>
        <w:tc>
          <w:tcPr>
            <w:tcW w:w="84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6">
              <w:r>
                <w:rPr>
                  <w:rFonts w:ascii="Times New Roman" w:cs="Times New Roman" w:eastAsia="Times New Roman" w:hAnsi="Times New Roman"/>
                  <w:sz w:val="13"/>
                  <w:szCs w:val="13"/>
                  <w:b w:val="1"/>
                  <w:bCs w:val="1"/>
                  <w:u w:val="single" w:color="auto"/>
                  <w:color w:val="0000EE"/>
                </w:rPr>
                <w:t>PART I.</w:t>
              </w:r>
            </w:hyperlink>
          </w:p>
        </w:tc>
        <w:tc>
          <w:tcPr>
            <w:tcW w:w="7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r>
      <w:tr>
        <w:trPr>
          <w:trHeight w:val="180"/>
        </w:trPr>
        <w:tc>
          <w:tcPr>
            <w:tcW w:w="840" w:type="dxa"/>
            <w:vAlign w:val="bottom"/>
          </w:tcPr>
          <w:p>
            <w:pPr>
              <w:spacing w:after="0"/>
              <w:rPr>
                <w:rFonts w:ascii="Times New Roman" w:cs="Times New Roman" w:eastAsia="Times New Roman" w:hAnsi="Times New Roman"/>
                <w:sz w:val="13"/>
                <w:szCs w:val="13"/>
                <w:b w:val="1"/>
                <w:bCs w:val="1"/>
                <w:color w:val="0000EE"/>
              </w:rPr>
            </w:pPr>
            <w:hyperlink w:anchor="page6">
              <w:r>
                <w:rPr>
                  <w:rFonts w:ascii="Times New Roman" w:cs="Times New Roman" w:eastAsia="Times New Roman" w:hAnsi="Times New Roman"/>
                  <w:sz w:val="13"/>
                  <w:szCs w:val="13"/>
                  <w:b w:val="1"/>
                  <w:bCs w:val="1"/>
                  <w:u w:val="single" w:color="auto"/>
                  <w:color w:val="0000EE"/>
                </w:rPr>
                <w:t>ITEM 1</w:t>
              </w:r>
              <w:r>
                <w:rPr>
                  <w:rFonts w:ascii="Times New Roman" w:cs="Times New Roman" w:eastAsia="Times New Roman" w:hAnsi="Times New Roman"/>
                  <w:sz w:val="13"/>
                  <w:szCs w:val="13"/>
                  <w:b w:val="1"/>
                  <w:bCs w:val="1"/>
                  <w:color w:val="0000EE"/>
                </w:rPr>
                <w:t>.</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6">
              <w:r>
                <w:rPr>
                  <w:rFonts w:ascii="Times New Roman" w:cs="Times New Roman" w:eastAsia="Times New Roman" w:hAnsi="Times New Roman"/>
                  <w:sz w:val="13"/>
                  <w:szCs w:val="13"/>
                  <w:b w:val="1"/>
                  <w:bCs w:val="1"/>
                  <w:u w:val="single" w:color="auto"/>
                  <w:color w:val="0000EE"/>
                </w:rPr>
                <w:t>Business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r>
      <w:tr>
        <w:trPr>
          <w:trHeight w:val="180"/>
        </w:trPr>
        <w:tc>
          <w:tcPr>
            <w:tcW w:w="84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22">
              <w:r>
                <w:rPr>
                  <w:rFonts w:ascii="Times New Roman" w:cs="Times New Roman" w:eastAsia="Times New Roman" w:hAnsi="Times New Roman"/>
                  <w:sz w:val="13"/>
                  <w:szCs w:val="13"/>
                  <w:b w:val="1"/>
                  <w:bCs w:val="1"/>
                  <w:u w:val="single" w:color="auto"/>
                  <w:color w:val="0000EE"/>
                </w:rPr>
                <w:t>ITEM 1A.</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22">
              <w:r>
                <w:rPr>
                  <w:rFonts w:ascii="Times New Roman" w:cs="Times New Roman" w:eastAsia="Times New Roman" w:hAnsi="Times New Roman"/>
                  <w:sz w:val="13"/>
                  <w:szCs w:val="13"/>
                  <w:b w:val="1"/>
                  <w:bCs w:val="1"/>
                  <w:u w:val="single" w:color="auto"/>
                  <w:color w:val="0000EE"/>
                </w:rPr>
                <w:t>Risk Factors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r>
      <w:tr>
        <w:trPr>
          <w:trHeight w:val="180"/>
        </w:trPr>
        <w:tc>
          <w:tcPr>
            <w:tcW w:w="84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53">
              <w:r>
                <w:rPr>
                  <w:rFonts w:ascii="Times New Roman" w:cs="Times New Roman" w:eastAsia="Times New Roman" w:hAnsi="Times New Roman"/>
                  <w:sz w:val="13"/>
                  <w:szCs w:val="13"/>
                  <w:b w:val="1"/>
                  <w:bCs w:val="1"/>
                  <w:u w:val="single" w:color="auto"/>
                  <w:color w:val="0000EE"/>
                </w:rPr>
                <w:t>ITEM 1B.</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53">
              <w:r>
                <w:rPr>
                  <w:rFonts w:ascii="Times New Roman" w:cs="Times New Roman" w:eastAsia="Times New Roman" w:hAnsi="Times New Roman"/>
                  <w:sz w:val="13"/>
                  <w:szCs w:val="13"/>
                  <w:b w:val="1"/>
                  <w:bCs w:val="1"/>
                  <w:u w:val="single" w:color="auto"/>
                  <w:color w:val="0000EE"/>
                </w:rPr>
                <w:t>Unresolved Staff Comments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w:t>
            </w:r>
          </w:p>
        </w:tc>
      </w:tr>
      <w:tr>
        <w:trPr>
          <w:trHeight w:val="180"/>
        </w:trPr>
        <w:tc>
          <w:tcPr>
            <w:tcW w:w="840" w:type="dxa"/>
            <w:vAlign w:val="bottom"/>
          </w:tcPr>
          <w:p>
            <w:pPr>
              <w:spacing w:after="0"/>
              <w:rPr>
                <w:rFonts w:ascii="Times New Roman" w:cs="Times New Roman" w:eastAsia="Times New Roman" w:hAnsi="Times New Roman"/>
                <w:sz w:val="13"/>
                <w:szCs w:val="13"/>
                <w:b w:val="1"/>
                <w:bCs w:val="1"/>
                <w:color w:val="0000EE"/>
              </w:rPr>
            </w:pPr>
            <w:hyperlink w:anchor="page53">
              <w:r>
                <w:rPr>
                  <w:rFonts w:ascii="Times New Roman" w:cs="Times New Roman" w:eastAsia="Times New Roman" w:hAnsi="Times New Roman"/>
                  <w:sz w:val="13"/>
                  <w:szCs w:val="13"/>
                  <w:b w:val="1"/>
                  <w:bCs w:val="1"/>
                  <w:u w:val="single" w:color="auto"/>
                  <w:color w:val="0000EE"/>
                </w:rPr>
                <w:t>ITEM 2</w:t>
              </w:r>
              <w:r>
                <w:rPr>
                  <w:rFonts w:ascii="Times New Roman" w:cs="Times New Roman" w:eastAsia="Times New Roman" w:hAnsi="Times New Roman"/>
                  <w:sz w:val="13"/>
                  <w:szCs w:val="13"/>
                  <w:b w:val="1"/>
                  <w:bCs w:val="1"/>
                  <w:color w:val="0000EE"/>
                </w:rPr>
                <w:t>.</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53">
              <w:r>
                <w:rPr>
                  <w:rFonts w:ascii="Times New Roman" w:cs="Times New Roman" w:eastAsia="Times New Roman" w:hAnsi="Times New Roman"/>
                  <w:sz w:val="13"/>
                  <w:szCs w:val="13"/>
                  <w:b w:val="1"/>
                  <w:bCs w:val="1"/>
                  <w:u w:val="single" w:color="auto"/>
                  <w:color w:val="0000EE"/>
                </w:rPr>
                <w:t>Properties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w:t>
            </w:r>
          </w:p>
        </w:tc>
      </w:tr>
      <w:tr>
        <w:trPr>
          <w:trHeight w:val="180"/>
        </w:trPr>
        <w:tc>
          <w:tcPr>
            <w:tcW w:w="840" w:type="dxa"/>
            <w:vAlign w:val="bottom"/>
          </w:tcPr>
          <w:p>
            <w:pPr>
              <w:spacing w:after="0"/>
              <w:rPr>
                <w:rFonts w:ascii="Times New Roman" w:cs="Times New Roman" w:eastAsia="Times New Roman" w:hAnsi="Times New Roman"/>
                <w:sz w:val="13"/>
                <w:szCs w:val="13"/>
                <w:b w:val="1"/>
                <w:bCs w:val="1"/>
                <w:color w:val="0000EE"/>
              </w:rPr>
            </w:pPr>
            <w:hyperlink w:anchor="page58">
              <w:r>
                <w:rPr>
                  <w:rFonts w:ascii="Times New Roman" w:cs="Times New Roman" w:eastAsia="Times New Roman" w:hAnsi="Times New Roman"/>
                  <w:sz w:val="13"/>
                  <w:szCs w:val="13"/>
                  <w:b w:val="1"/>
                  <w:bCs w:val="1"/>
                  <w:u w:val="single" w:color="auto"/>
                  <w:color w:val="0000EE"/>
                </w:rPr>
                <w:t>ITEM 3</w:t>
              </w:r>
              <w:r>
                <w:rPr>
                  <w:rFonts w:ascii="Times New Roman" w:cs="Times New Roman" w:eastAsia="Times New Roman" w:hAnsi="Times New Roman"/>
                  <w:sz w:val="13"/>
                  <w:szCs w:val="13"/>
                  <w:b w:val="1"/>
                  <w:bCs w:val="1"/>
                  <w:color w:val="0000EE"/>
                </w:rPr>
                <w:t>.</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58">
              <w:r>
                <w:rPr>
                  <w:rFonts w:ascii="Times New Roman" w:cs="Times New Roman" w:eastAsia="Times New Roman" w:hAnsi="Times New Roman"/>
                  <w:sz w:val="13"/>
                  <w:szCs w:val="13"/>
                  <w:b w:val="1"/>
                  <w:bCs w:val="1"/>
                  <w:u w:val="single" w:color="auto"/>
                  <w:color w:val="0000EE"/>
                </w:rPr>
                <w:t>Legal Proceedings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53</w:t>
            </w:r>
          </w:p>
        </w:tc>
      </w:tr>
      <w:tr>
        <w:trPr>
          <w:trHeight w:val="180"/>
        </w:trPr>
        <w:tc>
          <w:tcPr>
            <w:tcW w:w="840" w:type="dxa"/>
            <w:vAlign w:val="bottom"/>
          </w:tcPr>
          <w:p>
            <w:pPr>
              <w:spacing w:after="0"/>
              <w:rPr>
                <w:rFonts w:ascii="Times New Roman" w:cs="Times New Roman" w:eastAsia="Times New Roman" w:hAnsi="Times New Roman"/>
                <w:sz w:val="13"/>
                <w:szCs w:val="13"/>
                <w:b w:val="1"/>
                <w:bCs w:val="1"/>
                <w:color w:val="0000EE"/>
              </w:rPr>
            </w:pPr>
            <w:hyperlink w:anchor="page58">
              <w:r>
                <w:rPr>
                  <w:rFonts w:ascii="Times New Roman" w:cs="Times New Roman" w:eastAsia="Times New Roman" w:hAnsi="Times New Roman"/>
                  <w:sz w:val="13"/>
                  <w:szCs w:val="13"/>
                  <w:b w:val="1"/>
                  <w:bCs w:val="1"/>
                  <w:u w:val="single" w:color="auto"/>
                  <w:color w:val="0000EE"/>
                </w:rPr>
                <w:t>ITEM 4</w:t>
              </w:r>
              <w:r>
                <w:rPr>
                  <w:rFonts w:ascii="Times New Roman" w:cs="Times New Roman" w:eastAsia="Times New Roman" w:hAnsi="Times New Roman"/>
                  <w:sz w:val="13"/>
                  <w:szCs w:val="13"/>
                  <w:b w:val="1"/>
                  <w:bCs w:val="1"/>
                  <w:color w:val="0000EE"/>
                </w:rPr>
                <w:t>.</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58">
              <w:r>
                <w:rPr>
                  <w:rFonts w:ascii="Times New Roman" w:cs="Times New Roman" w:eastAsia="Times New Roman" w:hAnsi="Times New Roman"/>
                  <w:sz w:val="13"/>
                  <w:szCs w:val="13"/>
                  <w:b w:val="1"/>
                  <w:bCs w:val="1"/>
                  <w:u w:val="single" w:color="auto"/>
                  <w:color w:val="0000EE"/>
                </w:rPr>
                <w:t>Mine Safety Disclosures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53</w:t>
            </w:r>
          </w:p>
        </w:tc>
      </w:tr>
      <w:tr>
        <w:trPr>
          <w:trHeight w:val="180"/>
        </w:trPr>
        <w:tc>
          <w:tcPr>
            <w:tcW w:w="84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59">
              <w:r>
                <w:rPr>
                  <w:rFonts w:ascii="Times New Roman" w:cs="Times New Roman" w:eastAsia="Times New Roman" w:hAnsi="Times New Roman"/>
                  <w:sz w:val="13"/>
                  <w:szCs w:val="13"/>
                  <w:b w:val="1"/>
                  <w:bCs w:val="1"/>
                  <w:u w:val="single" w:color="auto"/>
                  <w:color w:val="0000EE"/>
                </w:rPr>
                <w:t>PART II.</w:t>
              </w:r>
            </w:hyperlink>
          </w:p>
        </w:tc>
        <w:tc>
          <w:tcPr>
            <w:tcW w:w="7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54</w:t>
            </w:r>
          </w:p>
        </w:tc>
      </w:tr>
      <w:tr>
        <w:trPr>
          <w:trHeight w:val="180"/>
        </w:trPr>
        <w:tc>
          <w:tcPr>
            <w:tcW w:w="840" w:type="dxa"/>
            <w:vAlign w:val="bottom"/>
          </w:tcPr>
          <w:p>
            <w:pPr>
              <w:spacing w:after="0"/>
              <w:rPr>
                <w:rFonts w:ascii="Times New Roman" w:cs="Times New Roman" w:eastAsia="Times New Roman" w:hAnsi="Times New Roman"/>
                <w:sz w:val="13"/>
                <w:szCs w:val="13"/>
                <w:b w:val="1"/>
                <w:bCs w:val="1"/>
                <w:color w:val="0000EE"/>
              </w:rPr>
            </w:pPr>
            <w:hyperlink w:anchor="page59">
              <w:r>
                <w:rPr>
                  <w:rFonts w:ascii="Times New Roman" w:cs="Times New Roman" w:eastAsia="Times New Roman" w:hAnsi="Times New Roman"/>
                  <w:sz w:val="13"/>
                  <w:szCs w:val="13"/>
                  <w:b w:val="1"/>
                  <w:bCs w:val="1"/>
                  <w:u w:val="single" w:color="auto"/>
                  <w:color w:val="0000EE"/>
                </w:rPr>
                <w:t>ITEM 5</w:t>
              </w:r>
              <w:r>
                <w:rPr>
                  <w:rFonts w:ascii="Times New Roman" w:cs="Times New Roman" w:eastAsia="Times New Roman" w:hAnsi="Times New Roman"/>
                  <w:sz w:val="13"/>
                  <w:szCs w:val="13"/>
                  <w:b w:val="1"/>
                  <w:bCs w:val="1"/>
                  <w:color w:val="0000EE"/>
                </w:rPr>
                <w:t>.</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59">
              <w:r>
                <w:rPr>
                  <w:rFonts w:ascii="Times New Roman" w:cs="Times New Roman" w:eastAsia="Times New Roman" w:hAnsi="Times New Roman"/>
                  <w:sz w:val="13"/>
                  <w:szCs w:val="13"/>
                  <w:b w:val="1"/>
                  <w:bCs w:val="1"/>
                  <w:u w:val="single" w:color="auto"/>
                  <w:color w:val="0000EE"/>
                </w:rPr>
                <w:t>Market for Registrant’s Common Equity, Related Stockholder Matters and Issuer Purchases of Equity Securities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54</w:t>
            </w:r>
          </w:p>
        </w:tc>
      </w:tr>
      <w:tr>
        <w:trPr>
          <w:trHeight w:val="180"/>
        </w:trPr>
        <w:tc>
          <w:tcPr>
            <w:tcW w:w="840" w:type="dxa"/>
            <w:vAlign w:val="bottom"/>
          </w:tcPr>
          <w:p>
            <w:pPr>
              <w:spacing w:after="0"/>
              <w:rPr>
                <w:rFonts w:ascii="Times New Roman" w:cs="Times New Roman" w:eastAsia="Times New Roman" w:hAnsi="Times New Roman"/>
                <w:sz w:val="13"/>
                <w:szCs w:val="13"/>
                <w:b w:val="1"/>
                <w:bCs w:val="1"/>
                <w:color w:val="0000EE"/>
              </w:rPr>
            </w:pPr>
            <w:hyperlink w:anchor="page63">
              <w:r>
                <w:rPr>
                  <w:rFonts w:ascii="Times New Roman" w:cs="Times New Roman" w:eastAsia="Times New Roman" w:hAnsi="Times New Roman"/>
                  <w:sz w:val="13"/>
                  <w:szCs w:val="13"/>
                  <w:b w:val="1"/>
                  <w:bCs w:val="1"/>
                  <w:u w:val="single" w:color="auto"/>
                  <w:color w:val="0000EE"/>
                </w:rPr>
                <w:t>ITEM 6</w:t>
              </w:r>
              <w:r>
                <w:rPr>
                  <w:rFonts w:ascii="Times New Roman" w:cs="Times New Roman" w:eastAsia="Times New Roman" w:hAnsi="Times New Roman"/>
                  <w:sz w:val="13"/>
                  <w:szCs w:val="13"/>
                  <w:b w:val="1"/>
                  <w:bCs w:val="1"/>
                  <w:color w:val="0000EE"/>
                </w:rPr>
                <w:t>.</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63">
              <w:r>
                <w:rPr>
                  <w:rFonts w:ascii="Times New Roman" w:cs="Times New Roman" w:eastAsia="Times New Roman" w:hAnsi="Times New Roman"/>
                  <w:sz w:val="13"/>
                  <w:szCs w:val="13"/>
                  <w:b w:val="1"/>
                  <w:bCs w:val="1"/>
                  <w:u w:val="single" w:color="auto"/>
                  <w:color w:val="0000EE"/>
                </w:rPr>
                <w:t>Selected Financial Data</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58</w:t>
            </w:r>
          </w:p>
        </w:tc>
      </w:tr>
      <w:tr>
        <w:trPr>
          <w:trHeight w:val="180"/>
        </w:trPr>
        <w:tc>
          <w:tcPr>
            <w:tcW w:w="840" w:type="dxa"/>
            <w:vAlign w:val="bottom"/>
          </w:tcPr>
          <w:p>
            <w:pPr>
              <w:spacing w:after="0"/>
              <w:rPr>
                <w:rFonts w:ascii="Times New Roman" w:cs="Times New Roman" w:eastAsia="Times New Roman" w:hAnsi="Times New Roman"/>
                <w:sz w:val="13"/>
                <w:szCs w:val="13"/>
                <w:b w:val="1"/>
                <w:bCs w:val="1"/>
                <w:color w:val="0000EE"/>
              </w:rPr>
            </w:pPr>
            <w:hyperlink w:anchor="page67">
              <w:r>
                <w:rPr>
                  <w:rFonts w:ascii="Times New Roman" w:cs="Times New Roman" w:eastAsia="Times New Roman" w:hAnsi="Times New Roman"/>
                  <w:sz w:val="13"/>
                  <w:szCs w:val="13"/>
                  <w:b w:val="1"/>
                  <w:bCs w:val="1"/>
                  <w:u w:val="single" w:color="auto"/>
                  <w:color w:val="0000EE"/>
                </w:rPr>
                <w:t>ITEM 7</w:t>
              </w:r>
              <w:r>
                <w:rPr>
                  <w:rFonts w:ascii="Times New Roman" w:cs="Times New Roman" w:eastAsia="Times New Roman" w:hAnsi="Times New Roman"/>
                  <w:sz w:val="13"/>
                  <w:szCs w:val="13"/>
                  <w:b w:val="1"/>
                  <w:bCs w:val="1"/>
                  <w:color w:val="0000EE"/>
                </w:rPr>
                <w:t>.</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67">
              <w:r>
                <w:rPr>
                  <w:rFonts w:ascii="Times New Roman" w:cs="Times New Roman" w:eastAsia="Times New Roman" w:hAnsi="Times New Roman"/>
                  <w:sz w:val="13"/>
                  <w:szCs w:val="13"/>
                  <w:b w:val="1"/>
                  <w:bCs w:val="1"/>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w:t>
            </w:r>
          </w:p>
        </w:tc>
      </w:tr>
      <w:tr>
        <w:trPr>
          <w:trHeight w:val="180"/>
        </w:trPr>
        <w:tc>
          <w:tcPr>
            <w:tcW w:w="840" w:type="dxa"/>
            <w:vAlign w:val="bottom"/>
          </w:tcPr>
          <w:p>
            <w:pPr>
              <w:spacing w:after="0"/>
              <w:rPr>
                <w:rFonts w:ascii="Times New Roman" w:cs="Times New Roman" w:eastAsia="Times New Roman" w:hAnsi="Times New Roman"/>
                <w:sz w:val="13"/>
                <w:szCs w:val="13"/>
                <w:b w:val="1"/>
                <w:bCs w:val="1"/>
                <w:color w:val="0000EE"/>
              </w:rPr>
            </w:pPr>
            <w:hyperlink w:anchor="page99">
              <w:r>
                <w:rPr>
                  <w:rFonts w:ascii="Times New Roman" w:cs="Times New Roman" w:eastAsia="Times New Roman" w:hAnsi="Times New Roman"/>
                  <w:sz w:val="13"/>
                  <w:szCs w:val="13"/>
                  <w:b w:val="1"/>
                  <w:bCs w:val="1"/>
                  <w:u w:val="single" w:color="auto"/>
                  <w:color w:val="0000EE"/>
                </w:rPr>
                <w:t>ITEM 7A</w:t>
              </w:r>
            </w:hyperlink>
            <w:r>
              <w:rPr>
                <w:rFonts w:ascii="Times New Roman" w:cs="Times New Roman" w:eastAsia="Times New Roman" w:hAnsi="Times New Roman"/>
                <w:sz w:val="13"/>
                <w:szCs w:val="13"/>
                <w:b w:val="1"/>
                <w:bCs w:val="1"/>
                <w:color w:val="000000"/>
              </w:rPr>
              <w:t>.</w:t>
            </w:r>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99">
              <w:r>
                <w:rPr>
                  <w:rFonts w:ascii="Times New Roman" w:cs="Times New Roman" w:eastAsia="Times New Roman" w:hAnsi="Times New Roman"/>
                  <w:sz w:val="13"/>
                  <w:szCs w:val="13"/>
                  <w:b w:val="1"/>
                  <w:bCs w:val="1"/>
                  <w:u w:val="single" w:color="auto"/>
                  <w:color w:val="0000EE"/>
                </w:rPr>
                <w:t>Quantitative and Qualitative Disclosures About Market Risk</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94</w:t>
            </w:r>
          </w:p>
        </w:tc>
      </w:tr>
      <w:tr>
        <w:trPr>
          <w:trHeight w:val="180"/>
        </w:trPr>
        <w:tc>
          <w:tcPr>
            <w:tcW w:w="840" w:type="dxa"/>
            <w:vAlign w:val="bottom"/>
          </w:tcPr>
          <w:p>
            <w:pPr>
              <w:spacing w:after="0"/>
              <w:rPr>
                <w:rFonts w:ascii="Times New Roman" w:cs="Times New Roman" w:eastAsia="Times New Roman" w:hAnsi="Times New Roman"/>
                <w:sz w:val="13"/>
                <w:szCs w:val="13"/>
                <w:b w:val="1"/>
                <w:bCs w:val="1"/>
                <w:color w:val="0000EE"/>
              </w:rPr>
            </w:pPr>
            <w:hyperlink w:anchor="page102">
              <w:r>
                <w:rPr>
                  <w:rFonts w:ascii="Times New Roman" w:cs="Times New Roman" w:eastAsia="Times New Roman" w:hAnsi="Times New Roman"/>
                  <w:sz w:val="13"/>
                  <w:szCs w:val="13"/>
                  <w:b w:val="1"/>
                  <w:bCs w:val="1"/>
                  <w:u w:val="single" w:color="auto"/>
                  <w:color w:val="0000EE"/>
                </w:rPr>
                <w:t>ITEM 8</w:t>
              </w:r>
              <w:r>
                <w:rPr>
                  <w:rFonts w:ascii="Times New Roman" w:cs="Times New Roman" w:eastAsia="Times New Roman" w:hAnsi="Times New Roman"/>
                  <w:sz w:val="13"/>
                  <w:szCs w:val="13"/>
                  <w:b w:val="1"/>
                  <w:bCs w:val="1"/>
                  <w:color w:val="0000EE"/>
                </w:rPr>
                <w:t>.</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02">
              <w:r>
                <w:rPr>
                  <w:rFonts w:ascii="Times New Roman" w:cs="Times New Roman" w:eastAsia="Times New Roman" w:hAnsi="Times New Roman"/>
                  <w:sz w:val="13"/>
                  <w:szCs w:val="13"/>
                  <w:b w:val="1"/>
                  <w:bCs w:val="1"/>
                  <w:u w:val="single" w:color="auto"/>
                  <w:color w:val="0000EE"/>
                </w:rPr>
                <w:t>Financial Statements and Supplementary Data</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97</w:t>
            </w:r>
          </w:p>
        </w:tc>
      </w:tr>
      <w:tr>
        <w:trPr>
          <w:trHeight w:val="180"/>
        </w:trPr>
        <w:tc>
          <w:tcPr>
            <w:tcW w:w="840" w:type="dxa"/>
            <w:vAlign w:val="bottom"/>
          </w:tcPr>
          <w:p>
            <w:pPr>
              <w:spacing w:after="0"/>
              <w:rPr>
                <w:rFonts w:ascii="Times New Roman" w:cs="Times New Roman" w:eastAsia="Times New Roman" w:hAnsi="Times New Roman"/>
                <w:sz w:val="13"/>
                <w:szCs w:val="13"/>
                <w:b w:val="1"/>
                <w:bCs w:val="1"/>
                <w:color w:val="0000EE"/>
              </w:rPr>
            </w:pPr>
            <w:hyperlink w:anchor="page193">
              <w:r>
                <w:rPr>
                  <w:rFonts w:ascii="Times New Roman" w:cs="Times New Roman" w:eastAsia="Times New Roman" w:hAnsi="Times New Roman"/>
                  <w:sz w:val="13"/>
                  <w:szCs w:val="13"/>
                  <w:b w:val="1"/>
                  <w:bCs w:val="1"/>
                  <w:u w:val="single" w:color="auto"/>
                  <w:color w:val="0000EE"/>
                </w:rPr>
                <w:t>ITEM 9</w:t>
              </w:r>
              <w:r>
                <w:rPr>
                  <w:rFonts w:ascii="Times New Roman" w:cs="Times New Roman" w:eastAsia="Times New Roman" w:hAnsi="Times New Roman"/>
                  <w:sz w:val="13"/>
                  <w:szCs w:val="13"/>
                  <w:b w:val="1"/>
                  <w:bCs w:val="1"/>
                  <w:color w:val="0000EE"/>
                </w:rPr>
                <w:t>.</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3">
              <w:r>
                <w:rPr>
                  <w:rFonts w:ascii="Times New Roman" w:cs="Times New Roman" w:eastAsia="Times New Roman" w:hAnsi="Times New Roman"/>
                  <w:sz w:val="13"/>
                  <w:szCs w:val="13"/>
                  <w:b w:val="1"/>
                  <w:bCs w:val="1"/>
                  <w:u w:val="single" w:color="auto"/>
                  <w:color w:val="0000EE"/>
                </w:rPr>
                <w:t>Changes in and Disagreements with Accountants on Accounting and Financial Disclosure</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188</w:t>
            </w:r>
          </w:p>
        </w:tc>
      </w:tr>
      <w:tr>
        <w:trPr>
          <w:trHeight w:val="180"/>
        </w:trPr>
        <w:tc>
          <w:tcPr>
            <w:tcW w:w="84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3">
              <w:r>
                <w:rPr>
                  <w:rFonts w:ascii="Times New Roman" w:cs="Times New Roman" w:eastAsia="Times New Roman" w:hAnsi="Times New Roman"/>
                  <w:sz w:val="13"/>
                  <w:szCs w:val="13"/>
                  <w:b w:val="1"/>
                  <w:bCs w:val="1"/>
                  <w:u w:val="single" w:color="auto"/>
                  <w:color w:val="0000EE"/>
                </w:rPr>
                <w:t>ITEM 9A.</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3">
              <w:r>
                <w:rPr>
                  <w:rFonts w:ascii="Times New Roman" w:cs="Times New Roman" w:eastAsia="Times New Roman" w:hAnsi="Times New Roman"/>
                  <w:sz w:val="13"/>
                  <w:szCs w:val="13"/>
                  <w:b w:val="1"/>
                  <w:bCs w:val="1"/>
                  <w:u w:val="single" w:color="auto"/>
                  <w:color w:val="0000EE"/>
                </w:rPr>
                <w:t>Controls and Procedures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188</w:t>
            </w:r>
          </w:p>
        </w:tc>
      </w:tr>
      <w:tr>
        <w:trPr>
          <w:trHeight w:val="180"/>
        </w:trPr>
        <w:tc>
          <w:tcPr>
            <w:tcW w:w="84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4">
              <w:r>
                <w:rPr>
                  <w:rFonts w:ascii="Times New Roman" w:cs="Times New Roman" w:eastAsia="Times New Roman" w:hAnsi="Times New Roman"/>
                  <w:sz w:val="13"/>
                  <w:szCs w:val="13"/>
                  <w:b w:val="1"/>
                  <w:bCs w:val="1"/>
                  <w:u w:val="single" w:color="auto"/>
                  <w:color w:val="0000EE"/>
                </w:rPr>
                <w:t>ITEM 9B.</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4">
              <w:r>
                <w:rPr>
                  <w:rFonts w:ascii="Times New Roman" w:cs="Times New Roman" w:eastAsia="Times New Roman" w:hAnsi="Times New Roman"/>
                  <w:sz w:val="13"/>
                  <w:szCs w:val="13"/>
                  <w:b w:val="1"/>
                  <w:bCs w:val="1"/>
                  <w:u w:val="single" w:color="auto"/>
                  <w:color w:val="0000EE"/>
                </w:rPr>
                <w:t>Other Information</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189</w:t>
            </w:r>
          </w:p>
        </w:tc>
      </w:tr>
      <w:tr>
        <w:trPr>
          <w:trHeight w:val="180"/>
        </w:trPr>
        <w:tc>
          <w:tcPr>
            <w:tcW w:w="84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5">
              <w:r>
                <w:rPr>
                  <w:rFonts w:ascii="Times New Roman" w:cs="Times New Roman" w:eastAsia="Times New Roman" w:hAnsi="Times New Roman"/>
                  <w:sz w:val="13"/>
                  <w:szCs w:val="13"/>
                  <w:b w:val="1"/>
                  <w:bCs w:val="1"/>
                  <w:u w:val="single" w:color="auto"/>
                  <w:color w:val="0000EE"/>
                </w:rPr>
                <w:t>PART III.</w:t>
              </w:r>
            </w:hyperlink>
          </w:p>
        </w:tc>
        <w:tc>
          <w:tcPr>
            <w:tcW w:w="7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190</w:t>
            </w:r>
          </w:p>
        </w:tc>
      </w:tr>
      <w:tr>
        <w:trPr>
          <w:trHeight w:val="180"/>
        </w:trPr>
        <w:tc>
          <w:tcPr>
            <w:tcW w:w="84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5">
              <w:r>
                <w:rPr>
                  <w:rFonts w:ascii="Times New Roman" w:cs="Times New Roman" w:eastAsia="Times New Roman" w:hAnsi="Times New Roman"/>
                  <w:sz w:val="13"/>
                  <w:szCs w:val="13"/>
                  <w:b w:val="1"/>
                  <w:bCs w:val="1"/>
                  <w:u w:val="single" w:color="auto"/>
                  <w:color w:val="0000EE"/>
                </w:rPr>
                <w:t>ITEM 10.</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5">
              <w:r>
                <w:rPr>
                  <w:rFonts w:ascii="Times New Roman" w:cs="Times New Roman" w:eastAsia="Times New Roman" w:hAnsi="Times New Roman"/>
                  <w:sz w:val="13"/>
                  <w:szCs w:val="13"/>
                  <w:b w:val="1"/>
                  <w:bCs w:val="1"/>
                  <w:u w:val="single" w:color="auto"/>
                  <w:color w:val="0000EE"/>
                </w:rPr>
                <w:t>Directors, Executive Officers and Corporate Governance</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190</w:t>
            </w:r>
          </w:p>
        </w:tc>
      </w:tr>
      <w:tr>
        <w:trPr>
          <w:trHeight w:val="180"/>
        </w:trPr>
        <w:tc>
          <w:tcPr>
            <w:tcW w:w="84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5">
              <w:r>
                <w:rPr>
                  <w:rFonts w:ascii="Times New Roman" w:cs="Times New Roman" w:eastAsia="Times New Roman" w:hAnsi="Times New Roman"/>
                  <w:sz w:val="13"/>
                  <w:szCs w:val="13"/>
                  <w:b w:val="1"/>
                  <w:bCs w:val="1"/>
                  <w:u w:val="single" w:color="auto"/>
                  <w:color w:val="0000EE"/>
                </w:rPr>
                <w:t>ITEM 11.</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5">
              <w:r>
                <w:rPr>
                  <w:rFonts w:ascii="Times New Roman" w:cs="Times New Roman" w:eastAsia="Times New Roman" w:hAnsi="Times New Roman"/>
                  <w:sz w:val="13"/>
                  <w:szCs w:val="13"/>
                  <w:b w:val="1"/>
                  <w:bCs w:val="1"/>
                  <w:u w:val="single" w:color="auto"/>
                  <w:color w:val="0000EE"/>
                </w:rPr>
                <w:t>Executive Compensation</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190</w:t>
            </w:r>
          </w:p>
        </w:tc>
      </w:tr>
      <w:tr>
        <w:trPr>
          <w:trHeight w:val="180"/>
        </w:trPr>
        <w:tc>
          <w:tcPr>
            <w:tcW w:w="84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5">
              <w:r>
                <w:rPr>
                  <w:rFonts w:ascii="Times New Roman" w:cs="Times New Roman" w:eastAsia="Times New Roman" w:hAnsi="Times New Roman"/>
                  <w:sz w:val="13"/>
                  <w:szCs w:val="13"/>
                  <w:b w:val="1"/>
                  <w:bCs w:val="1"/>
                  <w:u w:val="single" w:color="auto"/>
                  <w:color w:val="0000EE"/>
                </w:rPr>
                <w:t>ITEM 12.</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5">
              <w:r>
                <w:rPr>
                  <w:rFonts w:ascii="Times New Roman" w:cs="Times New Roman" w:eastAsia="Times New Roman" w:hAnsi="Times New Roman"/>
                  <w:sz w:val="13"/>
                  <w:szCs w:val="13"/>
                  <w:b w:val="1"/>
                  <w:bCs w:val="1"/>
                  <w:u w:val="single" w:color="auto"/>
                  <w:color w:val="0000EE"/>
                </w:rPr>
                <w:t>Security Ownership of Certain Beneficial Owners and Management and Related Stockholder Matters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190</w:t>
            </w:r>
          </w:p>
        </w:tc>
      </w:tr>
      <w:tr>
        <w:trPr>
          <w:trHeight w:val="180"/>
        </w:trPr>
        <w:tc>
          <w:tcPr>
            <w:tcW w:w="84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5">
              <w:r>
                <w:rPr>
                  <w:rFonts w:ascii="Times New Roman" w:cs="Times New Roman" w:eastAsia="Times New Roman" w:hAnsi="Times New Roman"/>
                  <w:sz w:val="13"/>
                  <w:szCs w:val="13"/>
                  <w:b w:val="1"/>
                  <w:bCs w:val="1"/>
                  <w:u w:val="single" w:color="auto"/>
                  <w:color w:val="0000EE"/>
                </w:rPr>
                <w:t>ITEM 13.</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5">
              <w:r>
                <w:rPr>
                  <w:rFonts w:ascii="Times New Roman" w:cs="Times New Roman" w:eastAsia="Times New Roman" w:hAnsi="Times New Roman"/>
                  <w:sz w:val="13"/>
                  <w:szCs w:val="13"/>
                  <w:b w:val="1"/>
                  <w:bCs w:val="1"/>
                  <w:u w:val="single" w:color="auto"/>
                  <w:color w:val="0000EE"/>
                </w:rPr>
                <w:t>Certain Relationships and Related Transactions and Director Independence</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190</w:t>
            </w:r>
          </w:p>
        </w:tc>
      </w:tr>
      <w:tr>
        <w:trPr>
          <w:trHeight w:val="180"/>
        </w:trPr>
        <w:tc>
          <w:tcPr>
            <w:tcW w:w="84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5">
              <w:r>
                <w:rPr>
                  <w:rFonts w:ascii="Times New Roman" w:cs="Times New Roman" w:eastAsia="Times New Roman" w:hAnsi="Times New Roman"/>
                  <w:sz w:val="13"/>
                  <w:szCs w:val="13"/>
                  <w:b w:val="1"/>
                  <w:bCs w:val="1"/>
                  <w:u w:val="single" w:color="auto"/>
                  <w:color w:val="0000EE"/>
                </w:rPr>
                <w:t>ITEM 14.</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5">
              <w:r>
                <w:rPr>
                  <w:rFonts w:ascii="Times New Roman" w:cs="Times New Roman" w:eastAsia="Times New Roman" w:hAnsi="Times New Roman"/>
                  <w:sz w:val="13"/>
                  <w:szCs w:val="13"/>
                  <w:b w:val="1"/>
                  <w:bCs w:val="1"/>
                  <w:u w:val="single" w:color="auto"/>
                  <w:color w:val="0000EE"/>
                </w:rPr>
                <w:t>Principal Accounting Fees and Services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190</w:t>
            </w:r>
          </w:p>
        </w:tc>
      </w:tr>
      <w:tr>
        <w:trPr>
          <w:trHeight w:val="180"/>
        </w:trPr>
        <w:tc>
          <w:tcPr>
            <w:tcW w:w="84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6">
              <w:r>
                <w:rPr>
                  <w:rFonts w:ascii="Times New Roman" w:cs="Times New Roman" w:eastAsia="Times New Roman" w:hAnsi="Times New Roman"/>
                  <w:sz w:val="13"/>
                  <w:szCs w:val="13"/>
                  <w:b w:val="1"/>
                  <w:bCs w:val="1"/>
                  <w:u w:val="single" w:color="auto"/>
                  <w:color w:val="0000EE"/>
                </w:rPr>
                <w:t>PART IV.</w:t>
              </w:r>
            </w:hyperlink>
          </w:p>
        </w:tc>
        <w:tc>
          <w:tcPr>
            <w:tcW w:w="7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191</w:t>
            </w:r>
          </w:p>
        </w:tc>
      </w:tr>
      <w:tr>
        <w:trPr>
          <w:trHeight w:val="180"/>
        </w:trPr>
        <w:tc>
          <w:tcPr>
            <w:tcW w:w="84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6">
              <w:r>
                <w:rPr>
                  <w:rFonts w:ascii="Times New Roman" w:cs="Times New Roman" w:eastAsia="Times New Roman" w:hAnsi="Times New Roman"/>
                  <w:sz w:val="13"/>
                  <w:szCs w:val="13"/>
                  <w:b w:val="1"/>
                  <w:bCs w:val="1"/>
                  <w:u w:val="single" w:color="auto"/>
                  <w:color w:val="0000EE"/>
                </w:rPr>
                <w:t>ITEM 15.</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196">
              <w:r>
                <w:rPr>
                  <w:rFonts w:ascii="Times New Roman" w:cs="Times New Roman" w:eastAsia="Times New Roman" w:hAnsi="Times New Roman"/>
                  <w:sz w:val="13"/>
                  <w:szCs w:val="13"/>
                  <w:b w:val="1"/>
                  <w:bCs w:val="1"/>
                  <w:u w:val="single" w:color="auto"/>
                  <w:color w:val="0000EE"/>
                </w:rPr>
                <w:t>Exhibits and Financial Statement Schedules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191</w:t>
            </w:r>
          </w:p>
        </w:tc>
      </w:tr>
      <w:tr>
        <w:trPr>
          <w:trHeight w:val="180"/>
        </w:trPr>
        <w:tc>
          <w:tcPr>
            <w:tcW w:w="84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206">
              <w:r>
                <w:rPr>
                  <w:rFonts w:ascii="Times New Roman" w:cs="Times New Roman" w:eastAsia="Times New Roman" w:hAnsi="Times New Roman"/>
                  <w:sz w:val="13"/>
                  <w:szCs w:val="13"/>
                  <w:b w:val="1"/>
                  <w:bCs w:val="1"/>
                  <w:u w:val="single" w:color="auto"/>
                  <w:color w:val="0000EE"/>
                </w:rPr>
                <w:t>ITEM 16.</w:t>
              </w:r>
            </w:hyperlink>
          </w:p>
        </w:tc>
        <w:tc>
          <w:tcPr>
            <w:tcW w:w="7180" w:type="dxa"/>
            <w:vAlign w:val="bottom"/>
          </w:tcPr>
          <w:p>
            <w:pPr>
              <w:spacing w:after="0"/>
              <w:rPr>
                <w:rFonts w:ascii="Times New Roman" w:cs="Times New Roman" w:eastAsia="Times New Roman" w:hAnsi="Times New Roman"/>
                <w:sz w:val="13"/>
                <w:szCs w:val="13"/>
                <w:b w:val="1"/>
                <w:bCs w:val="1"/>
                <w:u w:val="single" w:color="auto"/>
                <w:color w:val="0000EE"/>
              </w:rPr>
            </w:pPr>
            <w:hyperlink w:anchor="page206">
              <w:r>
                <w:rPr>
                  <w:rFonts w:ascii="Times New Roman" w:cs="Times New Roman" w:eastAsia="Times New Roman" w:hAnsi="Times New Roman"/>
                  <w:sz w:val="13"/>
                  <w:szCs w:val="13"/>
                  <w:b w:val="1"/>
                  <w:bCs w:val="1"/>
                  <w:u w:val="single" w:color="auto"/>
                  <w:color w:val="0000EE"/>
                </w:rPr>
                <w:t>Form 10-K Summary</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w:t>
            </w:r>
          </w:p>
        </w:tc>
      </w:tr>
      <w:tr>
        <w:trPr>
          <w:trHeight w:val="180"/>
        </w:trPr>
        <w:tc>
          <w:tcPr>
            <w:tcW w:w="840" w:type="dxa"/>
            <w:vAlign w:val="bottom"/>
          </w:tcPr>
          <w:p>
            <w:pPr>
              <w:spacing w:after="0"/>
              <w:rPr>
                <w:rFonts w:ascii="Times New Roman" w:cs="Times New Roman" w:eastAsia="Times New Roman" w:hAnsi="Times New Roman"/>
                <w:sz w:val="13"/>
                <w:szCs w:val="13"/>
                <w:b w:val="1"/>
                <w:bCs w:val="1"/>
                <w:u w:val="single" w:color="auto"/>
                <w:color w:val="0000EE"/>
                <w:w w:val="96"/>
              </w:rPr>
            </w:pPr>
            <w:hyperlink w:anchor="page207">
              <w:r>
                <w:rPr>
                  <w:rFonts w:ascii="Times New Roman" w:cs="Times New Roman" w:eastAsia="Times New Roman" w:hAnsi="Times New Roman"/>
                  <w:sz w:val="13"/>
                  <w:szCs w:val="13"/>
                  <w:b w:val="1"/>
                  <w:bCs w:val="1"/>
                  <w:u w:val="single" w:color="auto"/>
                  <w:color w:val="0000EE"/>
                  <w:w w:val="96"/>
                </w:rPr>
                <w:t>SIGNATURES</w:t>
              </w:r>
            </w:hyperlink>
          </w:p>
        </w:tc>
        <w:tc>
          <w:tcPr>
            <w:tcW w:w="7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w:t>
            </w:r>
          </w:p>
        </w:tc>
      </w:tr>
      <w:tr>
        <w:trPr>
          <w:trHeight w:val="702"/>
        </w:trPr>
        <w:tc>
          <w:tcPr>
            <w:tcW w:w="84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5" w:name="page6"/>
    <w:bookmarkEnd w:id="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154"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ITEM 1.</w:t>
      </w:r>
      <w:r>
        <w:rPr>
          <w:sz w:val="20"/>
          <w:szCs w:val="20"/>
          <w:color w:val="auto"/>
        </w:rPr>
        <w:tab/>
      </w:r>
      <w:r>
        <w:rPr>
          <w:rFonts w:ascii="Times New Roman" w:cs="Times New Roman" w:eastAsia="Times New Roman" w:hAnsi="Times New Roman"/>
          <w:sz w:val="12"/>
          <w:szCs w:val="12"/>
          <w:b w:val="1"/>
          <w:bCs w:val="1"/>
          <w:color w:val="auto"/>
        </w:rPr>
        <w:t>BUSINESS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The Company</w:t>
      </w:r>
    </w:p>
    <w:p>
      <w:pPr>
        <w:spacing w:after="0" w:line="156" w:lineRule="exact"/>
        <w:rPr>
          <w:sz w:val="20"/>
          <w:szCs w:val="20"/>
          <w:color w:val="auto"/>
        </w:rPr>
      </w:pPr>
    </w:p>
    <w:p>
      <w:pPr>
        <w:ind w:left="20" w:right="39" w:firstLine="228"/>
        <w:spacing w:after="0" w:line="249" w:lineRule="auto"/>
        <w:rPr>
          <w:sz w:val="20"/>
          <w:szCs w:val="20"/>
          <w:color w:val="auto"/>
        </w:rPr>
      </w:pPr>
      <w:r>
        <w:rPr>
          <w:rFonts w:ascii="Times New Roman" w:cs="Times New Roman" w:eastAsia="Times New Roman" w:hAnsi="Times New Roman"/>
          <w:sz w:val="13"/>
          <w:szCs w:val="13"/>
          <w:color w:val="auto"/>
        </w:rPr>
        <w:t>Digital Realty Trust, Inc., through its controlling interest in Digital Realty Trust, L.P. (the Operating Partnership) and the subsidiaries of the Operating Partnership, (collectively, we, our, us or the Company) is a leading global provider of data center, colocation and interconnection solutions for customers across a variety of industry verticals ranging from cloud and information technology services, communications and social networking to financial services, manufacturing, energy, healthcare, and consumer products. Digital Realty Trust, L.P., a Maryland limited partnership, is the entity through which Digital Realty Trust, Inc., a Maryland corporation, conducts its business of owning, acquiring, developing and operating data centers. Digital Realty Trust, Inc. operates as a REIT for federal income tax purposes.</w:t>
      </w:r>
    </w:p>
    <w:p>
      <w:pPr>
        <w:spacing w:after="0" w:line="136" w:lineRule="exact"/>
        <w:rPr>
          <w:sz w:val="20"/>
          <w:szCs w:val="20"/>
          <w:color w:val="auto"/>
        </w:rPr>
      </w:pPr>
    </w:p>
    <w:p>
      <w:pPr>
        <w:ind w:left="20" w:right="159" w:firstLine="228"/>
        <w:spacing w:after="0" w:line="256" w:lineRule="auto"/>
        <w:rPr>
          <w:sz w:val="20"/>
          <w:szCs w:val="20"/>
          <w:color w:val="auto"/>
        </w:rPr>
      </w:pPr>
      <w:r>
        <w:rPr>
          <w:rFonts w:ascii="Times New Roman" w:cs="Times New Roman" w:eastAsia="Times New Roman" w:hAnsi="Times New Roman"/>
          <w:sz w:val="13"/>
          <w:szCs w:val="13"/>
          <w:color w:val="auto"/>
        </w:rPr>
        <w:t>As of December 31, 2020, our portfolio consisted of 291 data centers (including 43 data centers held as investments in unconsolidated joint ventures), of which 139 are located in the United States, 107 are located in Europe, 22 are located in Latin America, 12 are located in Asia, six are located in Australia, three are located in Africa and two are located in Canada.</w:t>
      </w:r>
    </w:p>
    <w:p>
      <w:pPr>
        <w:spacing w:after="0" w:line="129" w:lineRule="exact"/>
        <w:rPr>
          <w:sz w:val="20"/>
          <w:szCs w:val="20"/>
          <w:color w:val="auto"/>
        </w:rPr>
      </w:pPr>
    </w:p>
    <w:p>
      <w:pPr>
        <w:ind w:left="20" w:right="199" w:firstLine="228"/>
        <w:spacing w:after="0" w:line="252" w:lineRule="auto"/>
        <w:rPr>
          <w:sz w:val="20"/>
          <w:szCs w:val="20"/>
          <w:color w:val="auto"/>
        </w:rPr>
      </w:pPr>
      <w:r>
        <w:rPr>
          <w:rFonts w:ascii="Times New Roman" w:cs="Times New Roman" w:eastAsia="Times New Roman" w:hAnsi="Times New Roman"/>
          <w:sz w:val="13"/>
          <w:szCs w:val="13"/>
          <w:color w:val="auto"/>
        </w:rPr>
        <w:t>Digital Realty Trust, Inc. was incorporated in the state of Maryland on March 9, 2004. Digital Realty Trust, L.P. was organized in the state of Maryland on July 21, 2004. Our principal executive offices are located at 5707 Southwest Parkway, Building 1, Suite 275, Austin, Texas 78735. Our telephone number is (737) 281-0101. Our website is www.digitalrealty.com. The information found on, or otherwise accessible through, our website is not incorporated by reference into, nor does it form a part of, this Annual Report on Form 10-K.</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Recent Acquisitions</w:t>
      </w:r>
    </w:p>
    <w:p>
      <w:pPr>
        <w:spacing w:after="0" w:line="156" w:lineRule="exact"/>
        <w:rPr>
          <w:sz w:val="20"/>
          <w:szCs w:val="20"/>
          <w:color w:val="auto"/>
        </w:rPr>
      </w:pPr>
    </w:p>
    <w:p>
      <w:pPr>
        <w:ind w:left="20" w:right="39" w:firstLine="228"/>
        <w:spacing w:after="0" w:line="248" w:lineRule="auto"/>
        <w:rPr>
          <w:sz w:val="20"/>
          <w:szCs w:val="20"/>
          <w:color w:val="auto"/>
        </w:rPr>
      </w:pPr>
      <w:r>
        <w:rPr>
          <w:rFonts w:ascii="Times New Roman" w:cs="Times New Roman" w:eastAsia="Times New Roman" w:hAnsi="Times New Roman"/>
          <w:sz w:val="13"/>
          <w:szCs w:val="13"/>
          <w:color w:val="212529"/>
        </w:rPr>
        <w:t>On October 29, 2019, Digital Realty Trust, Inc., Digital Intrepid Holding B.V., an indirect subsidiary of Digital Realty Trust, Inc., and Interxion Holding N.V., which we refer to as Interxion, entered into a purchase agreement, or the Purchase Agreement, pursuant to which, subject to the terms and conditions of the Purchase Agreement, the Buyer commenced an exchange offer to purchase all of the outstanding ordinary shares of Interxion in exchange for shares of common stock of Digital Realty Trust, Inc.. We refer to the transactions contemplated by the Purchase Agreement as the Interxion Combination. We obtained control of Interxion on March 9, 2020 and completed the Interxion Combination on March 12, 2020 for total equity consideration of approximately $7.0 billion, including cash assumed. The Interxion Combination has expanded the combined company’s presence across Europe and Africa.</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212529"/>
        </w:rPr>
        <w:t>On November 1, 2019, we closed the joint venture with Mapletree Investments and Mapletree Industrial Trust, which we refer to collectively as Mapletree,</w:t>
      </w:r>
    </w:p>
    <w:p>
      <w:pPr>
        <w:spacing w:after="0" w:line="15" w:lineRule="exact"/>
        <w:rPr>
          <w:sz w:val="20"/>
          <w:szCs w:val="20"/>
          <w:color w:val="auto"/>
        </w:rPr>
      </w:pPr>
    </w:p>
    <w:p>
      <w:pPr>
        <w:ind w:left="20" w:right="199"/>
        <w:spacing w:after="0" w:line="245" w:lineRule="auto"/>
        <w:rPr>
          <w:sz w:val="20"/>
          <w:szCs w:val="20"/>
          <w:color w:val="auto"/>
        </w:rPr>
      </w:pPr>
      <w:r>
        <w:rPr>
          <w:rFonts w:ascii="Times New Roman" w:cs="Times New Roman" w:eastAsia="Times New Roman" w:hAnsi="Times New Roman"/>
          <w:sz w:val="13"/>
          <w:szCs w:val="13"/>
          <w:color w:val="212529"/>
        </w:rPr>
        <w:t>on three existing Turn-Key Flex® data centers located in Ashburn, Virginia. The Company retained a 20% ownership interest in the joint venture, and Mapletree acquired the remaining 80% stake for approximately $0.8 billion. We will continue to operate and manage these facilities. The second tranche of the Mapletree transaction, the sale of 10 fully-leased Powered Base Building® properties for $557 million, closed in January 2020.</w:t>
      </w:r>
    </w:p>
    <w:p>
      <w:pPr>
        <w:spacing w:after="0" w:line="137" w:lineRule="exact"/>
        <w:rPr>
          <w:sz w:val="20"/>
          <w:szCs w:val="20"/>
          <w:color w:val="auto"/>
        </w:rPr>
      </w:pPr>
    </w:p>
    <w:p>
      <w:pPr>
        <w:ind w:left="20" w:right="59" w:firstLine="228"/>
        <w:spacing w:after="0" w:line="273" w:lineRule="auto"/>
        <w:rPr>
          <w:sz w:val="20"/>
          <w:szCs w:val="20"/>
          <w:color w:val="auto"/>
        </w:rPr>
      </w:pPr>
      <w:r>
        <w:rPr>
          <w:rFonts w:ascii="Times New Roman" w:cs="Times New Roman" w:eastAsia="Times New Roman" w:hAnsi="Times New Roman"/>
          <w:sz w:val="12"/>
          <w:szCs w:val="12"/>
          <w:color w:val="auto"/>
        </w:rPr>
        <w:t>On December 20, 2018, the Operating Partnership and Stellar Participações S.A. (formerly Stellar Participações Ltda.), a Brazilian subsidiary of the Operating Partnership, completed the acquisition of Ascenty, a leading data center provider in Brazil, for cash and equity consideration of approximately $2.0 billion, including cash assumed. We refer to this transaction as the Ascenty Acquisition. In March 2019, we formed a joint venture with Brookfield Infrastructure, an affiliate of Brookfield Asset Management, one of the largest owners and operators of infrastructure assets globally. Brookfield invested approximately $702 million in exchange for approximately 49% of the total equity interests in the joint venture which owns and operates Ascenty. A subsidiary of the Operating Partnership retained the remaining equity interest in the Ascenty joint venture. As of March 27, 2019, we deconsolidated Ascenty and recorded our retained interest as an investment in unconsolidated joint ventures due to shared control with Brookfield.</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 w:name="page7"/>
    <w:bookmarkEnd w:id="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jc w:val="both"/>
        <w:ind w:left="20" w:right="99" w:firstLine="228"/>
        <w:spacing w:after="0" w:line="256" w:lineRule="auto"/>
        <w:rPr>
          <w:sz w:val="20"/>
          <w:szCs w:val="20"/>
          <w:color w:val="auto"/>
        </w:rPr>
      </w:pPr>
      <w:r>
        <w:rPr>
          <w:rFonts w:ascii="Times New Roman" w:cs="Times New Roman" w:eastAsia="Times New Roman" w:hAnsi="Times New Roman"/>
          <w:sz w:val="13"/>
          <w:szCs w:val="13"/>
          <w:color w:val="auto"/>
        </w:rPr>
        <w:t>On September 14, 2017, we completed the acquisition of DuPont Fabros Technology, Inc., or DFT, in an all-stock merger, which we refer to as the DFT Merger, for equity consideration of approximately $6.2 billion. We believe this transaction expanded our reach with a complementary portfolio in top U.S. metropolitan areas while enhancing our ability to meet the growing demand for hyper-scale and public cloud solutions and solidifying our blue-chip customer base.</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Industry Background</w:t>
      </w:r>
    </w:p>
    <w:p>
      <w:pPr>
        <w:spacing w:after="0" w:line="156" w:lineRule="exact"/>
        <w:rPr>
          <w:sz w:val="20"/>
          <w:szCs w:val="20"/>
          <w:color w:val="auto"/>
        </w:rPr>
      </w:pPr>
    </w:p>
    <w:p>
      <w:pPr>
        <w:ind w:left="20" w:right="99" w:firstLine="228"/>
        <w:spacing w:after="0" w:line="249" w:lineRule="auto"/>
        <w:rPr>
          <w:sz w:val="20"/>
          <w:szCs w:val="20"/>
          <w:color w:val="auto"/>
        </w:rPr>
      </w:pPr>
      <w:r>
        <w:rPr>
          <w:rFonts w:ascii="Times New Roman" w:cs="Times New Roman" w:eastAsia="Times New Roman" w:hAnsi="Times New Roman"/>
          <w:sz w:val="13"/>
          <w:szCs w:val="13"/>
          <w:color w:val="auto"/>
        </w:rPr>
        <w:t>The digital economy continues to grow and change how enterprises across all industries create and deliver value. Companies increasingly need to operate ubiquitously, on-demand and with real-time intelligence serving customers, partners and employees across multiple channels, business functions and points of business presence. Computational processing power requirements continue to advance, data traffic is growing, and the volume of data that enterprises generate, transmit, process, analyze, monitor and manage is expanding dramatically. The Internet of Things, 5G, autonomous vehicles and artificial intelligence, among other technological advancements, are driving this digital transformation.</w:t>
      </w:r>
    </w:p>
    <w:p>
      <w:pPr>
        <w:spacing w:after="0" w:line="136" w:lineRule="exact"/>
        <w:rPr>
          <w:sz w:val="20"/>
          <w:szCs w:val="20"/>
          <w:color w:val="auto"/>
        </w:rPr>
      </w:pPr>
    </w:p>
    <w:p>
      <w:pPr>
        <w:ind w:left="20" w:right="59" w:firstLine="228"/>
        <w:spacing w:after="0" w:line="249" w:lineRule="auto"/>
        <w:rPr>
          <w:sz w:val="20"/>
          <w:szCs w:val="20"/>
          <w:color w:val="auto"/>
        </w:rPr>
      </w:pPr>
      <w:r>
        <w:rPr>
          <w:rFonts w:ascii="Times New Roman" w:cs="Times New Roman" w:eastAsia="Times New Roman" w:hAnsi="Times New Roman"/>
          <w:sz w:val="13"/>
          <w:szCs w:val="13"/>
          <w:color w:val="auto"/>
        </w:rPr>
        <w:t>Further, we believe that enterprise data growth is accelerating due to the growing digital economy and emerging technological advances. As enterprises analyze and process this accelerating data mass, they create more data. As this data mass builds and continues to be analyzed and processed, we believe it becomes increasingly challenging to replicate and relocate, a phenomenon called increasing data gravity. We believe that enterprise decision makers will need to increasingly consider the impact of how data gravity impacts their enterprise IT architectures and, accordingly, we have developed the Data Gravity Index™. The Data Gravity Index™ is a global forecast that measures the intensity and gravitational force of enterprise data growth.</w:t>
      </w:r>
    </w:p>
    <w:p>
      <w:pPr>
        <w:spacing w:after="0" w:line="136" w:lineRule="exact"/>
        <w:rPr>
          <w:sz w:val="20"/>
          <w:szCs w:val="20"/>
          <w:color w:val="auto"/>
        </w:rPr>
      </w:pPr>
    </w:p>
    <w:p>
      <w:pPr>
        <w:ind w:left="20" w:right="99" w:firstLine="228"/>
        <w:spacing w:after="0" w:line="252" w:lineRule="auto"/>
        <w:rPr>
          <w:sz w:val="20"/>
          <w:szCs w:val="20"/>
          <w:color w:val="auto"/>
        </w:rPr>
      </w:pPr>
      <w:r>
        <w:rPr>
          <w:rFonts w:ascii="Times New Roman" w:cs="Times New Roman" w:eastAsia="Times New Roman" w:hAnsi="Times New Roman"/>
          <w:sz w:val="13"/>
          <w:szCs w:val="13"/>
          <w:color w:val="auto"/>
        </w:rPr>
        <w:t>As a global infrastructure provider for this growing digital economy, we believe the data center industry is poised for sustainable growth. The demand for data center infrastructure is being driven by this digital transformation which is contributing to the explosive growth of data, rapid growth of cloud adoption and greater demand for IT outsourcing. The power requirements and financial costs to support this growth in data, traffic and storage are substantial and growing accordingly. We believe that data centers will continue to play a critical role in the digital economy and enabling business transformation strategies.</w:t>
      </w:r>
    </w:p>
    <w:p>
      <w:pPr>
        <w:spacing w:after="0" w:line="132" w:lineRule="exact"/>
        <w:rPr>
          <w:sz w:val="20"/>
          <w:szCs w:val="20"/>
          <w:color w:val="auto"/>
        </w:rPr>
      </w:pPr>
    </w:p>
    <w:p>
      <w:pPr>
        <w:ind w:left="20" w:right="179" w:firstLine="228"/>
        <w:spacing w:after="0" w:line="249" w:lineRule="auto"/>
        <w:rPr>
          <w:sz w:val="20"/>
          <w:szCs w:val="20"/>
          <w:color w:val="auto"/>
        </w:rPr>
      </w:pPr>
      <w:r>
        <w:rPr>
          <w:rFonts w:ascii="Times New Roman" w:cs="Times New Roman" w:eastAsia="Times New Roman" w:hAnsi="Times New Roman"/>
          <w:sz w:val="13"/>
          <w:szCs w:val="13"/>
          <w:color w:val="auto"/>
        </w:rPr>
        <w:t>We believe cloud solutions and, in particular, hybrid cloud solutions will remain significant drivers of demand for data center infrastructure. The hybrid cloud, which combines public and private cloud solutions, has gained traction because it enables corporate enterprises to achieve efficiencies and contain costs as well as scale and secure their most sensitive information. In addition, the leading cloud service providers are generally mature, well-capitalized technology companies, and cloud platforms are among their fastest growing business segments. Data center providers that can solve global coverage, capacity and communities of interest connectivity needs, and coordinate and aggregate diverse customer and application demand, are poised to benefit from these cloud-specific industry drivers.</w:t>
      </w:r>
    </w:p>
    <w:p>
      <w:pPr>
        <w:spacing w:after="0" w:line="136" w:lineRule="exact"/>
        <w:rPr>
          <w:sz w:val="20"/>
          <w:szCs w:val="20"/>
          <w:color w:val="auto"/>
        </w:rPr>
      </w:pPr>
    </w:p>
    <w:p>
      <w:pPr>
        <w:ind w:left="20" w:right="39" w:firstLine="228"/>
        <w:spacing w:after="0" w:line="249" w:lineRule="auto"/>
        <w:rPr>
          <w:sz w:val="20"/>
          <w:szCs w:val="20"/>
          <w:color w:val="auto"/>
        </w:rPr>
      </w:pPr>
      <w:r>
        <w:rPr>
          <w:rFonts w:ascii="Times New Roman" w:cs="Times New Roman" w:eastAsia="Times New Roman" w:hAnsi="Times New Roman"/>
          <w:sz w:val="13"/>
          <w:szCs w:val="13"/>
          <w:color w:val="auto"/>
        </w:rPr>
        <w:t>These diverse and secular industry dynamics are driving greater demand for data center capacity not only from global cloud service providers, but also from businesses across other industries, including IT service firms, social media, content providers and the financial services sector. As companies focus on their core competencies and rely on outsourcing to meet their IT infrastructure needs, they are prioritizing colocation for their data center solutions for various reasons, including to reduce latency in data transfer and increase global presence and connectivity. New technologies need a fast, reliable and flexible foundation to operate, and the importance of offering a full spectrum of power, space and connectivity solutions continues to grow.</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Our Business</w:t>
      </w:r>
    </w:p>
    <w:p>
      <w:pPr>
        <w:spacing w:after="0" w:line="156" w:lineRule="exact"/>
        <w:rPr>
          <w:sz w:val="20"/>
          <w:szCs w:val="20"/>
          <w:color w:val="auto"/>
        </w:rPr>
      </w:pPr>
    </w:p>
    <w:p>
      <w:pPr>
        <w:ind w:left="20" w:right="59" w:firstLine="228"/>
        <w:spacing w:after="0" w:line="267" w:lineRule="auto"/>
        <w:rPr>
          <w:sz w:val="20"/>
          <w:szCs w:val="20"/>
          <w:color w:val="auto"/>
        </w:rPr>
      </w:pPr>
      <w:r>
        <w:rPr>
          <w:rFonts w:ascii="Times New Roman" w:cs="Times New Roman" w:eastAsia="Times New Roman" w:hAnsi="Times New Roman"/>
          <w:sz w:val="13"/>
          <w:szCs w:val="13"/>
          <w:color w:val="auto"/>
        </w:rPr>
        <w:t>We provide a global data center platform that supports our customers’ digital infrastructure and enables our customers to interconnect with their customers and partners. We solve global coverage, capacity, and communities of interest connectivity needs for companies of all sizes, including the world’s leading enterprises and services providers, through PlatformDIGITAL</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our fit-for-purpose platform that simplifies access to data center capacity and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 w:name="page8"/>
    <w:bookmarkEnd w:id="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48" w:lineRule="exact"/>
        <w:rPr>
          <w:sz w:val="20"/>
          <w:szCs w:val="20"/>
          <w:color w:val="auto"/>
        </w:rPr>
      </w:pPr>
    </w:p>
    <w:p>
      <w:pPr>
        <w:jc w:val="both"/>
        <w:ind w:left="20" w:right="499"/>
        <w:spacing w:after="0" w:line="242" w:lineRule="auto"/>
        <w:rPr>
          <w:sz w:val="20"/>
          <w:szCs w:val="20"/>
          <w:color w:val="auto"/>
        </w:rPr>
      </w:pPr>
      <w:r>
        <w:rPr>
          <w:rFonts w:ascii="Times New Roman" w:cs="Times New Roman" w:eastAsia="Times New Roman" w:hAnsi="Times New Roman"/>
          <w:sz w:val="12"/>
          <w:szCs w:val="12"/>
          <w:color w:val="auto"/>
        </w:rPr>
        <w:t>interconnection through a single data center provider with tailored infrastructure deployments and controls. PlatformDIGITAL</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combines our global presence with our Pervasive Data Center Architecture (PDx™) solution methodology for scaling digital business and efficiently managing data gravity challenges. Our global data center footprint gives customers access to the connected communities that matter to them with 291 facilities in 49 metros across 24 countries on six continents.</w:t>
      </w:r>
    </w:p>
    <w:p>
      <w:pPr>
        <w:spacing w:after="0" w:line="138" w:lineRule="exact"/>
        <w:rPr>
          <w:sz w:val="20"/>
          <w:szCs w:val="20"/>
          <w:color w:val="auto"/>
        </w:rPr>
      </w:pPr>
    </w:p>
    <w:p>
      <w:pPr>
        <w:ind w:left="20" w:right="39" w:firstLine="228"/>
        <w:spacing w:after="0" w:line="268" w:lineRule="auto"/>
        <w:rPr>
          <w:sz w:val="20"/>
          <w:szCs w:val="20"/>
          <w:color w:val="auto"/>
        </w:rPr>
      </w:pPr>
      <w:r>
        <w:rPr>
          <w:rFonts w:ascii="Times New Roman" w:cs="Times New Roman" w:eastAsia="Times New Roman" w:hAnsi="Times New Roman"/>
          <w:sz w:val="13"/>
          <w:szCs w:val="13"/>
          <w:color w:val="auto"/>
        </w:rPr>
        <w:t>Fundamentally, we bring together foundational real estate and innovative technology expertise around the world to deliver a comprehensive, dedicated product suite to meet customers’ data and connectivity needs. We represent an important part of the digital economy that we believe will benefit from powerful, long-term growth drivers.</w:t>
      </w:r>
    </w:p>
    <w:p>
      <w:pPr>
        <w:spacing w:after="0" w:line="122" w:lineRule="exact"/>
        <w:rPr>
          <w:sz w:val="20"/>
          <w:szCs w:val="20"/>
          <w:color w:val="auto"/>
        </w:rPr>
      </w:pPr>
    </w:p>
    <w:p>
      <w:pPr>
        <w:ind w:left="20" w:right="99" w:firstLine="228"/>
        <w:spacing w:after="0" w:line="248" w:lineRule="auto"/>
        <w:rPr>
          <w:sz w:val="20"/>
          <w:szCs w:val="20"/>
          <w:color w:val="auto"/>
        </w:rPr>
      </w:pPr>
      <w:r>
        <w:rPr>
          <w:rFonts w:ascii="Times New Roman" w:cs="Times New Roman" w:eastAsia="Times New Roman" w:hAnsi="Times New Roman"/>
          <w:sz w:val="13"/>
          <w:szCs w:val="13"/>
          <w:color w:val="auto"/>
        </w:rPr>
        <w:t>We believe that the growth trends in the data center market, technology, the cloud, Internet traffic and Internet-based services, combined with cost advantages in outsourcing data center requirements, provide attractive growth opportunities for us as a data center solutions provider. Leveraging deep expertise in technology and real estate, we have an expansive global footprint, impressive scale and a full-spectrum fit-for-purpose product offering in key metropolitan areas around the world. These advantages simplify the contracting process for multinational enterprises, eliminating their need to negotiate with multiple local data center solutions providers. In addition, in areas where high data center construction and operating costs and long time-to-market prohibit many of our customers from building their own data centers, our global footprint and scale allow us to quickly and efficiently meet our customers' needs.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Digital Realty Pillars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We are one of the leading data center providers in the world. Our business and operations are aligned with the following key pillars: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Resilient Foundations</w:t>
      </w:r>
    </w:p>
    <w:p>
      <w:pPr>
        <w:spacing w:after="0" w:line="156" w:lineRule="exact"/>
        <w:rPr>
          <w:sz w:val="20"/>
          <w:szCs w:val="20"/>
          <w:color w:val="auto"/>
        </w:rPr>
      </w:pPr>
    </w:p>
    <w:p>
      <w:pPr>
        <w:ind w:left="20" w:right="219" w:firstLine="228"/>
        <w:spacing w:after="0" w:line="252" w:lineRule="auto"/>
        <w:rPr>
          <w:sz w:val="20"/>
          <w:szCs w:val="20"/>
          <w:color w:val="auto"/>
        </w:rPr>
      </w:pPr>
      <w:r>
        <w:rPr>
          <w:rFonts w:ascii="Times New Roman" w:cs="Times New Roman" w:eastAsia="Times New Roman" w:hAnsi="Times New Roman"/>
          <w:sz w:val="13"/>
          <w:szCs w:val="13"/>
          <w:color w:val="auto"/>
        </w:rPr>
        <w:t>Our record of resiliency, 14 consecutive years of “five-nines” (99.999%) uptime for facilities owned and operated by us, and our award-winning sustainability program ensure our customers’ high-performance networks are effective and environmentally conscious. We design, own and manage data centers and are trusted with the critical IT infrastructures of companies globally, from small businesses to large multinational enterprises. We provide the critical digital foundations for our customers to store, manage, and connect their data when, where and how they need it.</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Global, Local and Interconnected</w:t>
      </w:r>
    </w:p>
    <w:p>
      <w:pPr>
        <w:spacing w:after="0" w:line="156" w:lineRule="exact"/>
        <w:rPr>
          <w:sz w:val="20"/>
          <w:szCs w:val="20"/>
          <w:color w:val="auto"/>
        </w:rPr>
      </w:pPr>
    </w:p>
    <w:p>
      <w:pPr>
        <w:ind w:left="20" w:right="159" w:firstLine="228"/>
        <w:spacing w:after="0" w:line="256" w:lineRule="auto"/>
        <w:rPr>
          <w:sz w:val="20"/>
          <w:szCs w:val="20"/>
          <w:color w:val="auto"/>
        </w:rPr>
      </w:pPr>
      <w:r>
        <w:rPr>
          <w:rFonts w:ascii="Times New Roman" w:cs="Times New Roman" w:eastAsia="Times New Roman" w:hAnsi="Times New Roman"/>
          <w:sz w:val="13"/>
          <w:szCs w:val="13"/>
          <w:color w:val="auto"/>
        </w:rPr>
        <w:t>Our data centers are hyper-connected hubs, strategically located in 49 key metro areas across the world. Our global strength is matched by the expertise of our local teams on the ground. Our data centers provide high-performance access to one of the largest communities of interest of interconnected networks, critical data center and cloud services, customers and partners. Our global footprint and network enable our customers to connect with other parties in the way they need.</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Trusted Partner</w:t>
      </w:r>
    </w:p>
    <w:p>
      <w:pPr>
        <w:spacing w:after="0" w:line="156" w:lineRule="exact"/>
        <w:rPr>
          <w:sz w:val="20"/>
          <w:szCs w:val="20"/>
          <w:color w:val="auto"/>
        </w:rPr>
      </w:pPr>
    </w:p>
    <w:p>
      <w:pPr>
        <w:ind w:left="20" w:right="159" w:firstLine="228"/>
        <w:spacing w:after="0" w:line="256" w:lineRule="auto"/>
        <w:rPr>
          <w:sz w:val="20"/>
          <w:szCs w:val="20"/>
          <w:color w:val="auto"/>
        </w:rPr>
      </w:pPr>
      <w:r>
        <w:rPr>
          <w:rFonts w:ascii="Times New Roman" w:cs="Times New Roman" w:eastAsia="Times New Roman" w:hAnsi="Times New Roman"/>
          <w:sz w:val="13"/>
          <w:szCs w:val="13"/>
          <w:color w:val="auto"/>
        </w:rPr>
        <w:t>We are a trusted partner for our customers, which include many of the most digitally ambitious companies in the world, helping to safeguard their digital capital and drive their growth. Whether designing and delivering dedicated data center facilities or solving cloud connectivity issues, our dedicated team of technical experts strives to ensure customer success through consistency in operations, customer care and ease of doing business.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Our Data Center Portfolio</w:t>
      </w:r>
    </w:p>
    <w:p>
      <w:pPr>
        <w:spacing w:after="0" w:line="156" w:lineRule="exact"/>
        <w:rPr>
          <w:sz w:val="20"/>
          <w:szCs w:val="20"/>
          <w:color w:val="auto"/>
        </w:rPr>
      </w:pPr>
    </w:p>
    <w:p>
      <w:pPr>
        <w:ind w:left="20" w:right="199" w:firstLine="228"/>
        <w:spacing w:after="0" w:line="310" w:lineRule="auto"/>
        <w:rPr>
          <w:sz w:val="20"/>
          <w:szCs w:val="20"/>
          <w:color w:val="auto"/>
        </w:rPr>
      </w:pPr>
      <w:r>
        <w:rPr>
          <w:rFonts w:ascii="Times New Roman" w:cs="Times New Roman" w:eastAsia="Times New Roman" w:hAnsi="Times New Roman"/>
          <w:sz w:val="12"/>
          <w:szCs w:val="12"/>
          <w:color w:val="auto"/>
        </w:rPr>
        <w:t>Our portfolio of high-quality data centers provides secure, highly connected and continuously available environments for the exchange, processing and storage of critical data. Data centers are used for digital communication, disaster recovery purposes, transaction processing and housing mission-critical corporate IT applications. Our internet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8" w:name="page9"/>
    <w:bookmarkEnd w:id="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139"/>
        <w:spacing w:after="0" w:line="256" w:lineRule="auto"/>
        <w:rPr>
          <w:sz w:val="20"/>
          <w:szCs w:val="20"/>
          <w:color w:val="auto"/>
        </w:rPr>
      </w:pPr>
      <w:r>
        <w:rPr>
          <w:rFonts w:ascii="Times New Roman" w:cs="Times New Roman" w:eastAsia="Times New Roman" w:hAnsi="Times New Roman"/>
          <w:sz w:val="13"/>
          <w:szCs w:val="13"/>
          <w:color w:val="auto"/>
        </w:rPr>
        <w:t>gateway data centers are highly interconnected, network-dense facilities that serve as hubs for internet and data communications within and between major metropolitan areas. We believe internet gateways are extremely valuable and a high-quality, highly interconnected global portfolio such as ours could not be easily replicated today on a cost-competitive basis.</w:t>
      </w:r>
    </w:p>
    <w:p>
      <w:pPr>
        <w:spacing w:after="0" w:line="129" w:lineRule="exact"/>
        <w:rPr>
          <w:sz w:val="20"/>
          <w:szCs w:val="20"/>
          <w:color w:val="auto"/>
        </w:rPr>
      </w:pPr>
    </w:p>
    <w:p>
      <w:pPr>
        <w:ind w:left="20" w:right="59" w:firstLine="228"/>
        <w:spacing w:after="0" w:line="256" w:lineRule="auto"/>
        <w:rPr>
          <w:sz w:val="20"/>
          <w:szCs w:val="20"/>
          <w:color w:val="auto"/>
        </w:rPr>
      </w:pPr>
      <w:r>
        <w:rPr>
          <w:rFonts w:ascii="Times New Roman" w:cs="Times New Roman" w:eastAsia="Times New Roman" w:hAnsi="Times New Roman"/>
          <w:sz w:val="13"/>
          <w:szCs w:val="13"/>
          <w:color w:val="auto"/>
        </w:rPr>
        <w:t>Our global platform provides access to a network of 291 state-of-the-art, interconnected data centers, concentrated in 49 major metropolitan areas across 24 countries on six continents. We are diversified across major metropolitan areas characterized by a high concentration of connected end-users and technology companies. Northern Virginia represented 19% of total revenue for the year ended December 31, 2020, followed by Chicago with 11%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186690</wp:posOffset>
            </wp:positionV>
            <wp:extent cx="3206750" cy="1802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750" cy="180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right="59" w:firstLine="228"/>
        <w:spacing w:after="0" w:line="252" w:lineRule="auto"/>
        <w:rPr>
          <w:sz w:val="20"/>
          <w:szCs w:val="20"/>
          <w:color w:val="auto"/>
        </w:rPr>
      </w:pPr>
      <w:r>
        <w:rPr>
          <w:rFonts w:ascii="Times New Roman" w:cs="Times New Roman" w:eastAsia="Times New Roman" w:hAnsi="Times New Roman"/>
          <w:sz w:val="13"/>
          <w:szCs w:val="13"/>
          <w:color w:val="auto"/>
        </w:rPr>
        <w:t>Through strategic investments, we have grown our presence in key metropolitan areas throughout North America, Europe, Latin America, Asia, Australia and Africa. Recent acquisitions have expanded our footprint into Latin America, enhanced our data center offerings in strategic and complementary U.S. metropolitan areas, established our colocation and interconnection platform in the U.S. and expanded our colocation and interconnection platform in Europe and Africa, each transaction enhancing our presence in top-tier locations throughout North America, Europe, Latin America and Africa.</w:t>
      </w:r>
    </w:p>
    <w:p>
      <w:pPr>
        <w:spacing w:after="0" w:line="132" w:lineRule="exact"/>
        <w:rPr>
          <w:sz w:val="20"/>
          <w:szCs w:val="20"/>
          <w:color w:val="auto"/>
        </w:rPr>
      </w:pPr>
    </w:p>
    <w:p>
      <w:pPr>
        <w:ind w:left="20" w:right="39" w:firstLine="228"/>
        <w:spacing w:after="0" w:line="252" w:lineRule="auto"/>
        <w:rPr>
          <w:sz w:val="20"/>
          <w:szCs w:val="20"/>
          <w:color w:val="auto"/>
        </w:rPr>
      </w:pPr>
      <w:r>
        <w:rPr>
          <w:rFonts w:ascii="Times New Roman" w:cs="Times New Roman" w:eastAsia="Times New Roman" w:hAnsi="Times New Roman"/>
          <w:sz w:val="13"/>
          <w:szCs w:val="13"/>
          <w:color w:val="auto"/>
        </w:rPr>
        <w:t>The locations of and improvements to our data centers, the network density, interconnection infrastructure and connectivity-centric customers in certain of our facilities, and our comprehensive product offerings are critical to our customers’ businesses, which we believe results in high occupancy levels, longer average lease terms and customer relationships, as well as lower turnover. In addition, many of our data centers contain significant improvements that have been installed at our customers’ expense. The tenant improvements in our data centers are generally readily adaptable for use by similar customers.</w:t>
      </w:r>
    </w:p>
    <w:p>
      <w:pPr>
        <w:spacing w:after="0" w:line="132" w:lineRule="exact"/>
        <w:rPr>
          <w:sz w:val="20"/>
          <w:szCs w:val="20"/>
          <w:color w:val="auto"/>
        </w:rPr>
      </w:pPr>
    </w:p>
    <w:p>
      <w:pPr>
        <w:ind w:left="20" w:right="99" w:firstLine="228"/>
        <w:spacing w:after="0" w:line="249" w:lineRule="auto"/>
        <w:rPr>
          <w:sz w:val="20"/>
          <w:szCs w:val="20"/>
          <w:color w:val="auto"/>
        </w:rPr>
      </w:pPr>
      <w:r>
        <w:rPr>
          <w:rFonts w:ascii="Times New Roman" w:cs="Times New Roman" w:eastAsia="Times New Roman" w:hAnsi="Times New Roman"/>
          <w:sz w:val="13"/>
          <w:szCs w:val="13"/>
          <w:color w:val="auto"/>
        </w:rPr>
        <w:t>Our data centers are physically secure, network-rich and equipped to meet the power and cooling requirements of smaller footprints up to the most demanding IT applications. Many of our data centers are located on major aggregation points formed by the physical presence of multiple major telecommunications service providers, which reduces our customers’ costs and operational risks and enhances the attractiveness of our properties. In addition, our strategically located global data center campuses offer our customers the ability to expand their global footprint as their businesses grow, while our connectivity offerings on our campuses enhance the capabilities and attractiveness of these facilities. Further, the network density, interconnection infrastructure and connectivity-centric customers in certain of our data</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9" w:name="page10"/>
    <w:bookmarkEnd w:id="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centers has led to the organic formation of densely interconnected communities of interest that are difficult for competitors to replicate and deliver added value to our customers.</w:t>
      </w:r>
    </w:p>
    <w:p>
      <w:pPr>
        <w:spacing w:after="0" w:line="166" w:lineRule="exact"/>
        <w:rPr>
          <w:sz w:val="20"/>
          <w:szCs w:val="20"/>
          <w:color w:val="auto"/>
        </w:rPr>
      </w:pPr>
    </w:p>
    <w:p>
      <w:pPr>
        <w:ind w:left="20" w:right="99" w:firstLine="228"/>
        <w:spacing w:after="0" w:line="247" w:lineRule="auto"/>
        <w:rPr>
          <w:sz w:val="20"/>
          <w:szCs w:val="20"/>
          <w:color w:val="auto"/>
        </w:rPr>
      </w:pPr>
      <w:r>
        <w:rPr>
          <w:rFonts w:ascii="Times New Roman" w:cs="Times New Roman" w:eastAsia="Times New Roman" w:hAnsi="Times New Roman"/>
          <w:sz w:val="13"/>
          <w:szCs w:val="13"/>
          <w:color w:val="auto"/>
        </w:rPr>
        <w:t>Our portfolio contains a total of approximately 43.6 million square feet, including approximately 5.4 million square feet of space under active development and approximately 2.3 million square feet of space held for future development. The 43 data centers held as investments in unconsolidated joint ventures have an aggregate of approximately 4.7 million rentable square feet. The 34 parcels of developable land we own comprise approximately 927 acres. A significant component of our current and future growth is expected to be generated through the development of our existing space held for development and acquisition of new properties. As of December 31, 2020, our portfolio, including the 43 data centers held as investments in unconsolidated joint ventures and excluding space under active development and space held for future development, was approximately 86.3% leased. From time to time we may look to sell individual assets or portfolios of assets that we do not consider to be core to our ongoing business strategy.</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Our Diversified Product Offerings</w:t>
      </w:r>
    </w:p>
    <w:p>
      <w:pPr>
        <w:spacing w:after="0" w:line="156" w:lineRule="exact"/>
        <w:rPr>
          <w:sz w:val="20"/>
          <w:szCs w:val="20"/>
          <w:color w:val="auto"/>
        </w:rPr>
      </w:pPr>
    </w:p>
    <w:p>
      <w:pPr>
        <w:ind w:left="20" w:right="219" w:firstLine="228"/>
        <w:spacing w:after="0" w:line="275" w:lineRule="auto"/>
        <w:rPr>
          <w:sz w:val="20"/>
          <w:szCs w:val="20"/>
          <w:color w:val="auto"/>
        </w:rPr>
      </w:pPr>
      <w:r>
        <w:rPr>
          <w:rFonts w:ascii="Times New Roman" w:cs="Times New Roman" w:eastAsia="Times New Roman" w:hAnsi="Times New Roman"/>
          <w:sz w:val="12"/>
          <w:szCs w:val="12"/>
          <w:color w:val="auto"/>
        </w:rPr>
        <w:t>We provide a flexible, global data center platform that allows our customers to tailor infrastructure deployments and controls matched to their business needs. Our data centers and comprehensive suite of product offerings are scalable to meet our customers’ needs, from a single rack or cabinet up to multi-megawatt deployments, along with connectivity, interconnection and solutions to support their hybrid cloud architecture requirements. Over the past few years, we have expanded our product mix to appeal to a broader spectrum of data center customers, especially those seeking to support a greater portion of their data center requirements through a single provider. Our Critical Facilities Management® services and team of technical engineers and data center operations experts provide 24/7 support for these mission-critical facilities.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0" w:name="page11"/>
    <w:bookmarkEnd w:id="1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right="119" w:firstLine="273"/>
        <w:spacing w:after="0" w:line="314" w:lineRule="auto"/>
        <w:rPr>
          <w:sz w:val="20"/>
          <w:szCs w:val="20"/>
          <w:color w:val="auto"/>
        </w:rPr>
      </w:pPr>
      <w:r>
        <w:rPr>
          <w:rFonts w:ascii="Times New Roman" w:cs="Times New Roman" w:eastAsia="Times New Roman" w:hAnsi="Times New Roman"/>
          <w:sz w:val="12"/>
          <w:szCs w:val="12"/>
          <w:b w:val="1"/>
          <w:bCs w:val="1"/>
          <w:i w:val="1"/>
          <w:iCs w:val="1"/>
          <w:color w:val="auto"/>
        </w:rPr>
        <w:t>PlatformDIGITAL Solution Model</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PlatformDIGITAL® solution model is based on our Pervasive Datacenter™ architecture strategy, which brings users, networks,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clouds, controls and systems to the data, removing barriers, creating centers of data exchange to accommodate distributed workflows and scaling digital business.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Network Hub</w:t>
            </w:r>
          </w:p>
        </w:tc>
        <w:tc>
          <w:tcPr>
            <w:tcW w:w="4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Consolidates and localizes traffic into ingress/egress points to optimize network</w:t>
            </w:r>
          </w:p>
        </w:tc>
        <w:tc>
          <w:tcPr>
            <w:tcW w:w="620" w:type="dxa"/>
            <w:vAlign w:val="bottom"/>
          </w:tcPr>
          <w:p>
            <w:pPr>
              <w:spacing w:after="0"/>
              <w:rPr>
                <w:sz w:val="13"/>
                <w:szCs w:val="13"/>
                <w:color w:val="auto"/>
              </w:rPr>
            </w:pPr>
          </w:p>
        </w:tc>
      </w:tr>
      <w:tr>
        <w:trPr>
          <w:trHeight w:val="165"/>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performance and cost</w:t>
            </w:r>
          </w:p>
        </w:tc>
        <w:tc>
          <w:tcPr>
            <w:tcW w:w="620" w:type="dxa"/>
            <w:vAlign w:val="bottom"/>
          </w:tcPr>
          <w:p>
            <w:pPr>
              <w:spacing w:after="0"/>
              <w:rPr>
                <w:sz w:val="14"/>
                <w:szCs w:val="14"/>
                <w:color w:val="auto"/>
              </w:rPr>
            </w:pPr>
          </w:p>
        </w:tc>
      </w:tr>
      <w:tr>
        <w:trPr>
          <w:trHeight w:val="95"/>
        </w:trPr>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40" w:type="dxa"/>
            <w:vAlign w:val="bottom"/>
            <w:shd w:val="clear" w:color="auto" w:fill="CCEEFF"/>
          </w:tcPr>
          <w:p>
            <w:pPr>
              <w:spacing w:after="0"/>
              <w:rPr>
                <w:sz w:val="8"/>
                <w:szCs w:val="8"/>
                <w:color w:val="auto"/>
              </w:rPr>
            </w:pPr>
          </w:p>
        </w:tc>
        <w:tc>
          <w:tcPr>
            <w:tcW w:w="620" w:type="dxa"/>
            <w:vAlign w:val="bottom"/>
          </w:tcPr>
          <w:p>
            <w:pPr>
              <w:spacing w:after="0"/>
              <w:rPr>
                <w:sz w:val="8"/>
                <w:szCs w:val="8"/>
                <w:color w:val="auto"/>
              </w:rPr>
            </w:pPr>
          </w:p>
        </w:tc>
      </w:tr>
      <w:tr>
        <w:trPr>
          <w:trHeight w:val="158"/>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Control Hub</w:t>
            </w:r>
          </w:p>
        </w:tc>
        <w:tc>
          <w:tcPr>
            <w:tcW w:w="4840" w:type="dxa"/>
            <w:vAlign w:val="bottom"/>
          </w:tcPr>
          <w:p>
            <w:pPr>
              <w:ind w:left="620"/>
              <w:spacing w:after="0"/>
              <w:rPr>
                <w:sz w:val="20"/>
                <w:szCs w:val="20"/>
                <w:color w:val="auto"/>
              </w:rPr>
            </w:pPr>
            <w:r>
              <w:rPr>
                <w:rFonts w:ascii="Times New Roman" w:cs="Times New Roman" w:eastAsia="Times New Roman" w:hAnsi="Times New Roman"/>
                <w:sz w:val="13"/>
                <w:szCs w:val="13"/>
                <w:color w:val="auto"/>
                <w:w w:val="98"/>
              </w:rPr>
              <w:t>Hosts adjacent security and IT controls to improve security posture and Hybrid-IT</w:t>
            </w:r>
          </w:p>
        </w:tc>
        <w:tc>
          <w:tcPr>
            <w:tcW w:w="620" w:type="dxa"/>
            <w:vAlign w:val="bottom"/>
          </w:tcPr>
          <w:p>
            <w:pPr>
              <w:spacing w:after="0"/>
              <w:rPr>
                <w:sz w:val="13"/>
                <w:szCs w:val="13"/>
                <w:color w:val="auto"/>
              </w:rPr>
            </w:pPr>
          </w:p>
        </w:tc>
      </w:tr>
      <w:tr>
        <w:trPr>
          <w:trHeight w:val="165"/>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operations</w:t>
            </w:r>
          </w:p>
        </w:tc>
        <w:tc>
          <w:tcPr>
            <w:tcW w:w="620" w:type="dxa"/>
            <w:vAlign w:val="bottom"/>
          </w:tcPr>
          <w:p>
            <w:pPr>
              <w:spacing w:after="0"/>
              <w:rPr>
                <w:sz w:val="14"/>
                <w:szCs w:val="14"/>
                <w:color w:val="auto"/>
              </w:rPr>
            </w:pPr>
          </w:p>
        </w:tc>
      </w:tr>
      <w:tr>
        <w:trPr>
          <w:trHeight w:val="95"/>
        </w:trPr>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58"/>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Data Hub</w:t>
            </w:r>
          </w:p>
        </w:tc>
        <w:tc>
          <w:tcPr>
            <w:tcW w:w="4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w w:val="99"/>
              </w:rPr>
              <w:t>Localizes data aggregation, staging, analytics, streaming and data management to</w:t>
            </w:r>
          </w:p>
        </w:tc>
        <w:tc>
          <w:tcPr>
            <w:tcW w:w="620" w:type="dxa"/>
            <w:vAlign w:val="bottom"/>
          </w:tcPr>
          <w:p>
            <w:pPr>
              <w:spacing w:after="0"/>
              <w:rPr>
                <w:sz w:val="13"/>
                <w:szCs w:val="13"/>
                <w:color w:val="auto"/>
              </w:rPr>
            </w:pPr>
          </w:p>
        </w:tc>
      </w:tr>
      <w:tr>
        <w:trPr>
          <w:trHeight w:val="165"/>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optimize data exchange</w:t>
            </w:r>
          </w:p>
        </w:tc>
        <w:tc>
          <w:tcPr>
            <w:tcW w:w="62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40" w:type="dxa"/>
            <w:vAlign w:val="bottom"/>
            <w:shd w:val="clear" w:color="auto" w:fill="CCEEFF"/>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SX Fabric</w:t>
            </w:r>
          </w:p>
        </w:tc>
        <w:tc>
          <w:tcPr>
            <w:tcW w:w="4840" w:type="dxa"/>
            <w:vAlign w:val="bottom"/>
          </w:tcPr>
          <w:p>
            <w:pPr>
              <w:ind w:left="620"/>
              <w:spacing w:after="0"/>
              <w:rPr>
                <w:sz w:val="20"/>
                <w:szCs w:val="20"/>
                <w:color w:val="auto"/>
              </w:rPr>
            </w:pPr>
            <w:r>
              <w:rPr>
                <w:rFonts w:ascii="Times New Roman" w:cs="Times New Roman" w:eastAsia="Times New Roman" w:hAnsi="Times New Roman"/>
                <w:sz w:val="13"/>
                <w:szCs w:val="13"/>
                <w:color w:val="auto"/>
                <w:w w:val="99"/>
              </w:rPr>
              <w:t>Adds SDN overlay to service chain multi-cloud and B2B application ecosystems</w:t>
            </w:r>
          </w:p>
        </w:tc>
        <w:tc>
          <w:tcPr>
            <w:tcW w:w="620" w:type="dxa"/>
            <w:vAlign w:val="bottom"/>
          </w:tcPr>
          <w:p>
            <w:pPr>
              <w:spacing w:after="0"/>
              <w:rPr>
                <w:sz w:val="14"/>
                <w:szCs w:val="14"/>
                <w:color w:val="auto"/>
              </w:rPr>
            </w:pPr>
          </w:p>
        </w:tc>
      </w:tr>
      <w:tr>
        <w:trPr>
          <w:trHeight w:val="215"/>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Connects hubs across metros and regions to enable secure and performant</w:t>
            </w:r>
          </w:p>
        </w:tc>
        <w:tc>
          <w:tcPr>
            <w:tcW w:w="620" w:type="dxa"/>
            <w:vAlign w:val="bottom"/>
          </w:tcPr>
          <w:p>
            <w:pPr>
              <w:spacing w:after="0"/>
              <w:rPr>
                <w:sz w:val="18"/>
                <w:szCs w:val="18"/>
                <w:color w:val="auto"/>
              </w:rPr>
            </w:pPr>
          </w:p>
        </w:tc>
      </w:tr>
      <w:tr>
        <w:trPr>
          <w:trHeight w:val="165"/>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distributed workflows</w:t>
            </w:r>
          </w:p>
        </w:tc>
        <w:tc>
          <w:tcPr>
            <w:tcW w:w="620" w:type="dxa"/>
            <w:vAlign w:val="bottom"/>
          </w:tcPr>
          <w:p>
            <w:pPr>
              <w:spacing w:after="0"/>
              <w:rPr>
                <w:sz w:val="14"/>
                <w:szCs w:val="14"/>
                <w:color w:val="auto"/>
              </w:rPr>
            </w:pPr>
          </w:p>
        </w:tc>
      </w:tr>
      <w:tr>
        <w:trPr>
          <w:trHeight w:val="247"/>
        </w:trPr>
        <w:tc>
          <w:tcPr>
            <w:tcW w:w="27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i w:val="1"/>
                <w:iCs w:val="1"/>
                <w:color w:val="auto"/>
              </w:rPr>
              <w:t>Capacity</w:t>
            </w:r>
          </w:p>
        </w:tc>
        <w:tc>
          <w:tcPr>
            <w:tcW w:w="48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28"/>
        </w:trPr>
        <w:tc>
          <w:tcPr>
            <w:tcW w:w="260" w:type="dxa"/>
            <w:vAlign w:val="bottom"/>
          </w:tcPr>
          <w:p>
            <w:pPr>
              <w:spacing w:after="0"/>
              <w:rPr>
                <w:sz w:val="19"/>
                <w:szCs w:val="19"/>
                <w:color w:val="auto"/>
              </w:rPr>
            </w:pPr>
          </w:p>
        </w:tc>
        <w:tc>
          <w:tcPr>
            <w:tcW w:w="2440" w:type="dxa"/>
            <w:vAlign w:val="bottom"/>
            <w:tcBorders>
              <w:bottom w:val="single" w:sz="8" w:color="7F7F7F"/>
            </w:tcBorders>
            <w:gridSpan w:val="3"/>
          </w:tcPr>
          <w:p>
            <w:pPr>
              <w:spacing w:after="0"/>
              <w:rPr>
                <w:sz w:val="19"/>
                <w:szCs w:val="19"/>
                <w:color w:val="auto"/>
              </w:rPr>
            </w:pPr>
          </w:p>
        </w:tc>
        <w:tc>
          <w:tcPr>
            <w:tcW w:w="484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r>
      <w:tr>
        <w:trPr>
          <w:trHeight w:val="170"/>
        </w:trPr>
        <w:tc>
          <w:tcPr>
            <w:tcW w:w="260" w:type="dxa"/>
            <w:vAlign w:val="bottom"/>
          </w:tcPr>
          <w:p>
            <w:pPr>
              <w:spacing w:after="0"/>
              <w:rPr>
                <w:sz w:val="14"/>
                <w:szCs w:val="14"/>
                <w:color w:val="auto"/>
              </w:rPr>
            </w:pPr>
          </w:p>
        </w:tc>
        <w:tc>
          <w:tcPr>
            <w:tcW w:w="2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Product</w:t>
            </w:r>
          </w:p>
        </w:tc>
        <w:tc>
          <w:tcPr>
            <w:tcW w:w="100" w:type="dxa"/>
            <w:vAlign w:val="bottom"/>
            <w:tcBorders>
              <w:bottom w:val="single" w:sz="8" w:color="CCEEFF"/>
            </w:tcBorders>
          </w:tcPr>
          <w:p>
            <w:pPr>
              <w:spacing w:after="0"/>
              <w:rPr>
                <w:sz w:val="14"/>
                <w:szCs w:val="14"/>
                <w:color w:val="auto"/>
              </w:rPr>
            </w:pPr>
          </w:p>
        </w:tc>
        <w:tc>
          <w:tcPr>
            <w:tcW w:w="484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620" w:type="dxa"/>
            <w:vAlign w:val="bottom"/>
            <w:tcBorders>
              <w:bottom w:val="single" w:sz="8" w:color="auto"/>
            </w:tcBorders>
          </w:tcPr>
          <w:p>
            <w:pPr>
              <w:spacing w:after="0"/>
              <w:rPr>
                <w:sz w:val="14"/>
                <w:szCs w:val="14"/>
                <w:color w:val="auto"/>
              </w:rPr>
            </w:pPr>
          </w:p>
        </w:tc>
      </w:tr>
      <w:tr>
        <w:trPr>
          <w:trHeight w:val="157"/>
        </w:trPr>
        <w:tc>
          <w:tcPr>
            <w:tcW w:w="260" w:type="dxa"/>
            <w:vAlign w:val="bottom"/>
          </w:tcPr>
          <w:p>
            <w:pPr>
              <w:spacing w:after="0"/>
              <w:rPr>
                <w:sz w:val="13"/>
                <w:szCs w:val="13"/>
                <w:color w:val="auto"/>
              </w:rPr>
            </w:pPr>
          </w:p>
        </w:tc>
        <w:tc>
          <w:tcPr>
            <w:tcW w:w="2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Colocation</w:t>
            </w: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Small (one cabinet) to medium (75 cabinets) deployments</w:t>
            </w:r>
          </w:p>
        </w:tc>
        <w:tc>
          <w:tcPr>
            <w:tcW w:w="620" w:type="dxa"/>
            <w:vAlign w:val="bottom"/>
            <w:shd w:val="clear" w:color="auto" w:fill="CCEEFF"/>
          </w:tcPr>
          <w:p>
            <w:pPr>
              <w:spacing w:after="0"/>
              <w:rPr>
                <w:sz w:val="13"/>
                <w:szCs w:val="13"/>
                <w:color w:val="auto"/>
              </w:rPr>
            </w:pPr>
          </w:p>
        </w:tc>
      </w:tr>
      <w:tr>
        <w:trPr>
          <w:trHeight w:val="152"/>
        </w:trPr>
        <w:tc>
          <w:tcPr>
            <w:tcW w:w="260" w:type="dxa"/>
            <w:vAlign w:val="bottom"/>
          </w:tcPr>
          <w:p>
            <w:pPr>
              <w:spacing w:after="0"/>
              <w:rPr>
                <w:sz w:val="13"/>
                <w:szCs w:val="13"/>
                <w:color w:val="auto"/>
              </w:rPr>
            </w:pPr>
          </w:p>
        </w:tc>
        <w:tc>
          <w:tcPr>
            <w:tcW w:w="2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 to 1 MW)</w:t>
            </w: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Provides agility to quickly deploy in days</w:t>
            </w:r>
          </w:p>
        </w:tc>
        <w:tc>
          <w:tcPr>
            <w:tcW w:w="620" w:type="dxa"/>
            <w:vAlign w:val="bottom"/>
            <w:shd w:val="clear" w:color="auto" w:fill="CCEEFF"/>
          </w:tcPr>
          <w:p>
            <w:pPr>
              <w:spacing w:after="0"/>
              <w:rPr>
                <w:sz w:val="13"/>
                <w:szCs w:val="13"/>
                <w:color w:val="auto"/>
              </w:rPr>
            </w:pPr>
          </w:p>
        </w:tc>
      </w:tr>
      <w:tr>
        <w:trPr>
          <w:trHeight w:val="152"/>
        </w:trPr>
        <w:tc>
          <w:tcPr>
            <w:tcW w:w="260" w:type="dxa"/>
            <w:vAlign w:val="bottom"/>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length generally 2-5 years</w:t>
            </w:r>
          </w:p>
        </w:tc>
        <w:tc>
          <w:tcPr>
            <w:tcW w:w="620" w:type="dxa"/>
            <w:vAlign w:val="bottom"/>
            <w:shd w:val="clear" w:color="auto" w:fill="CCEEFF"/>
          </w:tcPr>
          <w:p>
            <w:pPr>
              <w:spacing w:after="0"/>
              <w:rPr>
                <w:sz w:val="13"/>
                <w:szCs w:val="13"/>
                <w:color w:val="auto"/>
              </w:rPr>
            </w:pPr>
          </w:p>
        </w:tc>
      </w:tr>
      <w:tr>
        <w:trPr>
          <w:trHeight w:val="184"/>
        </w:trPr>
        <w:tc>
          <w:tcPr>
            <w:tcW w:w="260" w:type="dxa"/>
            <w:vAlign w:val="bottom"/>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Consistent designs, operational environment, power expenses</w:t>
            </w:r>
          </w:p>
        </w:tc>
        <w:tc>
          <w:tcPr>
            <w:tcW w:w="620" w:type="dxa"/>
            <w:vAlign w:val="bottom"/>
            <w:shd w:val="clear" w:color="auto" w:fill="CCEEFF"/>
          </w:tcPr>
          <w:p>
            <w:pPr>
              <w:spacing w:after="0"/>
              <w:rPr>
                <w:sz w:val="15"/>
                <w:szCs w:val="15"/>
                <w:color w:val="auto"/>
              </w:rPr>
            </w:pPr>
          </w:p>
        </w:tc>
      </w:tr>
      <w:tr>
        <w:trPr>
          <w:trHeight w:val="153"/>
        </w:trPr>
        <w:tc>
          <w:tcPr>
            <w:tcW w:w="260" w:type="dxa"/>
            <w:vAlign w:val="bottom"/>
          </w:tcPr>
          <w:p>
            <w:pPr>
              <w:spacing w:after="0"/>
              <w:rPr>
                <w:sz w:val="13"/>
                <w:szCs w:val="13"/>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Scale &amp; Hyperscale</w:t>
            </w:r>
          </w:p>
        </w:tc>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Scale from medium (300+ kW) to very large deployments</w:t>
            </w:r>
          </w:p>
        </w:tc>
        <w:tc>
          <w:tcPr>
            <w:tcW w:w="620" w:type="dxa"/>
            <w:vAlign w:val="bottom"/>
          </w:tcPr>
          <w:p>
            <w:pPr>
              <w:spacing w:after="0"/>
              <w:rPr>
                <w:sz w:val="13"/>
                <w:szCs w:val="13"/>
                <w:color w:val="auto"/>
              </w:rPr>
            </w:pPr>
          </w:p>
        </w:tc>
      </w:tr>
      <w:tr>
        <w:trPr>
          <w:trHeight w:val="152"/>
        </w:trPr>
        <w:tc>
          <w:tcPr>
            <w:tcW w:w="260" w:type="dxa"/>
            <w:vAlign w:val="bottom"/>
          </w:tcPr>
          <w:p>
            <w:pPr>
              <w:spacing w:after="0"/>
              <w:rPr>
                <w:sz w:val="13"/>
                <w:szCs w:val="13"/>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Powered Base Building</w:t>
            </w:r>
            <w:r>
              <w:rPr>
                <w:rFonts w:ascii="Times New Roman" w:cs="Times New Roman" w:eastAsia="Times New Roman" w:hAnsi="Times New Roman"/>
                <w:sz w:val="13"/>
                <w:szCs w:val="13"/>
                <w:color w:val="auto"/>
                <w:vertAlign w:val="superscript"/>
              </w:rPr>
              <w:t>®</w:t>
            </w:r>
          </w:p>
        </w:tc>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Solution can be executed in weeks</w:t>
            </w:r>
          </w:p>
        </w:tc>
        <w:tc>
          <w:tcPr>
            <w:tcW w:w="620" w:type="dxa"/>
            <w:vAlign w:val="bottom"/>
          </w:tcPr>
          <w:p>
            <w:pPr>
              <w:spacing w:after="0"/>
              <w:rPr>
                <w:sz w:val="13"/>
                <w:szCs w:val="13"/>
                <w:color w:val="auto"/>
              </w:rPr>
            </w:pPr>
          </w:p>
        </w:tc>
      </w:tr>
      <w:tr>
        <w:trPr>
          <w:trHeight w:val="157"/>
        </w:trPr>
        <w:tc>
          <w:tcPr>
            <w:tcW w:w="260" w:type="dxa"/>
            <w:vAlign w:val="bottom"/>
          </w:tcPr>
          <w:p>
            <w:pPr>
              <w:spacing w:after="0"/>
              <w:rPr>
                <w:sz w:val="13"/>
                <w:szCs w:val="13"/>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Turn-Key Flex</w:t>
            </w:r>
            <w:r>
              <w:rPr>
                <w:rFonts w:ascii="Times New Roman" w:cs="Times New Roman" w:eastAsia="Times New Roman" w:hAnsi="Times New Roman"/>
                <w:sz w:val="13"/>
                <w:szCs w:val="13"/>
                <w:color w:val="auto"/>
                <w:vertAlign w:val="superscript"/>
              </w:rPr>
              <w:t>®</w:t>
            </w:r>
          </w:p>
        </w:tc>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length generally 5-10+ years</w:t>
            </w:r>
          </w:p>
        </w:tc>
        <w:tc>
          <w:tcPr>
            <w:tcW w:w="620" w:type="dxa"/>
            <w:vAlign w:val="bottom"/>
          </w:tcPr>
          <w:p>
            <w:pPr>
              <w:spacing w:after="0"/>
              <w:rPr>
                <w:sz w:val="13"/>
                <w:szCs w:val="13"/>
                <w:color w:val="auto"/>
              </w:rPr>
            </w:pPr>
          </w:p>
        </w:tc>
      </w:tr>
      <w:tr>
        <w:trPr>
          <w:trHeight w:val="165"/>
        </w:trPr>
        <w:tc>
          <w:tcPr>
            <w:tcW w:w="260" w:type="dxa"/>
            <w:vAlign w:val="bottom"/>
          </w:tcPr>
          <w:p>
            <w:pPr>
              <w:spacing w:after="0"/>
              <w:rPr>
                <w:sz w:val="14"/>
                <w:szCs w:val="14"/>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(&gt; 1 MW)</w:t>
            </w:r>
          </w:p>
        </w:tc>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Customized data center environment for specific deployment needs</w:t>
            </w:r>
          </w:p>
        </w:tc>
        <w:tc>
          <w:tcPr>
            <w:tcW w:w="620" w:type="dxa"/>
            <w:vAlign w:val="bottom"/>
          </w:tcPr>
          <w:p>
            <w:pPr>
              <w:spacing w:after="0"/>
              <w:rPr>
                <w:sz w:val="14"/>
                <w:szCs w:val="14"/>
                <w:color w:val="auto"/>
              </w:rPr>
            </w:pPr>
          </w:p>
        </w:tc>
      </w:tr>
    </w:tbl>
    <w:p>
      <w:pPr>
        <w:spacing w:after="0" w:line="310" w:lineRule="exact"/>
        <w:rPr>
          <w:sz w:val="20"/>
          <w:szCs w:val="20"/>
          <w:color w:val="auto"/>
        </w:rPr>
      </w:pPr>
    </w:p>
    <w:p>
      <w:pPr>
        <w:ind w:left="20" w:right="279" w:firstLine="275"/>
        <w:spacing w:after="0" w:line="275" w:lineRule="auto"/>
        <w:rPr>
          <w:sz w:val="20"/>
          <w:szCs w:val="20"/>
          <w:color w:val="auto"/>
        </w:rPr>
      </w:pPr>
      <w:r>
        <w:rPr>
          <w:rFonts w:ascii="Times New Roman" w:cs="Times New Roman" w:eastAsia="Times New Roman" w:hAnsi="Times New Roman"/>
          <w:sz w:val="12"/>
          <w:szCs w:val="12"/>
          <w:color w:val="auto"/>
        </w:rPr>
        <w:t>The PlatformDIGITAL® solution model is available in our colocation and Turn-Key Flex® data centers, which are move-in ready, physically secure facilities with the power and cooling capabilities to support customers requiring a single rack or cabinet up to multi-megawatt deployments. We believe our colocation and Turn-Key</w:t>
      </w:r>
    </w:p>
    <w:p>
      <w:pPr>
        <w:ind w:left="20" w:right="179"/>
        <w:spacing w:after="0" w:line="245" w:lineRule="auto"/>
        <w:rPr>
          <w:sz w:val="20"/>
          <w:szCs w:val="20"/>
          <w:color w:val="auto"/>
        </w:rPr>
      </w:pPr>
      <w:r>
        <w:rPr>
          <w:rFonts w:ascii="Times New Roman" w:cs="Times New Roman" w:eastAsia="Times New Roman" w:hAnsi="Times New Roman"/>
          <w:sz w:val="13"/>
          <w:szCs w:val="13"/>
          <w:color w:val="auto"/>
        </w:rPr>
        <w:t>Flex® facilities are effective solutions for customers who may lack the bandwidth, capital budget, expertise or desire to provide their own extensive data center infrastructure, management and security. We believe our offerings are also well-suited for those customers who seek to efficiently exchange data with others in our communities, lowering their costs and creating value for their business. For customers who possess the ability to build and operate their own facility, our Powered Base Building® solution provides the physical location, requisite power and network access necessary to support a state-of-the-art data center.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1" w:name="page12"/>
    <w:bookmarkEnd w:id="1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Additionally, our data center campuses offer our customers the opportunity to expand in or near their existing deployments within our data center campuses.</w:t>
      </w:r>
    </w:p>
    <w:p>
      <w:pPr>
        <w:sectPr>
          <w:pgSz w:w="11900" w:h="16838" w:orient="portrait"/>
          <w:cols w:equalWidth="0" w:num="1">
            <w:col w:w="9019"/>
          </w:cols>
          <w:pgMar w:left="1440" w:top="402" w:right="1440" w:bottom="1440" w:gutter="0" w:footer="0" w:header="0"/>
        </w:sectPr>
      </w:pP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i w:val="1"/>
          <w:iCs w:val="1"/>
          <w:color w:val="auto"/>
        </w:rPr>
        <w:t>Connectivity</w:t>
      </w:r>
    </w:p>
    <w:p>
      <w:pPr>
        <w:spacing w:after="0" w:line="1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Product</w:t>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Cross Connect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Campus Connect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Metro Connect</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Interxion Cloud Connect</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Internet Exchange</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Service Exchange</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IP Bandwidth</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Pathway</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22860</wp:posOffset>
            </wp:positionV>
            <wp:extent cx="558800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8000" cy="22288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-102870</wp:posOffset>
            </wp:positionV>
            <wp:extent cx="558800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8000" cy="5715"/>
                    </a:xfrm>
                    <a:prstGeom prst="rect">
                      <a:avLst/>
                    </a:prstGeom>
                    <a:noFill/>
                  </pic:spPr>
                </pic:pic>
              </a:graphicData>
            </a:graphic>
          </wp:anchor>
        </w:drawing>
      </w:r>
    </w:p>
    <w:p>
      <w:pPr>
        <w:spacing w:after="0" w:line="32" w:lineRule="exact"/>
        <w:rPr>
          <w:sz w:val="20"/>
          <w:szCs w:val="20"/>
          <w:color w:val="auto"/>
        </w:rPr>
      </w:pPr>
    </w:p>
    <w:p>
      <w:pPr>
        <w:ind w:right="419"/>
        <w:spacing w:after="0" w:line="268" w:lineRule="auto"/>
        <w:rPr>
          <w:sz w:val="20"/>
          <w:szCs w:val="20"/>
          <w:color w:val="auto"/>
        </w:rPr>
      </w:pPr>
      <w:r>
        <w:rPr>
          <w:rFonts w:ascii="Times New Roman" w:cs="Times New Roman" w:eastAsia="Times New Roman" w:hAnsi="Times New Roman"/>
          <w:sz w:val="13"/>
          <w:szCs w:val="13"/>
          <w:color w:val="auto"/>
        </w:rPr>
        <w:t>A physical connection between two customer defined end points in a Digital Realty facility enabling customers to directly exchange data traffic</w:t>
      </w:r>
    </w:p>
    <w:p>
      <w:pPr>
        <w:spacing w:after="0" w:line="8" w:lineRule="exact"/>
        <w:rPr>
          <w:sz w:val="20"/>
          <w:szCs w:val="20"/>
          <w:color w:val="auto"/>
        </w:rPr>
      </w:pPr>
    </w:p>
    <w:p>
      <w:pPr>
        <w:ind w:right="339"/>
        <w:spacing w:after="0" w:line="256" w:lineRule="auto"/>
        <w:rPr>
          <w:sz w:val="20"/>
          <w:szCs w:val="20"/>
          <w:color w:val="auto"/>
        </w:rPr>
      </w:pPr>
      <w:r>
        <w:rPr>
          <w:rFonts w:ascii="Times New Roman" w:cs="Times New Roman" w:eastAsia="Times New Roman" w:hAnsi="Times New Roman"/>
          <w:sz w:val="13"/>
          <w:szCs w:val="13"/>
          <w:color w:val="auto"/>
        </w:rPr>
        <w:t>Local, dedicated connectivity solution within Digital Realty campus environments located in hyperconnected metros around the world enabling multiple facilities on a single campus to exchange data traffic and therefore operate as a virtual single data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5715</wp:posOffset>
            </wp:positionV>
            <wp:extent cx="5588000" cy="217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8000" cy="217170"/>
                    </a:xfrm>
                    <a:prstGeom prst="rect">
                      <a:avLst/>
                    </a:prstGeom>
                    <a:noFill/>
                  </pic:spPr>
                </pic:pic>
              </a:graphicData>
            </a:graphic>
          </wp:anchor>
        </w:drawing>
      </w:r>
    </w:p>
    <w:p>
      <w:pPr>
        <w:ind w:right="259"/>
        <w:spacing w:after="0" w:line="268" w:lineRule="auto"/>
        <w:rPr>
          <w:sz w:val="20"/>
          <w:szCs w:val="20"/>
          <w:color w:val="auto"/>
        </w:rPr>
      </w:pPr>
      <w:r>
        <w:rPr>
          <w:rFonts w:ascii="Times New Roman" w:cs="Times New Roman" w:eastAsia="Times New Roman" w:hAnsi="Times New Roman"/>
          <w:sz w:val="13"/>
          <w:szCs w:val="13"/>
          <w:color w:val="auto"/>
        </w:rPr>
        <w:t>Dedicated connection between multiple Digital Realty facilities located in the same metro area enabling fast connectivity for data traffic between them</w:t>
      </w:r>
    </w:p>
    <w:p>
      <w:pPr>
        <w:spacing w:after="0" w:line="8" w:lineRule="exact"/>
        <w:rPr>
          <w:sz w:val="20"/>
          <w:szCs w:val="20"/>
          <w:color w:val="auto"/>
        </w:rPr>
      </w:pPr>
    </w:p>
    <w:p>
      <w:pPr>
        <w:ind w:right="559"/>
        <w:spacing w:after="0" w:line="268" w:lineRule="auto"/>
        <w:rPr>
          <w:sz w:val="20"/>
          <w:szCs w:val="20"/>
          <w:color w:val="auto"/>
        </w:rPr>
      </w:pPr>
      <w:r>
        <w:rPr>
          <w:rFonts w:ascii="Times New Roman" w:cs="Times New Roman" w:eastAsia="Times New Roman" w:hAnsi="Times New Roman"/>
          <w:sz w:val="13"/>
          <w:szCs w:val="13"/>
          <w:color w:val="auto"/>
        </w:rPr>
        <w:t>Provides secure and high-performance VLAN interconnections to multiple cloud service providers from one physical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1270</wp:posOffset>
            </wp:positionV>
            <wp:extent cx="5588000" cy="217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88000" cy="217170"/>
                    </a:xfrm>
                    <a:prstGeom prst="rect">
                      <a:avLst/>
                    </a:prstGeom>
                    <a:noFill/>
                  </pic:spPr>
                </pic:pic>
              </a:graphicData>
            </a:graphic>
          </wp:anchor>
        </w:drawing>
      </w:r>
    </w:p>
    <w:p>
      <w:pPr>
        <w:ind w:right="219"/>
        <w:spacing w:after="0" w:line="268" w:lineRule="auto"/>
        <w:rPr>
          <w:sz w:val="20"/>
          <w:szCs w:val="20"/>
          <w:color w:val="auto"/>
        </w:rPr>
      </w:pPr>
      <w:r>
        <w:rPr>
          <w:rFonts w:ascii="Times New Roman" w:cs="Times New Roman" w:eastAsia="Times New Roman" w:hAnsi="Times New Roman"/>
          <w:sz w:val="13"/>
          <w:szCs w:val="13"/>
          <w:color w:val="auto"/>
        </w:rPr>
        <w:t>Peering with major carrier, content, and wireless networks on a single, high-availability service platform enabling broad distribution of data traffic</w:t>
      </w:r>
    </w:p>
    <w:p>
      <w:pPr>
        <w:spacing w:after="0" w:line="8" w:lineRule="exact"/>
        <w:rPr>
          <w:sz w:val="20"/>
          <w:szCs w:val="20"/>
          <w:color w:val="auto"/>
        </w:rPr>
      </w:pPr>
    </w:p>
    <w:p>
      <w:pPr>
        <w:ind w:right="239"/>
        <w:spacing w:after="0" w:line="268" w:lineRule="auto"/>
        <w:rPr>
          <w:sz w:val="20"/>
          <w:szCs w:val="20"/>
          <w:color w:val="auto"/>
        </w:rPr>
      </w:pPr>
      <w:r>
        <w:rPr>
          <w:rFonts w:ascii="Times New Roman" w:cs="Times New Roman" w:eastAsia="Times New Roman" w:hAnsi="Times New Roman"/>
          <w:sz w:val="13"/>
          <w:szCs w:val="13"/>
          <w:color w:val="auto"/>
        </w:rPr>
        <w:t>Access to multiple connections through multiple service providers all from one portal enabling simplified, direct, private, and secure connections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1270</wp:posOffset>
            </wp:positionV>
            <wp:extent cx="5588000" cy="217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8000" cy="217170"/>
                    </a:xfrm>
                    <a:prstGeom prst="rect">
                      <a:avLst/>
                    </a:prstGeom>
                    <a:noFill/>
                  </pic:spPr>
                </pic:pic>
              </a:graphicData>
            </a:graphic>
          </wp:anchor>
        </w:drawing>
      </w:r>
    </w:p>
    <w:p>
      <w:pPr>
        <w:ind w:right="379"/>
        <w:spacing w:after="0" w:line="268" w:lineRule="auto"/>
        <w:rPr>
          <w:sz w:val="20"/>
          <w:szCs w:val="20"/>
          <w:color w:val="auto"/>
        </w:rPr>
      </w:pPr>
      <w:r>
        <w:rPr>
          <w:rFonts w:ascii="Times New Roman" w:cs="Times New Roman" w:eastAsia="Times New Roman" w:hAnsi="Times New Roman"/>
          <w:sz w:val="13"/>
          <w:szCs w:val="13"/>
          <w:color w:val="auto"/>
        </w:rPr>
        <w:t>Blended bandwidth upstream connectivity with routing to provide a fast, resilient, dedicated Internet connection</w:t>
      </w:r>
    </w:p>
    <w:p>
      <w:pPr>
        <w:spacing w:after="0" w:line="8" w:lineRule="exact"/>
        <w:rPr>
          <w:sz w:val="20"/>
          <w:szCs w:val="20"/>
          <w:color w:val="auto"/>
        </w:rPr>
      </w:pPr>
    </w:p>
    <w:p>
      <w:pPr>
        <w:ind w:right="339"/>
        <w:spacing w:after="0" w:line="268" w:lineRule="auto"/>
        <w:rPr>
          <w:sz w:val="20"/>
          <w:szCs w:val="20"/>
          <w:color w:val="auto"/>
        </w:rPr>
      </w:pPr>
      <w:r>
        <w:rPr>
          <w:rFonts w:ascii="Times New Roman" w:cs="Times New Roman" w:eastAsia="Times New Roman" w:hAnsi="Times New Roman"/>
          <w:sz w:val="13"/>
          <w:szCs w:val="13"/>
          <w:color w:val="auto"/>
        </w:rPr>
        <w:t>Point-of-entry access for carriers, terminating into the POP or Meet Me Room within a given facility</w:t>
      </w:r>
    </w:p>
    <w:p>
      <w:pPr>
        <w:spacing w:after="0" w:line="141" w:lineRule="exact"/>
        <w:rPr>
          <w:sz w:val="20"/>
          <w:szCs w:val="20"/>
          <w:color w:val="auto"/>
        </w:rPr>
      </w:pPr>
    </w:p>
    <w:p>
      <w:pPr>
        <w:sectPr>
          <w:pgSz w:w="11900" w:h="16838" w:orient="portrait"/>
          <w:cols w:equalWidth="0" w:num="2">
            <w:col w:w="3260" w:space="720"/>
            <w:col w:w="5039"/>
          </w:cols>
          <w:pgMar w:left="1440" w:top="402" w:right="1440" w:bottom="1440" w:gutter="0" w:footer="0" w:header="0"/>
          <w:type w:val="continuous"/>
        </w:sectPr>
      </w:pPr>
    </w:p>
    <w:p>
      <w:pPr>
        <w:jc w:val="both"/>
        <w:ind w:left="20" w:right="139" w:firstLine="228"/>
        <w:spacing w:after="0" w:line="252" w:lineRule="auto"/>
        <w:rPr>
          <w:sz w:val="20"/>
          <w:szCs w:val="20"/>
          <w:color w:val="auto"/>
        </w:rPr>
      </w:pPr>
      <w:r>
        <w:rPr>
          <w:rFonts w:ascii="Times New Roman" w:cs="Times New Roman" w:eastAsia="Times New Roman" w:hAnsi="Times New Roman"/>
          <w:sz w:val="13"/>
          <w:szCs w:val="13"/>
          <w:color w:val="auto"/>
        </w:rPr>
        <w:t>Through our recent investments and strategic partnerships, we have significantly expanded our capabilities as a leading provider of interconnection and cloud-enablement services globally. We believe interconnection is an attractive line of business that would be difficult to build organically and enhances the overall value proposition of our data center product offerings. Furthermore, through product offerings such as our Service Exchange and Interxion Cloud Connect and partnerships with cloud service providers, we are able to support our customers’ hybrid cloud architecture requirements.</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Our Global Customers</w:t>
      </w:r>
    </w:p>
    <w:p>
      <w:pPr>
        <w:spacing w:after="0" w:line="156" w:lineRule="exact"/>
        <w:rPr>
          <w:sz w:val="20"/>
          <w:szCs w:val="20"/>
          <w:color w:val="auto"/>
        </w:rPr>
      </w:pPr>
    </w:p>
    <w:p>
      <w:pPr>
        <w:ind w:left="20" w:right="139" w:firstLine="228"/>
        <w:spacing w:after="0" w:line="256" w:lineRule="auto"/>
        <w:rPr>
          <w:sz w:val="20"/>
          <w:szCs w:val="20"/>
          <w:color w:val="auto"/>
        </w:rPr>
      </w:pPr>
      <w:r>
        <w:rPr>
          <w:rFonts w:ascii="Times New Roman" w:cs="Times New Roman" w:eastAsia="Times New Roman" w:hAnsi="Times New Roman"/>
          <w:sz w:val="13"/>
          <w:szCs w:val="13"/>
          <w:color w:val="auto"/>
        </w:rPr>
        <w:t>Our portfolio has attracted a high-quality, diversified mix of customers. We have more than 4,000 customers, and no single customer represented more than approximately 9.5% of the aggregate annualized rent of our portfolio as of December 31, 2020. We provide each customer access to a choice of highly customized solutions based on their scale, colocation, and interconnection needs.</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type w:val="continuous"/>
        </w:sectPr>
      </w:pPr>
    </w:p>
    <w:bookmarkStart w:id="12" w:name="page13"/>
    <w:bookmarkEnd w:id="1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right="119" w:firstLine="228"/>
        <w:spacing w:after="0" w:line="274" w:lineRule="auto"/>
        <w:rPr>
          <w:sz w:val="20"/>
          <w:szCs w:val="20"/>
          <w:color w:val="auto"/>
        </w:rPr>
      </w:pPr>
      <w:r>
        <w:rPr>
          <w:rFonts w:ascii="Times New Roman" w:cs="Times New Roman" w:eastAsia="Times New Roman" w:hAnsi="Times New Roman"/>
          <w:sz w:val="12"/>
          <w:szCs w:val="12"/>
          <w:b w:val="1"/>
          <w:bCs w:val="1"/>
          <w:i w:val="1"/>
          <w:iCs w:val="1"/>
          <w:color w:val="auto"/>
        </w:rPr>
        <w:t>Global Customer Base across a Wide Variety of Industry Sectors</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 use our in-depth knowledge of requirements for and trends impacting cloud and information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technology service providers, content providers, network and communications providers, and other data center users, including enterprise customers, to market our data centers to meet these customers’ specific technology needs. Our customers are increasingly launching multi-regional deployments and growing with us globally. Our largest customer, accounted for approximately 9.5% of the aggregate annualized rent as of December 31, 2020 and no other single customer accounted for more than approximately 4.7% of the aggregate annualized rent of our portfolio. At December 31, 2020, our customers represented a variety of industry verticals, ranging from cloud and information technology services, communications and social networking to financial services, manufacturing, energy, gaming, life sciences and consumer products.</w:t>
      </w:r>
    </w:p>
    <w:p>
      <w:pPr>
        <w:spacing w:after="0" w:line="122" w:lineRule="exact"/>
        <w:rPr>
          <w:sz w:val="20"/>
          <w:szCs w:val="20"/>
          <w:color w:val="auto"/>
        </w:rPr>
      </w:pPr>
    </w:p>
    <w:tbl>
      <w:tblPr>
        <w:tblLayout w:type="fixed"/>
        <w:tblInd w:w="930" w:type="dxa"/>
        <w:tblCellMar>
          <w:top w:w="0" w:type="dxa"/>
          <w:left w:w="0" w:type="dxa"/>
          <w:bottom w:w="0" w:type="dxa"/>
          <w:right w:w="0" w:type="dxa"/>
        </w:tblCellMar>
      </w:tblPr>
      <w:tr>
        <w:trPr>
          <w:trHeight w:val="147"/>
        </w:trPr>
        <w:tc>
          <w:tcPr>
            <w:tcW w:w="2600" w:type="dxa"/>
            <w:vAlign w:val="bottom"/>
            <w:tcBorders>
              <w:top w:val="single" w:sz="8" w:color="auto"/>
              <w:left w:val="single" w:sz="8" w:color="auto"/>
              <w:right w:val="single" w:sz="8" w:color="auto"/>
            </w:tcBorders>
          </w:tcPr>
          <w:p>
            <w:pPr>
              <w:spacing w:after="0"/>
              <w:rPr>
                <w:sz w:val="12"/>
                <w:szCs w:val="12"/>
                <w:color w:val="auto"/>
              </w:rPr>
            </w:pPr>
          </w:p>
        </w:tc>
        <w:tc>
          <w:tcPr>
            <w:tcW w:w="2320" w:type="dxa"/>
            <w:vAlign w:val="bottom"/>
            <w:tcBorders>
              <w:top w:val="single" w:sz="8" w:color="auto"/>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b w:val="1"/>
                <w:bCs w:val="1"/>
                <w:color w:val="auto"/>
              </w:rPr>
              <w:t>Digital Content Providers and</w:t>
            </w:r>
          </w:p>
        </w:tc>
        <w:tc>
          <w:tcPr>
            <w:tcW w:w="2260" w:type="dxa"/>
            <w:vAlign w:val="bottom"/>
            <w:tcBorders>
              <w:top w:val="single" w:sz="8" w:color="auto"/>
              <w:right w:val="single" w:sz="8" w:color="auto"/>
            </w:tcBorders>
          </w:tcPr>
          <w:p>
            <w:pPr>
              <w:spacing w:after="0"/>
              <w:rPr>
                <w:sz w:val="12"/>
                <w:szCs w:val="12"/>
                <w:color w:val="auto"/>
              </w:rPr>
            </w:pPr>
          </w:p>
        </w:tc>
      </w:tr>
      <w:tr>
        <w:trPr>
          <w:trHeight w:val="167"/>
        </w:trPr>
        <w:tc>
          <w:tcPr>
            <w:tcW w:w="2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Cloud and IT Services</w:t>
            </w:r>
          </w:p>
        </w:tc>
        <w:tc>
          <w:tcPr>
            <w:tcW w:w="23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Financial Companies</w:t>
            </w:r>
          </w:p>
        </w:tc>
        <w:tc>
          <w:tcPr>
            <w:tcW w:w="2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Network and Mobile Services</w:t>
            </w:r>
          </w:p>
        </w:tc>
      </w:tr>
      <w:tr>
        <w:trPr>
          <w:trHeight w:val="141"/>
        </w:trPr>
        <w:tc>
          <w:tcPr>
            <w:tcW w:w="2600" w:type="dxa"/>
            <w:vAlign w:val="bottom"/>
            <w:tcBorders>
              <w:left w:val="single" w:sz="8" w:color="auto"/>
              <w:right w:val="single" w:sz="8" w:color="auto"/>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color w:val="auto"/>
              </w:rPr>
              <w:t>Fortune 50 Software Company</w:t>
            </w:r>
          </w:p>
        </w:tc>
        <w:tc>
          <w:tcPr>
            <w:tcW w:w="2320" w:type="dxa"/>
            <w:vAlign w:val="bottom"/>
            <w:tcBorders>
              <w:right w:val="single" w:sz="8" w:color="auto"/>
            </w:tcBorders>
            <w:shd w:val="clear" w:color="auto" w:fill="CCEEFF"/>
          </w:tcPr>
          <w:p>
            <w:pPr>
              <w:ind w:left="180"/>
              <w:spacing w:after="0" w:line="141" w:lineRule="exact"/>
              <w:rPr>
                <w:sz w:val="20"/>
                <w:szCs w:val="20"/>
                <w:color w:val="auto"/>
              </w:rPr>
            </w:pPr>
            <w:r>
              <w:rPr>
                <w:rFonts w:ascii="Times New Roman" w:cs="Times New Roman" w:eastAsia="Times New Roman" w:hAnsi="Times New Roman"/>
                <w:sz w:val="13"/>
                <w:szCs w:val="13"/>
                <w:color w:val="auto"/>
              </w:rPr>
              <w:t>Facebook, Inc.</w:t>
            </w:r>
          </w:p>
        </w:tc>
        <w:tc>
          <w:tcPr>
            <w:tcW w:w="2260" w:type="dxa"/>
            <w:vAlign w:val="bottom"/>
            <w:tcBorders>
              <w:right w:val="single" w:sz="8" w:color="auto"/>
            </w:tcBorders>
            <w:shd w:val="clear" w:color="auto" w:fill="CCEEFF"/>
          </w:tcPr>
          <w:p>
            <w:pPr>
              <w:ind w:left="200"/>
              <w:spacing w:after="0" w:line="141" w:lineRule="exact"/>
              <w:rPr>
                <w:sz w:val="20"/>
                <w:szCs w:val="20"/>
                <w:color w:val="auto"/>
              </w:rPr>
            </w:pPr>
            <w:r>
              <w:rPr>
                <w:rFonts w:ascii="Times New Roman" w:cs="Times New Roman" w:eastAsia="Times New Roman" w:hAnsi="Times New Roman"/>
                <w:sz w:val="13"/>
                <w:szCs w:val="13"/>
                <w:color w:val="auto"/>
              </w:rPr>
              <w:t>CenturyLink, Inc.</w:t>
            </w:r>
          </w:p>
        </w:tc>
      </w:tr>
      <w:tr>
        <w:trPr>
          <w:trHeight w:val="139"/>
        </w:trPr>
        <w:tc>
          <w:tcPr>
            <w:tcW w:w="2600" w:type="dxa"/>
            <w:vAlign w:val="bottom"/>
            <w:tcBorders>
              <w:left w:val="single" w:sz="8" w:color="auto"/>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3"/>
                <w:szCs w:val="13"/>
                <w:color w:val="auto"/>
              </w:rPr>
              <w:t>IBM</w:t>
            </w:r>
          </w:p>
        </w:tc>
        <w:tc>
          <w:tcPr>
            <w:tcW w:w="2320" w:type="dxa"/>
            <w:vAlign w:val="bottom"/>
            <w:tcBorders>
              <w:right w:val="single" w:sz="8" w:color="auto"/>
            </w:tcBorders>
          </w:tcPr>
          <w:p>
            <w:pPr>
              <w:ind w:left="180"/>
              <w:spacing w:after="0" w:line="139" w:lineRule="exact"/>
              <w:rPr>
                <w:sz w:val="20"/>
                <w:szCs w:val="20"/>
                <w:color w:val="auto"/>
              </w:rPr>
            </w:pPr>
            <w:r>
              <w:rPr>
                <w:rFonts w:ascii="Times New Roman" w:cs="Times New Roman" w:eastAsia="Times New Roman" w:hAnsi="Times New Roman"/>
                <w:sz w:val="13"/>
                <w:szCs w:val="13"/>
                <w:color w:val="auto"/>
              </w:rPr>
              <w:t>Fortune 25 Investment Grade-Rated</w:t>
            </w:r>
          </w:p>
        </w:tc>
        <w:tc>
          <w:tcPr>
            <w:tcW w:w="2260" w:type="dxa"/>
            <w:vAlign w:val="bottom"/>
            <w:tcBorders>
              <w:right w:val="single" w:sz="8" w:color="auto"/>
            </w:tcBorders>
          </w:tcPr>
          <w:p>
            <w:pPr>
              <w:ind w:left="200"/>
              <w:spacing w:after="0" w:line="139" w:lineRule="exact"/>
              <w:rPr>
                <w:sz w:val="20"/>
                <w:szCs w:val="20"/>
                <w:color w:val="auto"/>
              </w:rPr>
            </w:pPr>
            <w:r>
              <w:rPr>
                <w:rFonts w:ascii="Times New Roman" w:cs="Times New Roman" w:eastAsia="Times New Roman" w:hAnsi="Times New Roman"/>
                <w:sz w:val="13"/>
                <w:szCs w:val="13"/>
                <w:color w:val="auto"/>
              </w:rPr>
              <w:t>Verizon</w:t>
            </w:r>
          </w:p>
        </w:tc>
      </w:tr>
      <w:tr>
        <w:trPr>
          <w:trHeight w:val="165"/>
        </w:trPr>
        <w:tc>
          <w:tcPr>
            <w:tcW w:w="2600" w:type="dxa"/>
            <w:vAlign w:val="bottom"/>
            <w:tcBorders>
              <w:left w:val="single" w:sz="8" w:color="auto"/>
              <w:right w:val="single" w:sz="8" w:color="auto"/>
            </w:tcBorders>
          </w:tcPr>
          <w:p>
            <w:pPr>
              <w:spacing w:after="0"/>
              <w:rPr>
                <w:sz w:val="14"/>
                <w:szCs w:val="14"/>
                <w:color w:val="auto"/>
              </w:rPr>
            </w:pPr>
          </w:p>
        </w:tc>
        <w:tc>
          <w:tcPr>
            <w:tcW w:w="23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260" w:type="dxa"/>
            <w:vAlign w:val="bottom"/>
            <w:tcBorders>
              <w:right w:val="single" w:sz="8" w:color="auto"/>
            </w:tcBorders>
          </w:tcPr>
          <w:p>
            <w:pPr>
              <w:spacing w:after="0"/>
              <w:rPr>
                <w:sz w:val="14"/>
                <w:szCs w:val="14"/>
                <w:color w:val="auto"/>
              </w:rPr>
            </w:pPr>
          </w:p>
        </w:tc>
      </w:tr>
      <w:tr>
        <w:trPr>
          <w:trHeight w:val="152"/>
        </w:trPr>
        <w:tc>
          <w:tcPr>
            <w:tcW w:w="260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Oracle America, Inc.</w:t>
            </w:r>
          </w:p>
        </w:tc>
        <w:tc>
          <w:tcPr>
            <w:tcW w:w="23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LinkedIn</w:t>
            </w:r>
          </w:p>
        </w:tc>
        <w:tc>
          <w:tcPr>
            <w:tcW w:w="226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Comcast Corporation</w:t>
            </w:r>
          </w:p>
        </w:tc>
      </w:tr>
      <w:tr>
        <w:trPr>
          <w:trHeight w:val="152"/>
        </w:trPr>
        <w:tc>
          <w:tcPr>
            <w:tcW w:w="2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Equinix</w:t>
            </w:r>
          </w:p>
        </w:tc>
        <w:tc>
          <w:tcPr>
            <w:tcW w:w="23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JPMorgan Chase &amp; Co.</w:t>
            </w:r>
          </w:p>
        </w:tc>
        <w:tc>
          <w:tcPr>
            <w:tcW w:w="2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AT&amp;T</w:t>
            </w:r>
          </w:p>
        </w:tc>
      </w:tr>
    </w:tbl>
    <w:p>
      <w:pPr>
        <w:spacing w:after="0" w:line="137" w:lineRule="exact"/>
        <w:rPr>
          <w:sz w:val="20"/>
          <w:szCs w:val="20"/>
          <w:color w:val="auto"/>
        </w:rPr>
      </w:pPr>
    </w:p>
    <w:p>
      <w:pPr>
        <w:jc w:val="both"/>
        <w:ind w:left="20" w:right="159" w:firstLine="228"/>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Proven Experience Attracting and Retaining Customers</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specialized data center salesforce, which is aligned to meet our customers’ needs for global, enterprise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network solutions, provides a robust pipeline of new customers, while existing customers continue to grow and expand their utilization of our technology-enabled services to support a greater portion of their IT needs.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Below is a summary of our leasing activity for the year ended December 31, 2020 (in millions):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97"/>
        </w:trPr>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900" w:type="dxa"/>
            <w:vAlign w:val="bottom"/>
            <w:tcBorders>
              <w:top w:val="single" w:sz="8" w:color="auto"/>
            </w:tcBorders>
            <w:vMerge w:val="restart"/>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Square Feet</w:t>
            </w: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ind w:left="100"/>
              <w:spacing w:after="0" w:line="97" w:lineRule="exact"/>
              <w:rPr>
                <w:sz w:val="20"/>
                <w:szCs w:val="20"/>
                <w:color w:val="auto"/>
              </w:rPr>
            </w:pPr>
            <w:r>
              <w:rPr>
                <w:rFonts w:ascii="Times New Roman" w:cs="Times New Roman" w:eastAsia="Times New Roman" w:hAnsi="Times New Roman"/>
                <w:sz w:val="10"/>
                <w:szCs w:val="10"/>
                <w:b w:val="1"/>
                <w:bCs w:val="1"/>
                <w:color w:val="auto"/>
              </w:rPr>
              <w:t>Annualized</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352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0"/>
                <w:szCs w:val="10"/>
                <w:b w:val="1"/>
                <w:bCs w:val="1"/>
                <w:color w:val="auto"/>
              </w:rPr>
              <w:t>GAAP Rent</w:t>
            </w:r>
          </w:p>
        </w:tc>
        <w:tc>
          <w:tcPr>
            <w:tcW w:w="2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rPr>
                <w:sz w:val="12"/>
                <w:szCs w:val="12"/>
                <w:color w:val="auto"/>
              </w:rPr>
            </w:pPr>
          </w:p>
        </w:tc>
        <w:tc>
          <w:tcPr>
            <w:tcW w:w="486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New leases signed</w:t>
            </w:r>
          </w:p>
        </w:tc>
        <w:tc>
          <w:tcPr>
            <w:tcW w:w="9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391</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152"/>
        </w:trPr>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00" w:type="dxa"/>
            <w:vAlign w:val="bottom"/>
          </w:tcPr>
          <w:p>
            <w:pPr>
              <w:spacing w:after="0"/>
              <w:rPr>
                <w:sz w:val="13"/>
                <w:szCs w:val="13"/>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Renewals signed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9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Includes signed new leases with existing customers totaling approximately 3.2 million square feet, which represent approximately $371 million in annualized GAAP rent.</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Our Design and Construction Program</w:t>
      </w:r>
    </w:p>
    <w:p>
      <w:pPr>
        <w:spacing w:after="0" w:line="156" w:lineRule="exact"/>
        <w:rPr>
          <w:sz w:val="20"/>
          <w:szCs w:val="20"/>
          <w:color w:val="auto"/>
        </w:rPr>
      </w:pPr>
    </w:p>
    <w:p>
      <w:pPr>
        <w:ind w:left="20" w:right="59" w:firstLine="228"/>
        <w:spacing w:after="0" w:line="273" w:lineRule="auto"/>
        <w:rPr>
          <w:sz w:val="20"/>
          <w:szCs w:val="20"/>
          <w:color w:val="auto"/>
        </w:rPr>
      </w:pPr>
      <w:r>
        <w:rPr>
          <w:rFonts w:ascii="Times New Roman" w:cs="Times New Roman" w:eastAsia="Times New Roman" w:hAnsi="Times New Roman"/>
          <w:sz w:val="12"/>
          <w:szCs w:val="12"/>
          <w:color w:val="auto"/>
        </w:rPr>
        <w:t>Our extensive development activity, operating scale and process-based approach to data center design and construction result in significant cost savings and added value for our customers. We have leveraged our purchasing power by securing global purchasing agreements and developing relationships with major equipment manufacturers, reducing costs and shortening delivery timeframes on key components, including major mechanical and electrical equipment. Utilizing our innovative modular data center design, we deliver what we believe to be a technically superior data center environment at significant cost savings. In addition, by utilizing our modular design architecture to develop new distributed redundant solutions in our existing Powered Base Building® facilities, on average we can deliver a fully commissioned facility in under 30 weeks. Finally, our access to capital and investment-grade ratings allow us to provide data center solutions for customers who do not want to invest their own capital.</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Our Investment Approach</w:t>
      </w:r>
    </w:p>
    <w:p>
      <w:pPr>
        <w:spacing w:after="0" w:line="156" w:lineRule="exact"/>
        <w:rPr>
          <w:sz w:val="20"/>
          <w:szCs w:val="20"/>
          <w:color w:val="auto"/>
        </w:rPr>
      </w:pPr>
    </w:p>
    <w:p>
      <w:pPr>
        <w:ind w:left="20" w:right="199" w:firstLine="228"/>
        <w:spacing w:after="0" w:line="310" w:lineRule="auto"/>
        <w:rPr>
          <w:sz w:val="20"/>
          <w:szCs w:val="20"/>
          <w:color w:val="auto"/>
        </w:rPr>
      </w:pPr>
      <w:r>
        <w:rPr>
          <w:rFonts w:ascii="Times New Roman" w:cs="Times New Roman" w:eastAsia="Times New Roman" w:hAnsi="Times New Roman"/>
          <w:sz w:val="12"/>
          <w:szCs w:val="12"/>
          <w:color w:val="auto"/>
        </w:rPr>
        <w:t>We have developed detailed, standardized procedures for evaluating acquisitions and investments, including income-producing properties as well as vacant buildings and land suitable for development, to ensure that they meet our strategic, financial, technical and other criteria. These procedures, together with our in-depth knowledge of the</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3" w:name="page14"/>
    <w:bookmarkEnd w:id="1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399"/>
        <w:spacing w:after="0" w:line="256" w:lineRule="auto"/>
        <w:rPr>
          <w:sz w:val="20"/>
          <w:szCs w:val="20"/>
          <w:color w:val="auto"/>
        </w:rPr>
      </w:pPr>
      <w:r>
        <w:rPr>
          <w:rFonts w:ascii="Times New Roman" w:cs="Times New Roman" w:eastAsia="Times New Roman" w:hAnsi="Times New Roman"/>
          <w:sz w:val="13"/>
          <w:szCs w:val="13"/>
          <w:color w:val="auto"/>
        </w:rPr>
        <w:t>technology, data center and real estate industries, allow us to identify strategically located properties and evaluate investment opportunities efficiently and, as appropriate, commit and close quickly. Our investment-grade ratings, along with our broad network of contacts within the data center industry, enable us to effectively capitalize on acquisition and investment opportunities.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Our Management Team and Organization</w:t>
      </w:r>
    </w:p>
    <w:p>
      <w:pPr>
        <w:spacing w:after="0" w:line="156" w:lineRule="exact"/>
        <w:rPr>
          <w:sz w:val="20"/>
          <w:szCs w:val="20"/>
          <w:color w:val="auto"/>
        </w:rPr>
      </w:pPr>
    </w:p>
    <w:p>
      <w:pPr>
        <w:ind w:left="20" w:right="139" w:firstLine="228"/>
        <w:spacing w:after="0" w:line="249" w:lineRule="auto"/>
        <w:rPr>
          <w:sz w:val="20"/>
          <w:szCs w:val="20"/>
          <w:color w:val="auto"/>
        </w:rPr>
      </w:pPr>
      <w:r>
        <w:rPr>
          <w:rFonts w:ascii="Times New Roman" w:cs="Times New Roman" w:eastAsia="Times New Roman" w:hAnsi="Times New Roman"/>
          <w:sz w:val="13"/>
          <w:szCs w:val="13"/>
          <w:color w:val="auto"/>
        </w:rPr>
        <w:t>Our senior management team has many years of experience in the technology and/or real estate industries, including experience as investors in and advisors to technology companies. We believe that our senior management team’s extensive knowledge of both the technology and the real estate industries provides us with a key competitive advantage. Further, a significant portion of compensation for our senior management team and directors is in the form of common equity interests in our Company. We also maintain minimum stock ownership requirements for our senior management team and directors, further aligning their interests with those of external stockholders, as well as an employee stock purchase plan, which encourages our employees to increase their ownership in the Company.</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Our Business and Growth Strategies</w:t>
      </w:r>
    </w:p>
    <w:p>
      <w:pPr>
        <w:spacing w:after="0" w:line="156" w:lineRule="exact"/>
        <w:rPr>
          <w:sz w:val="20"/>
          <w:szCs w:val="20"/>
          <w:color w:val="auto"/>
        </w:rPr>
      </w:pPr>
    </w:p>
    <w:p>
      <w:pPr>
        <w:ind w:left="20" w:right="99" w:firstLine="228"/>
        <w:spacing w:after="0" w:line="252" w:lineRule="auto"/>
        <w:rPr>
          <w:sz w:val="20"/>
          <w:szCs w:val="20"/>
          <w:color w:val="auto"/>
        </w:rPr>
      </w:pPr>
      <w:r>
        <w:rPr>
          <w:rFonts w:ascii="Times New Roman" w:cs="Times New Roman" w:eastAsia="Times New Roman" w:hAnsi="Times New Roman"/>
          <w:sz w:val="13"/>
          <w:szCs w:val="13"/>
          <w:color w:val="auto"/>
        </w:rPr>
        <w:t>Our primary business objectives are to maximize: (i) sustainable long-term growth in earnings and funds from operations per share and unit, (ii) cash flow and returns to our stockholders and our Operating Partnership’s unitholders through the payment of dividends and distributions and (iii) return on invested capital. We expect to accomplish these objectives by achieving superior risk-adjusted returns, prudently allocating capital, diversifying our product offerings, accelerating our global reach and scale, and driving revenue growth and operating efficiencies.</w:t>
      </w:r>
    </w:p>
    <w:p>
      <w:pPr>
        <w:spacing w:after="0" w:line="130" w:lineRule="exact"/>
        <w:rPr>
          <w:sz w:val="20"/>
          <w:szCs w:val="20"/>
          <w:color w:val="auto"/>
        </w:rPr>
      </w:pPr>
    </w:p>
    <w:p>
      <w:pPr>
        <w:ind w:left="20" w:right="299" w:firstLine="228"/>
        <w:spacing w:after="0" w:line="250" w:lineRule="auto"/>
        <w:rPr>
          <w:sz w:val="20"/>
          <w:szCs w:val="20"/>
          <w:color w:val="auto"/>
        </w:rPr>
      </w:pPr>
      <w:r>
        <w:rPr>
          <w:rFonts w:ascii="Times New Roman" w:cs="Times New Roman" w:eastAsia="Times New Roman" w:hAnsi="Times New Roman"/>
          <w:sz w:val="13"/>
          <w:szCs w:val="13"/>
          <w:b w:val="1"/>
          <w:bCs w:val="1"/>
          <w:i w:val="1"/>
          <w:iCs w:val="1"/>
          <w:color w:val="auto"/>
        </w:rPr>
        <w:t>Superior Risk-Adjusted Returns</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believe that achieving appropriate risk-adjusted returns on our business, including on our development pipeline and leasing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transactions, will deliver superior stockholder returns. At December 31, 2020, we had approximately 5.4 million square feet of space under active development. We may continue to build out our development pipeline when justified by anticipated returns. We have established robust internal guidelines for reviewing and approving leasing transactions, which we believe will drive risk-adjusted returns. We also believe that providing an even stronger value proposition to our customers, including new and more comprehensive product offerings, as well as continuing to improve operational efficiencies, will further drive improved returns for our business.</w:t>
      </w:r>
    </w:p>
    <w:p>
      <w:pPr>
        <w:spacing w:after="0" w:line="133" w:lineRule="exact"/>
        <w:rPr>
          <w:sz w:val="20"/>
          <w:szCs w:val="20"/>
          <w:color w:val="auto"/>
        </w:rPr>
      </w:pPr>
    </w:p>
    <w:p>
      <w:pPr>
        <w:ind w:left="20" w:right="39" w:firstLine="228"/>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Prudently Allocate Capital</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believe that the strategic deployment of capital at sufficiently positive spreads above our cost of capital enables us to increase cash flow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create long-term stockholder value.</w:t>
      </w:r>
    </w:p>
    <w:p>
      <w:pPr>
        <w:spacing w:after="0" w:line="118" w:lineRule="exact"/>
        <w:rPr>
          <w:sz w:val="20"/>
          <w:szCs w:val="20"/>
          <w:color w:val="auto"/>
        </w:rPr>
      </w:pPr>
    </w:p>
    <w:p>
      <w:pPr>
        <w:ind w:left="20" w:right="99" w:firstLine="456"/>
        <w:spacing w:after="0" w:line="250" w:lineRule="auto"/>
        <w:rPr>
          <w:sz w:val="20"/>
          <w:szCs w:val="20"/>
          <w:color w:val="auto"/>
        </w:rPr>
      </w:pPr>
      <w:r>
        <w:rPr>
          <w:rFonts w:ascii="Times New Roman" w:cs="Times New Roman" w:eastAsia="Times New Roman" w:hAnsi="Times New Roman"/>
          <w:sz w:val="13"/>
          <w:szCs w:val="13"/>
          <w:i w:val="1"/>
          <w:iCs w:val="1"/>
          <w:color w:val="auto"/>
        </w:rPr>
        <w:t>Strategic and Complementary Investments</w:t>
      </w:r>
      <w:r>
        <w:rPr>
          <w:rFonts w:ascii="Times New Roman" w:cs="Times New Roman" w:eastAsia="Times New Roman" w:hAnsi="Times New Roman"/>
          <w:sz w:val="13"/>
          <w:szCs w:val="13"/>
          <w:color w:val="auto"/>
        </w:rPr>
        <w:t>. We have developed significant expertise at underwriting, financing and executing data center investment opportunities. We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employ a collaborative approach to deal analysis, risk management and asset allocation, focusing on key elements, such as market fundamentals, accessibility to fiber and power, and the local regulatory environment. In addition, the specialized nature of data centers makes these investment opportunities more difficult for traditional real estate investors to underwrite, resulting in reduced competition for investments relative to other property types. We believe this dynamic creates an opportunity for us to generate attractive risk-adjusted returns on our capital.</w:t>
      </w:r>
    </w:p>
    <w:p>
      <w:pPr>
        <w:spacing w:after="0" w:line="133" w:lineRule="exact"/>
        <w:rPr>
          <w:sz w:val="20"/>
          <w:szCs w:val="20"/>
          <w:color w:val="auto"/>
        </w:rPr>
      </w:pPr>
    </w:p>
    <w:p>
      <w:pPr>
        <w:ind w:left="20" w:right="99" w:firstLine="456"/>
        <w:spacing w:after="0" w:line="272" w:lineRule="auto"/>
        <w:rPr>
          <w:sz w:val="20"/>
          <w:szCs w:val="20"/>
          <w:color w:val="auto"/>
        </w:rPr>
      </w:pPr>
      <w:r>
        <w:rPr>
          <w:rFonts w:ascii="Times New Roman" w:cs="Times New Roman" w:eastAsia="Times New Roman" w:hAnsi="Times New Roman"/>
          <w:sz w:val="12"/>
          <w:szCs w:val="12"/>
          <w:i w:val="1"/>
          <w:iCs w:val="1"/>
          <w:color w:val="auto"/>
        </w:rPr>
        <w:t>Preserve the Flexibility of Our Balance Sheet</w:t>
      </w:r>
      <w:r>
        <w:rPr>
          <w:rFonts w:ascii="Times New Roman" w:cs="Times New Roman" w:eastAsia="Times New Roman" w:hAnsi="Times New Roman"/>
          <w:sz w:val="12"/>
          <w:szCs w:val="12"/>
          <w:color w:val="auto"/>
        </w:rPr>
        <w:t>. We are committed to maintaining a conservative capital structure. We target a debt-to-adjusted EBITDA ratio at or less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than 5.5x, fixed charge coverage of greater than three times, and floating rate debt at less than 20% of total outstanding debt. In addition, we strive to maintain a well-laddered debt maturity schedule, and we seek to maximize the menu of our available sources of capital, while minimizing the related cost. Since Digital Realty Trust, Inc.’s initial public offering in 2004, we have raised approximately $48.1 billion of capital through common (excluding forward contracts), preferred and convertible preferred equity offerings, exchangeable debt offerings, non-exchangeable bond offerings, our global revolving credit facilities, our term loan facility, a senior notes shelf facility, secured mortgage financings and re-financings, joint venture partnerships and the sale of non-core assets. We endeavor to maintain financial flexibility while using our liquidity and access to capital to support operations, our acquisition, investment, leasing and development programs and global campus expansion, which are important sources of our growth.</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4" w:name="page15"/>
    <w:bookmarkEnd w:id="1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right="59" w:firstLine="228"/>
        <w:spacing w:after="0" w:line="314" w:lineRule="auto"/>
        <w:rPr>
          <w:sz w:val="20"/>
          <w:szCs w:val="20"/>
          <w:color w:val="auto"/>
        </w:rPr>
      </w:pPr>
      <w:r>
        <w:rPr>
          <w:rFonts w:ascii="Times New Roman" w:cs="Times New Roman" w:eastAsia="Times New Roman" w:hAnsi="Times New Roman"/>
          <w:sz w:val="12"/>
          <w:szCs w:val="12"/>
          <w:b w:val="1"/>
          <w:bCs w:val="1"/>
          <w:i w:val="1"/>
          <w:iCs w:val="1"/>
          <w:color w:val="auto"/>
        </w:rPr>
        <w:t>Leverage Technology to Develop Comprehensive and Diverse Products</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 have diversified our product offering, through acquisitions and organically through leveraging</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innovative technologies, and believe that we have one of the most comprehensive suites of global data center solutions available to customers from a single provider.</w:t>
      </w:r>
    </w:p>
    <w:p>
      <w:pPr>
        <w:spacing w:after="0" w:line="95" w:lineRule="exact"/>
        <w:rPr>
          <w:sz w:val="20"/>
          <w:szCs w:val="20"/>
          <w:color w:val="auto"/>
        </w:rPr>
      </w:pPr>
    </w:p>
    <w:p>
      <w:pPr>
        <w:ind w:left="20" w:right="59" w:firstLine="456"/>
        <w:spacing w:after="0" w:line="280" w:lineRule="auto"/>
        <w:rPr>
          <w:sz w:val="20"/>
          <w:szCs w:val="20"/>
          <w:color w:val="auto"/>
        </w:rPr>
      </w:pPr>
      <w:r>
        <w:rPr>
          <w:rFonts w:ascii="Times New Roman" w:cs="Times New Roman" w:eastAsia="Times New Roman" w:hAnsi="Times New Roman"/>
          <w:sz w:val="12"/>
          <w:szCs w:val="12"/>
          <w:i w:val="1"/>
          <w:iCs w:val="1"/>
          <w:color w:val="auto"/>
        </w:rPr>
        <w:t>Global Service Infrastructure Platform</w:t>
      </w:r>
      <w:r>
        <w:rPr>
          <w:rFonts w:ascii="Times New Roman" w:cs="Times New Roman" w:eastAsia="Times New Roman" w:hAnsi="Times New Roman"/>
          <w:sz w:val="12"/>
          <w:szCs w:val="12"/>
          <w:color w:val="auto"/>
        </w:rPr>
        <w:t>. With our recent acquisitions, which extend our footprint further across Latin America, Europe and Africa, enhanced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portfolio of scale and hyper-scale data centers in the U.S. and furthers our position as a leading provider of colocation, interconnection and cloud-enablement services globally, we are able to offer one of the industry’s broadest range of data center solutions to meet our customers’ needs, from a single rack or cabinet to multi-megawatt deployments. We believe our products like Service Exchange and our partnerships with managed services and cloud service providers further enhance the attractiveness of our data centers.</w:t>
      </w:r>
    </w:p>
    <w:p>
      <w:pPr>
        <w:spacing w:after="0" w:line="115" w:lineRule="exact"/>
        <w:rPr>
          <w:sz w:val="20"/>
          <w:szCs w:val="20"/>
          <w:color w:val="auto"/>
        </w:rPr>
      </w:pPr>
    </w:p>
    <w:p>
      <w:pPr>
        <w:ind w:left="20" w:right="79" w:firstLine="456"/>
        <w:spacing w:after="0" w:line="250" w:lineRule="auto"/>
        <w:rPr>
          <w:sz w:val="20"/>
          <w:szCs w:val="20"/>
          <w:color w:val="auto"/>
        </w:rPr>
      </w:pPr>
      <w:r>
        <w:rPr>
          <w:rFonts w:ascii="Times New Roman" w:cs="Times New Roman" w:eastAsia="Times New Roman" w:hAnsi="Times New Roman"/>
          <w:sz w:val="13"/>
          <w:szCs w:val="13"/>
          <w:i w:val="1"/>
          <w:iCs w:val="1"/>
          <w:color w:val="auto"/>
        </w:rPr>
        <w:t>Provide Foundational Services to Enable Customers and Partners</w:t>
      </w:r>
      <w:r>
        <w:rPr>
          <w:rFonts w:ascii="Times New Roman" w:cs="Times New Roman" w:eastAsia="Times New Roman" w:hAnsi="Times New Roman"/>
          <w:sz w:val="13"/>
          <w:szCs w:val="13"/>
          <w:color w:val="auto"/>
        </w:rPr>
        <w:t>. We believe that the platform, through which we offer the foundational services of space, power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connectivity, will enable our customers and partners to serve their customers and grow their businesses. We believe our Internet gateway data centers, individual data centers and data center campuses are attractive to a wide variety of customers and partners of all sizes. Furthermore, we believe our colocation and interconnection offerings, as well as the densely connected communities of interest that have developed within our facilities, and the availability and scalability of our comprehensive suite of products are valuable and critical to our customers and partners.</w:t>
      </w:r>
    </w:p>
    <w:p>
      <w:pPr>
        <w:spacing w:after="0" w:line="133" w:lineRule="exact"/>
        <w:rPr>
          <w:sz w:val="20"/>
          <w:szCs w:val="20"/>
          <w:color w:val="auto"/>
        </w:rPr>
      </w:pPr>
    </w:p>
    <w:p>
      <w:pPr>
        <w:ind w:left="20" w:right="119" w:firstLine="228"/>
        <w:spacing w:after="0" w:line="247" w:lineRule="auto"/>
        <w:rPr>
          <w:sz w:val="20"/>
          <w:szCs w:val="20"/>
          <w:color w:val="auto"/>
        </w:rPr>
      </w:pPr>
      <w:r>
        <w:rPr>
          <w:rFonts w:ascii="Times New Roman" w:cs="Times New Roman" w:eastAsia="Times New Roman" w:hAnsi="Times New Roman"/>
          <w:sz w:val="13"/>
          <w:szCs w:val="13"/>
          <w:b w:val="1"/>
          <w:bCs w:val="1"/>
          <w:i w:val="1"/>
          <w:iCs w:val="1"/>
          <w:color w:val="auto"/>
        </w:rPr>
        <w:t xml:space="preserve">Accelerate Global Reach and Scale. </w:t>
      </w:r>
      <w:r>
        <w:rPr>
          <w:rFonts w:ascii="Times New Roman" w:cs="Times New Roman" w:eastAsia="Times New Roman" w:hAnsi="Times New Roman"/>
          <w:sz w:val="13"/>
          <w:szCs w:val="13"/>
          <w:color w:val="auto"/>
        </w:rPr>
        <w:t>We have strategically pursued international expansion since our IPO in 2004 and now operate across six continents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believe that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global multi-product data center portfolio is a foundational element of our strategy and our scale and global platform represent key competitive advantages difficult to replicate. Customers and competitors are recognizing the value of interconnected scale, which aligns with our connected campus strategy that enables customers to “land and expand” with us. We expect to continue to source and execute strategic and complementary transactions to strengthen our data center portfolio, expand our global footprint and product mix, and enhance our scale. In March 2019, we formed a joint venture with an affiliate of Brookfield Asset Management, and we retained a 51% equity interest in the joint venture which owns and operates Ascenty, a leading data center provider in Brazil, establishing Digital Realty as the premier data center solutions provider in the Latin America region. In March 2020, we completed the combination with Interxion, which expanded the combined company’s presence across Europe and Africa. As part of our global footprint, Interxion: A Digital Realty Company significantly strengthens our ability to connect businesses to clouds, ISPs, partners and customers, including more than 700 connectivity providers, around the world.</w:t>
      </w:r>
    </w:p>
    <w:p>
      <w:pPr>
        <w:spacing w:after="0" w:line="134" w:lineRule="exact"/>
        <w:rPr>
          <w:sz w:val="20"/>
          <w:szCs w:val="20"/>
          <w:color w:val="auto"/>
        </w:rPr>
      </w:pPr>
    </w:p>
    <w:p>
      <w:pPr>
        <w:ind w:left="20" w:right="379" w:firstLine="228"/>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Drive Revenue Growth and Operating Efficiencies</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aggressively manage our properties to maximize cash flow and control costs by leveraging our scale to drive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operating efficiencies.</w:t>
      </w:r>
    </w:p>
    <w:p>
      <w:pPr>
        <w:spacing w:after="0" w:line="118" w:lineRule="exact"/>
        <w:rPr>
          <w:sz w:val="20"/>
          <w:szCs w:val="20"/>
          <w:color w:val="auto"/>
        </w:rPr>
      </w:pPr>
    </w:p>
    <w:p>
      <w:pPr>
        <w:ind w:left="20" w:right="99" w:firstLine="456"/>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Leverage Strong Industry Relationships. </w:t>
      </w:r>
      <w:r>
        <w:rPr>
          <w:rFonts w:ascii="Times New Roman" w:cs="Times New Roman" w:eastAsia="Times New Roman" w:hAnsi="Times New Roman"/>
          <w:sz w:val="13"/>
          <w:szCs w:val="13"/>
          <w:color w:val="auto"/>
        </w:rPr>
        <w:t>We use our strong industry relationships with international, national and regional corporate enterprise information technology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groups and technology-intensive companies to identify and solve their data center needs. Our sales professionals are technology and real estate industry specialists who can develop complex facility solutions for the most demanding data center and other technology customers.</w:t>
      </w:r>
    </w:p>
    <w:p>
      <w:pPr>
        <w:spacing w:after="0" w:line="127" w:lineRule="exact"/>
        <w:rPr>
          <w:sz w:val="20"/>
          <w:szCs w:val="20"/>
          <w:color w:val="auto"/>
        </w:rPr>
      </w:pPr>
    </w:p>
    <w:p>
      <w:pPr>
        <w:ind w:left="20" w:right="39" w:firstLine="456"/>
        <w:spacing w:after="0" w:line="253" w:lineRule="auto"/>
        <w:rPr>
          <w:sz w:val="20"/>
          <w:szCs w:val="20"/>
          <w:color w:val="auto"/>
        </w:rPr>
      </w:pPr>
      <w:r>
        <w:rPr>
          <w:rFonts w:ascii="Times New Roman" w:cs="Times New Roman" w:eastAsia="Times New Roman" w:hAnsi="Times New Roman"/>
          <w:sz w:val="13"/>
          <w:szCs w:val="13"/>
          <w:i w:val="1"/>
          <w:iCs w:val="1"/>
          <w:color w:val="auto"/>
        </w:rPr>
        <w:t>Maximize Cash Flow</w:t>
      </w:r>
      <w:r>
        <w:rPr>
          <w:rFonts w:ascii="Times New Roman" w:cs="Times New Roman" w:eastAsia="Times New Roman" w:hAnsi="Times New Roman"/>
          <w:sz w:val="13"/>
          <w:szCs w:val="13"/>
          <w:color w:val="auto"/>
        </w:rPr>
        <w:t>. We often acquire properties with substantial in-place cash flow and some vacancy, which enables us to create upside through lease-up. We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control our costs by negotiating expense pass-through provisions in customer agreements for operating expenses, including power costs and certain capital expenditure. We have also focused on centralizing functions and optimizing operations as well as improving processes and technologies. We believe that expanding our global data center campuses will also contribute to operating efficiencies because we expect to achieve economies of scale on our campus environments.</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Sustainability</w:t>
      </w:r>
    </w:p>
    <w:p>
      <w:pPr>
        <w:spacing w:after="0" w:line="156" w:lineRule="exact"/>
        <w:rPr>
          <w:sz w:val="20"/>
          <w:szCs w:val="20"/>
          <w:color w:val="auto"/>
        </w:rPr>
      </w:pPr>
    </w:p>
    <w:p>
      <w:pPr>
        <w:jc w:val="both"/>
        <w:ind w:left="20" w:right="239" w:firstLine="228"/>
        <w:spacing w:after="0" w:line="256" w:lineRule="auto"/>
        <w:rPr>
          <w:sz w:val="20"/>
          <w:szCs w:val="20"/>
          <w:color w:val="auto"/>
        </w:rPr>
      </w:pPr>
      <w:r>
        <w:rPr>
          <w:rFonts w:ascii="Times New Roman" w:cs="Times New Roman" w:eastAsia="Times New Roman" w:hAnsi="Times New Roman"/>
          <w:sz w:val="13"/>
          <w:szCs w:val="13"/>
          <w:color w:val="auto"/>
        </w:rPr>
        <w:t>We believe that addressing sustainability by driving environmental efficiency through the implementation of cost- effective design and use of carbon-free and renewable energy serves as a key differentiator enabling us to deliver products that help attract and retain customers, generate cash flow, and manage operational risks. In 2020, for the fourth</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5" w:name="page16"/>
    <w:bookmarkEnd w:id="1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99"/>
        <w:spacing w:after="0" w:line="256" w:lineRule="auto"/>
        <w:rPr>
          <w:sz w:val="20"/>
          <w:szCs w:val="20"/>
          <w:color w:val="auto"/>
        </w:rPr>
      </w:pPr>
      <w:r>
        <w:rPr>
          <w:rFonts w:ascii="Times New Roman" w:cs="Times New Roman" w:eastAsia="Times New Roman" w:hAnsi="Times New Roman"/>
          <w:sz w:val="13"/>
          <w:szCs w:val="13"/>
          <w:color w:val="auto"/>
        </w:rPr>
        <w:t>consecutive year, we received the Nareit “Leader in the Light” award for data centers, recognizing our sustainability and energy-efficiency achievements. In 2020, we allocated €1.08 billion in net proceeds from our second green bond and also issued an additional €2.15 billion in green bonds to further our efforts to invest in green buildings, energy efficiency improvements, and renewable energy.</w:t>
      </w:r>
    </w:p>
    <w:p>
      <w:pPr>
        <w:spacing w:after="0" w:line="53" w:lineRule="exact"/>
        <w:rPr>
          <w:sz w:val="20"/>
          <w:szCs w:val="20"/>
          <w:color w:val="auto"/>
        </w:rPr>
      </w:pPr>
    </w:p>
    <w:p>
      <w:pPr>
        <w:ind w:left="20" w:right="99" w:firstLine="228"/>
        <w:spacing w:after="0" w:line="252" w:lineRule="auto"/>
        <w:rPr>
          <w:sz w:val="20"/>
          <w:szCs w:val="20"/>
          <w:color w:val="auto"/>
        </w:rPr>
      </w:pPr>
      <w:r>
        <w:rPr>
          <w:rFonts w:ascii="Times New Roman" w:cs="Times New Roman" w:eastAsia="Times New Roman" w:hAnsi="Times New Roman"/>
          <w:sz w:val="13"/>
          <w:szCs w:val="13"/>
          <w:color w:val="auto"/>
        </w:rPr>
        <w:t>The Real Estate Sustainability Accounting Standard guidance, issued by the Sustainability Accounting Standards Board (“SASB”), outlines proposed disclosure topics and accounting metrics for the real estate industry. We provide data on energy and water management metrics that we believe best correlate with our business and industry as indicated in the following sections. Energy and water data receive third party assurance as part of our annual environmental, social, and governance (“ESG”) report development process.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0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Energy Management</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535"/>
        </w:trPr>
        <w:tc>
          <w:tcPr>
            <w:tcW w:w="2020" w:type="dxa"/>
            <w:vAlign w:val="bottom"/>
            <w:gridSpan w:val="2"/>
          </w:tcPr>
          <w:p>
            <w:pPr>
              <w:ind w:left="260"/>
              <w:spacing w:after="0"/>
              <w:rPr>
                <w:sz w:val="20"/>
                <w:szCs w:val="20"/>
                <w:color w:val="auto"/>
              </w:rPr>
            </w:pPr>
            <w:r>
              <w:rPr>
                <w:rFonts w:ascii="Times New Roman" w:cs="Times New Roman" w:eastAsia="Times New Roman" w:hAnsi="Times New Roman"/>
                <w:sz w:val="13"/>
                <w:szCs w:val="13"/>
                <w:i w:val="1"/>
                <w:iCs w:val="1"/>
                <w:color w:val="auto"/>
              </w:rPr>
              <w:t>a)  2019 Energy Data</w:t>
            </w:r>
            <w:r>
              <w:rPr>
                <w:rFonts w:ascii="Times New Roman" w:cs="Times New Roman" w:eastAsia="Times New Roman" w:hAnsi="Times New Roman"/>
                <w:sz w:val="18"/>
                <w:szCs w:val="18"/>
                <w:color w:val="auto"/>
                <w:vertAlign w:val="superscript"/>
              </w:rPr>
              <w:t>(1)</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63"/>
        </w:trPr>
        <w:tc>
          <w:tcPr>
            <w:tcW w:w="5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Energy Consumption</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Total Energy Consumed</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Grid electricity</w:t>
            </w:r>
          </w:p>
        </w:tc>
        <w:tc>
          <w:tcPr>
            <w:tcW w:w="33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Renewable Energy as a   Like-for-Like Change in Energy</w:t>
            </w:r>
          </w:p>
        </w:tc>
      </w:tr>
      <w:tr>
        <w:trPr>
          <w:trHeight w:val="146"/>
        </w:trPr>
        <w:tc>
          <w:tcPr>
            <w:tcW w:w="58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6"/>
              </w:rPr>
              <w:t>Data Coverage as % of</w:t>
            </w: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7"/>
              </w:rPr>
              <w:t>by Portfolio Area with</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8"/>
              </w:rPr>
              <w:t>consumption as a % of</w:t>
            </w:r>
          </w:p>
        </w:tc>
        <w:tc>
          <w:tcPr>
            <w:tcW w:w="1360" w:type="dxa"/>
            <w:vAlign w:val="bottom"/>
          </w:tcPr>
          <w:p>
            <w:pPr>
              <w:jc w:val="center"/>
              <w:ind w:left="57"/>
              <w:spacing w:after="0" w:line="146" w:lineRule="exact"/>
              <w:rPr>
                <w:sz w:val="20"/>
                <w:szCs w:val="20"/>
                <w:color w:val="auto"/>
              </w:rPr>
            </w:pPr>
            <w:r>
              <w:rPr>
                <w:rFonts w:ascii="Times New Roman" w:cs="Times New Roman" w:eastAsia="Times New Roman" w:hAnsi="Times New Roman"/>
                <w:sz w:val="13"/>
                <w:szCs w:val="13"/>
                <w:b w:val="1"/>
                <w:bCs w:val="1"/>
                <w:color w:val="auto"/>
                <w:w w:val="96"/>
              </w:rPr>
              <w:t>% of Energy</w:t>
            </w:r>
          </w:p>
        </w:tc>
        <w:tc>
          <w:tcPr>
            <w:tcW w:w="2020" w:type="dxa"/>
            <w:vAlign w:val="bottom"/>
          </w:tcPr>
          <w:p>
            <w:pPr>
              <w:jc w:val="center"/>
              <w:ind w:left="57"/>
              <w:spacing w:after="0" w:line="146" w:lineRule="exact"/>
              <w:rPr>
                <w:sz w:val="20"/>
                <w:szCs w:val="20"/>
                <w:color w:val="auto"/>
              </w:rPr>
            </w:pPr>
            <w:r>
              <w:rPr>
                <w:rFonts w:ascii="Times New Roman" w:cs="Times New Roman" w:eastAsia="Times New Roman" w:hAnsi="Times New Roman"/>
                <w:sz w:val="13"/>
                <w:szCs w:val="13"/>
                <w:b w:val="1"/>
                <w:bCs w:val="1"/>
                <w:color w:val="auto"/>
                <w:w w:val="97"/>
              </w:rPr>
              <w:t>Consumption for Portfolio Area</w:t>
            </w:r>
          </w:p>
        </w:tc>
      </w:tr>
      <w:tr>
        <w:trPr>
          <w:trHeight w:val="201"/>
        </w:trPr>
        <w:tc>
          <w:tcPr>
            <w:tcW w:w="58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Floor Area</w:t>
            </w:r>
          </w:p>
        </w:tc>
        <w:tc>
          <w:tcPr>
            <w:tcW w:w="154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3"/>
                <w:szCs w:val="13"/>
                <w:b w:val="1"/>
                <w:bCs w:val="1"/>
                <w:color w:val="auto"/>
                <w:w w:val="94"/>
              </w:rPr>
              <w:t>Data Coverage (MWh)</w:t>
            </w:r>
            <w:r>
              <w:rPr>
                <w:rFonts w:ascii="Times New Roman" w:cs="Times New Roman" w:eastAsia="Times New Roman" w:hAnsi="Times New Roman"/>
                <w:sz w:val="18"/>
                <w:szCs w:val="18"/>
                <w:b w:val="1"/>
                <w:bCs w:val="1"/>
                <w:color w:val="auto"/>
                <w:w w:val="94"/>
                <w:vertAlign w:val="superscript"/>
              </w:rPr>
              <w:t>(2)</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Energy Consumption</w:t>
            </w:r>
          </w:p>
        </w:tc>
        <w:tc>
          <w:tcPr>
            <w:tcW w:w="1360" w:type="dxa"/>
            <w:vAlign w:val="bottom"/>
            <w:tcBorders>
              <w:bottom w:val="single" w:sz="8" w:color="auto"/>
            </w:tcBorders>
          </w:tcPr>
          <w:p>
            <w:pPr>
              <w:jc w:val="center"/>
              <w:ind w:left="57"/>
              <w:spacing w:after="0" w:line="201" w:lineRule="exact"/>
              <w:rPr>
                <w:sz w:val="20"/>
                <w:szCs w:val="20"/>
                <w:color w:val="auto"/>
              </w:rPr>
            </w:pPr>
            <w:r>
              <w:rPr>
                <w:rFonts w:ascii="Times New Roman" w:cs="Times New Roman" w:eastAsia="Times New Roman" w:hAnsi="Times New Roman"/>
                <w:sz w:val="13"/>
                <w:szCs w:val="13"/>
                <w:b w:val="1"/>
                <w:bCs w:val="1"/>
                <w:color w:val="auto"/>
                <w:w w:val="94"/>
              </w:rPr>
              <w:t>Consumption</w:t>
            </w:r>
            <w:r>
              <w:rPr>
                <w:rFonts w:ascii="Times New Roman" w:cs="Times New Roman" w:eastAsia="Times New Roman" w:hAnsi="Times New Roman"/>
                <w:sz w:val="18"/>
                <w:szCs w:val="18"/>
                <w:b w:val="1"/>
                <w:bCs w:val="1"/>
                <w:color w:val="auto"/>
                <w:w w:val="94"/>
                <w:vertAlign w:val="superscript"/>
              </w:rPr>
              <w:t>(3)</w:t>
            </w:r>
          </w:p>
        </w:tc>
        <w:tc>
          <w:tcPr>
            <w:tcW w:w="2020" w:type="dxa"/>
            <w:vAlign w:val="bottom"/>
            <w:tcBorders>
              <w:bottom w:val="single" w:sz="8" w:color="auto"/>
            </w:tcBorders>
          </w:tcPr>
          <w:p>
            <w:pPr>
              <w:jc w:val="center"/>
              <w:ind w:left="57"/>
              <w:spacing w:after="0" w:line="201" w:lineRule="exact"/>
              <w:rPr>
                <w:sz w:val="20"/>
                <w:szCs w:val="20"/>
                <w:color w:val="auto"/>
              </w:rPr>
            </w:pPr>
            <w:r>
              <w:rPr>
                <w:rFonts w:ascii="Times New Roman" w:cs="Times New Roman" w:eastAsia="Times New Roman" w:hAnsi="Times New Roman"/>
                <w:sz w:val="13"/>
                <w:szCs w:val="13"/>
                <w:b w:val="1"/>
                <w:bCs w:val="1"/>
                <w:color w:val="auto"/>
                <w:w w:val="94"/>
              </w:rPr>
              <w:t>with Data Coverage</w:t>
            </w:r>
            <w:r>
              <w:rPr>
                <w:rFonts w:ascii="Times New Roman" w:cs="Times New Roman" w:eastAsia="Times New Roman" w:hAnsi="Times New Roman"/>
                <w:sz w:val="18"/>
                <w:szCs w:val="18"/>
                <w:b w:val="1"/>
                <w:bCs w:val="1"/>
                <w:color w:val="auto"/>
                <w:w w:val="94"/>
                <w:vertAlign w:val="superscript"/>
              </w:rPr>
              <w:t>(4)</w:t>
            </w:r>
          </w:p>
        </w:tc>
      </w:tr>
      <w:tr>
        <w:trPr>
          <w:trHeight w:val="170"/>
        </w:trPr>
        <w:tc>
          <w:tcPr>
            <w:tcW w:w="58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87%</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7,276,225</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96%</w:t>
            </w:r>
          </w:p>
        </w:tc>
        <w:tc>
          <w:tcPr>
            <w:tcW w:w="136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3"/>
                <w:szCs w:val="13"/>
                <w:color w:val="auto"/>
              </w:rPr>
              <w:t>19%</w:t>
            </w:r>
          </w:p>
        </w:tc>
        <w:tc>
          <w:tcPr>
            <w:tcW w:w="202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3"/>
                <w:szCs w:val="13"/>
                <w:color w:val="auto"/>
              </w:rPr>
              <w:t>2%</w:t>
            </w:r>
          </w:p>
        </w:tc>
      </w:tr>
    </w:tbl>
    <w:p>
      <w:pPr>
        <w:spacing w:after="0" w:line="276" w:lineRule="exact"/>
        <w:rPr>
          <w:sz w:val="20"/>
          <w:szCs w:val="20"/>
          <w:color w:val="auto"/>
        </w:rPr>
      </w:pPr>
    </w:p>
    <w:p>
      <w:pPr>
        <w:ind w:left="500" w:right="219" w:hanging="228"/>
        <w:spacing w:after="0" w:line="275" w:lineRule="auto"/>
        <w:tabs>
          <w:tab w:leader="none" w:pos="50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most recent full year for which energy data is available is 2019. The scope of data coverage includes managed and non-managed assets. In 2019, 95% of the Company’s portfolio consisted of data center space along with limited accessory uses, predominantly office space. These secondary space types are not broken out by subsector.</w:t>
      </w:r>
    </w:p>
    <w:p>
      <w:pPr>
        <w:ind w:left="500" w:right="179" w:hanging="228"/>
        <w:spacing w:after="0" w:line="270" w:lineRule="auto"/>
        <w:tabs>
          <w:tab w:leader="none" w:pos="50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scope of energy includes energy purchased from sources external to the Company and its customers; energy produced by the Company and its customers (i.e., self-generated); and energy from all other sources, including direct fuel usage, purchased electricity, and purchased chilled water.</w:t>
      </w:r>
    </w:p>
    <w:p>
      <w:pPr>
        <w:ind w:left="500" w:right="59" w:hanging="228"/>
        <w:spacing w:after="0" w:line="270" w:lineRule="auto"/>
        <w:tabs>
          <w:tab w:leader="none" w:pos="50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Provided as a percent of energy consumption for managed assets. Excludes renewable energy delivered as part of the standard utility fuel mix. Includes above-baseline utility renewables (e.g., green tariffs), Renewable Energy Credit (“REC”) and Guaranty-of-Origin (“GO”) purchases and RECs generated by the Company.</w:t>
      </w:r>
    </w:p>
    <w:p>
      <w:pPr>
        <w:ind w:left="500" w:hanging="228"/>
        <w:spacing w:after="0"/>
        <w:tabs>
          <w:tab w:leader="none" w:pos="50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Scope of data is aligned with the 2019 GRESB Real Estate Assessment Reference Guide (“Like-for-like Comparison”).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6" w:name="page17"/>
    <w:bookmarkEnd w:id="1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71" w:lineRule="exact"/>
        <w:rPr>
          <w:sz w:val="20"/>
          <w:szCs w:val="20"/>
          <w:color w:val="auto"/>
        </w:rPr>
      </w:pPr>
    </w:p>
    <w:p>
      <w:pPr>
        <w:ind w:left="280"/>
        <w:spacing w:after="0"/>
        <w:tabs>
          <w:tab w:leader="none" w:pos="480" w:val="left"/>
        </w:tabs>
        <w:rPr>
          <w:sz w:val="20"/>
          <w:szCs w:val="20"/>
          <w:color w:val="auto"/>
        </w:rPr>
      </w:pPr>
      <w:r>
        <w:rPr>
          <w:rFonts w:ascii="Times New Roman" w:cs="Times New Roman" w:eastAsia="Times New Roman" w:hAnsi="Times New Roman"/>
          <w:sz w:val="13"/>
          <w:szCs w:val="13"/>
          <w:i w:val="1"/>
          <w:iCs w:val="1"/>
          <w:color w:val="auto"/>
        </w:rPr>
        <w:t>b)</w:t>
      </w:r>
      <w:r>
        <w:rPr>
          <w:sz w:val="20"/>
          <w:szCs w:val="20"/>
          <w:color w:val="auto"/>
        </w:rPr>
        <w:tab/>
      </w:r>
      <w:r>
        <w:rPr>
          <w:rFonts w:ascii="Times New Roman" w:cs="Times New Roman" w:eastAsia="Times New Roman" w:hAnsi="Times New Roman"/>
          <w:sz w:val="12"/>
          <w:szCs w:val="12"/>
          <w:i w:val="1"/>
          <w:iCs w:val="1"/>
          <w:color w:val="auto"/>
        </w:rPr>
        <w:t>Sustainable Data Center Ratings</w:t>
      </w:r>
    </w:p>
    <w:p>
      <w:pPr>
        <w:spacing w:after="0" w:line="166" w:lineRule="exact"/>
        <w:rPr>
          <w:sz w:val="20"/>
          <w:szCs w:val="20"/>
          <w:color w:val="auto"/>
        </w:rPr>
      </w:pPr>
    </w:p>
    <w:p>
      <w:pPr>
        <w:ind w:left="20" w:right="79" w:firstLine="228"/>
        <w:spacing w:after="0" w:line="256" w:lineRule="auto"/>
        <w:rPr>
          <w:sz w:val="20"/>
          <w:szCs w:val="20"/>
          <w:color w:val="auto"/>
        </w:rPr>
      </w:pPr>
      <w:r>
        <w:rPr>
          <w:rFonts w:ascii="Times New Roman" w:cs="Times New Roman" w:eastAsia="Times New Roman" w:hAnsi="Times New Roman"/>
          <w:sz w:val="13"/>
          <w:szCs w:val="13"/>
          <w:color w:val="auto"/>
        </w:rPr>
        <w:t>We seek to certify all major new construction and redevelopment projects under US Green Building Council LEED Silver rating or equivalent certification. Our data center space receiving third-party sustainable ratings in 2020 totaled approximately 1.9 million square feet. We received the following sustainable data center ratings for all, or a portion of, the following sites: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Data Center</w:t>
            </w:r>
          </w:p>
        </w:tc>
        <w:tc>
          <w:tcPr>
            <w:tcW w:w="20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Metropolitan Area</w:t>
            </w:r>
          </w:p>
        </w:tc>
        <w:tc>
          <w:tcPr>
            <w:tcW w:w="14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Rating System</w:t>
            </w:r>
          </w:p>
        </w:tc>
        <w:tc>
          <w:tcPr>
            <w:tcW w:w="15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Level Achieved</w:t>
            </w:r>
          </w:p>
        </w:tc>
      </w:tr>
      <w:tr>
        <w:trPr>
          <w:trHeight w:val="141"/>
        </w:trPr>
        <w:tc>
          <w:tcPr>
            <w:tcW w:w="3680" w:type="dxa"/>
            <w:vAlign w:val="bottom"/>
            <w:tcBorders>
              <w:bottom w:val="single" w:sz="8" w:color="auto"/>
              <w:right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3"/>
                <w:szCs w:val="13"/>
                <w:color w:val="auto"/>
              </w:rPr>
              <w:t>1 Century Place</w:t>
            </w:r>
          </w:p>
        </w:tc>
        <w:tc>
          <w:tcPr>
            <w:tcW w:w="2000" w:type="dxa"/>
            <w:vAlign w:val="bottom"/>
            <w:tcBorders>
              <w:bottom w:val="single" w:sz="8" w:color="auto"/>
              <w:right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3"/>
                <w:szCs w:val="13"/>
                <w:color w:val="auto"/>
              </w:rPr>
              <w:t>Toronto</w:t>
            </w:r>
          </w:p>
        </w:tc>
        <w:tc>
          <w:tcPr>
            <w:tcW w:w="1400" w:type="dxa"/>
            <w:vAlign w:val="bottom"/>
            <w:tcBorders>
              <w:bottom w:val="single" w:sz="8" w:color="auto"/>
              <w:right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1"/>
                <w:szCs w:val="11"/>
                <w:color w:val="auto"/>
              </w:rPr>
              <w:t xml:space="preserve">LEED </w:t>
            </w:r>
            <w:r>
              <w:rPr>
                <w:rFonts w:ascii="Times New Roman" w:cs="Times New Roman" w:eastAsia="Times New Roman" w:hAnsi="Times New Roman"/>
                <w:sz w:val="16"/>
                <w:szCs w:val="16"/>
                <w:color w:val="auto"/>
                <w:vertAlign w:val="superscript"/>
              </w:rPr>
              <w:t>(1)</w:t>
            </w:r>
          </w:p>
        </w:tc>
        <w:tc>
          <w:tcPr>
            <w:tcW w:w="1560" w:type="dxa"/>
            <w:vAlign w:val="bottom"/>
            <w:tcBorders>
              <w:bottom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3"/>
                <w:szCs w:val="13"/>
                <w:color w:val="auto"/>
              </w:rPr>
              <w:t>Silver</w:t>
            </w:r>
          </w:p>
        </w:tc>
      </w:tr>
      <w:tr>
        <w:trPr>
          <w:trHeight w:val="141"/>
        </w:trPr>
        <w:tc>
          <w:tcPr>
            <w:tcW w:w="3680" w:type="dxa"/>
            <w:vAlign w:val="bottom"/>
            <w:tcBorders>
              <w:bottom w:val="single" w:sz="8" w:color="auto"/>
              <w:right w:val="single" w:sz="8" w:color="auto"/>
            </w:tcBorders>
          </w:tcPr>
          <w:p>
            <w:pPr>
              <w:ind w:left="80"/>
              <w:spacing w:after="0" w:line="141" w:lineRule="exact"/>
              <w:rPr>
                <w:sz w:val="20"/>
                <w:szCs w:val="20"/>
                <w:color w:val="auto"/>
              </w:rPr>
            </w:pPr>
            <w:r>
              <w:rPr>
                <w:rFonts w:ascii="Times New Roman" w:cs="Times New Roman" w:eastAsia="Times New Roman" w:hAnsi="Times New Roman"/>
                <w:sz w:val="13"/>
                <w:szCs w:val="13"/>
                <w:color w:val="auto"/>
              </w:rPr>
              <w:t>Cloud House</w:t>
            </w:r>
          </w:p>
        </w:tc>
        <w:tc>
          <w:tcPr>
            <w:tcW w:w="2000" w:type="dxa"/>
            <w:vAlign w:val="bottom"/>
            <w:tcBorders>
              <w:bottom w:val="single" w:sz="8" w:color="auto"/>
              <w:right w:val="single" w:sz="8" w:color="auto"/>
            </w:tcBorders>
          </w:tcPr>
          <w:p>
            <w:pPr>
              <w:ind w:left="60"/>
              <w:spacing w:after="0" w:line="141" w:lineRule="exact"/>
              <w:rPr>
                <w:sz w:val="20"/>
                <w:szCs w:val="20"/>
                <w:color w:val="auto"/>
              </w:rPr>
            </w:pPr>
            <w:r>
              <w:rPr>
                <w:rFonts w:ascii="Times New Roman" w:cs="Times New Roman" w:eastAsia="Times New Roman" w:hAnsi="Times New Roman"/>
                <w:sz w:val="13"/>
                <w:szCs w:val="13"/>
                <w:color w:val="auto"/>
              </w:rPr>
              <w:t>London</w:t>
            </w:r>
          </w:p>
        </w:tc>
        <w:tc>
          <w:tcPr>
            <w:tcW w:w="1400" w:type="dxa"/>
            <w:vAlign w:val="bottom"/>
            <w:tcBorders>
              <w:bottom w:val="single" w:sz="8" w:color="auto"/>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1"/>
                <w:szCs w:val="11"/>
                <w:color w:val="auto"/>
              </w:rPr>
              <w:t xml:space="preserve">BREEAM </w:t>
            </w:r>
            <w:r>
              <w:rPr>
                <w:rFonts w:ascii="Times New Roman" w:cs="Times New Roman" w:eastAsia="Times New Roman" w:hAnsi="Times New Roman"/>
                <w:sz w:val="16"/>
                <w:szCs w:val="16"/>
                <w:color w:val="auto"/>
                <w:vertAlign w:val="superscript"/>
              </w:rPr>
              <w:t>(2)</w:t>
            </w:r>
          </w:p>
        </w:tc>
        <w:tc>
          <w:tcPr>
            <w:tcW w:w="1560" w:type="dxa"/>
            <w:vAlign w:val="bottom"/>
            <w:tcBorders>
              <w:bottom w:val="single" w:sz="8" w:color="auto"/>
            </w:tcBorders>
          </w:tcPr>
          <w:p>
            <w:pPr>
              <w:ind w:left="60"/>
              <w:spacing w:after="0" w:line="141" w:lineRule="exact"/>
              <w:rPr>
                <w:sz w:val="20"/>
                <w:szCs w:val="20"/>
                <w:color w:val="auto"/>
              </w:rPr>
            </w:pPr>
            <w:r>
              <w:rPr>
                <w:rFonts w:ascii="Times New Roman" w:cs="Times New Roman" w:eastAsia="Times New Roman" w:hAnsi="Times New Roman"/>
                <w:sz w:val="13"/>
                <w:szCs w:val="13"/>
                <w:color w:val="auto"/>
              </w:rPr>
              <w:t>Gold</w:t>
            </w:r>
          </w:p>
        </w:tc>
      </w:tr>
      <w:tr>
        <w:trPr>
          <w:trHeight w:val="141"/>
        </w:trPr>
        <w:tc>
          <w:tcPr>
            <w:tcW w:w="3680" w:type="dxa"/>
            <w:vAlign w:val="bottom"/>
            <w:tcBorders>
              <w:bottom w:val="single" w:sz="8" w:color="auto"/>
              <w:right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3"/>
                <w:szCs w:val="13"/>
                <w:color w:val="auto"/>
              </w:rPr>
              <w:t>Digital Loyang 2</w:t>
            </w:r>
          </w:p>
        </w:tc>
        <w:tc>
          <w:tcPr>
            <w:tcW w:w="2000" w:type="dxa"/>
            <w:vAlign w:val="bottom"/>
            <w:tcBorders>
              <w:bottom w:val="single" w:sz="8" w:color="auto"/>
              <w:right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3"/>
                <w:szCs w:val="13"/>
                <w:color w:val="auto"/>
              </w:rPr>
              <w:t>Singapore</w:t>
            </w:r>
          </w:p>
        </w:tc>
        <w:tc>
          <w:tcPr>
            <w:tcW w:w="1400" w:type="dxa"/>
            <w:vAlign w:val="bottom"/>
            <w:tcBorders>
              <w:bottom w:val="single" w:sz="8" w:color="auto"/>
              <w:right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1"/>
                <w:szCs w:val="11"/>
                <w:color w:val="auto"/>
              </w:rPr>
              <w:t xml:space="preserve">BCA </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1"/>
                <w:szCs w:val="11"/>
                <w:color w:val="auto"/>
              </w:rPr>
              <w:t xml:space="preserve"> Green Mark</w:t>
            </w:r>
          </w:p>
        </w:tc>
        <w:tc>
          <w:tcPr>
            <w:tcW w:w="1560" w:type="dxa"/>
            <w:vAlign w:val="bottom"/>
            <w:tcBorders>
              <w:bottom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3"/>
                <w:szCs w:val="13"/>
                <w:color w:val="auto"/>
              </w:rPr>
              <w:t>Platinum</w:t>
            </w:r>
          </w:p>
        </w:tc>
      </w:tr>
      <w:tr>
        <w:trPr>
          <w:trHeight w:val="141"/>
        </w:trPr>
        <w:tc>
          <w:tcPr>
            <w:tcW w:w="3680" w:type="dxa"/>
            <w:vAlign w:val="bottom"/>
            <w:tcBorders>
              <w:bottom w:val="single" w:sz="8" w:color="auto"/>
              <w:right w:val="single" w:sz="8" w:color="auto"/>
            </w:tcBorders>
          </w:tcPr>
          <w:p>
            <w:pPr>
              <w:ind w:left="80"/>
              <w:spacing w:after="0" w:line="141" w:lineRule="exact"/>
              <w:rPr>
                <w:sz w:val="20"/>
                <w:szCs w:val="20"/>
                <w:color w:val="auto"/>
              </w:rPr>
            </w:pPr>
            <w:r>
              <w:rPr>
                <w:rFonts w:ascii="Times New Roman" w:cs="Times New Roman" w:eastAsia="Times New Roman" w:hAnsi="Times New Roman"/>
                <w:sz w:val="13"/>
                <w:szCs w:val="13"/>
                <w:color w:val="auto"/>
              </w:rPr>
              <w:t>Building P</w:t>
            </w:r>
          </w:p>
        </w:tc>
        <w:tc>
          <w:tcPr>
            <w:tcW w:w="2000" w:type="dxa"/>
            <w:vAlign w:val="bottom"/>
            <w:tcBorders>
              <w:bottom w:val="single" w:sz="8" w:color="auto"/>
              <w:right w:val="single" w:sz="8" w:color="auto"/>
            </w:tcBorders>
          </w:tcPr>
          <w:p>
            <w:pPr>
              <w:ind w:left="60"/>
              <w:spacing w:after="0" w:line="141" w:lineRule="exact"/>
              <w:rPr>
                <w:sz w:val="20"/>
                <w:szCs w:val="20"/>
                <w:color w:val="auto"/>
              </w:rPr>
            </w:pPr>
            <w:r>
              <w:rPr>
                <w:rFonts w:ascii="Times New Roman" w:cs="Times New Roman" w:eastAsia="Times New Roman" w:hAnsi="Times New Roman"/>
                <w:sz w:val="13"/>
                <w:szCs w:val="13"/>
                <w:color w:val="auto"/>
              </w:rPr>
              <w:t>Ashburn</w:t>
            </w:r>
          </w:p>
        </w:tc>
        <w:tc>
          <w:tcPr>
            <w:tcW w:w="1400" w:type="dxa"/>
            <w:vAlign w:val="bottom"/>
            <w:tcBorders>
              <w:bottom w:val="single" w:sz="8" w:color="auto"/>
              <w:right w:val="single" w:sz="8" w:color="auto"/>
            </w:tcBorders>
          </w:tcPr>
          <w:p>
            <w:pPr>
              <w:ind w:left="40"/>
              <w:spacing w:after="0" w:line="141" w:lineRule="exact"/>
              <w:rPr>
                <w:sz w:val="20"/>
                <w:szCs w:val="20"/>
                <w:color w:val="auto"/>
              </w:rPr>
            </w:pPr>
            <w:r>
              <w:rPr>
                <w:rFonts w:ascii="Times New Roman" w:cs="Times New Roman" w:eastAsia="Times New Roman" w:hAnsi="Times New Roman"/>
                <w:sz w:val="13"/>
                <w:szCs w:val="13"/>
                <w:color w:val="auto"/>
              </w:rPr>
              <w:t>LEED</w:t>
            </w:r>
          </w:p>
        </w:tc>
        <w:tc>
          <w:tcPr>
            <w:tcW w:w="1560" w:type="dxa"/>
            <w:vAlign w:val="bottom"/>
            <w:tcBorders>
              <w:bottom w:val="single" w:sz="8" w:color="auto"/>
            </w:tcBorders>
          </w:tcPr>
          <w:p>
            <w:pPr>
              <w:ind w:left="60"/>
              <w:spacing w:after="0" w:line="141" w:lineRule="exact"/>
              <w:rPr>
                <w:sz w:val="20"/>
                <w:szCs w:val="20"/>
                <w:color w:val="auto"/>
              </w:rPr>
            </w:pPr>
            <w:r>
              <w:rPr>
                <w:rFonts w:ascii="Times New Roman" w:cs="Times New Roman" w:eastAsia="Times New Roman" w:hAnsi="Times New Roman"/>
                <w:sz w:val="13"/>
                <w:szCs w:val="13"/>
                <w:color w:val="auto"/>
              </w:rPr>
              <w:t>Silver</w:t>
            </w:r>
          </w:p>
        </w:tc>
      </w:tr>
    </w:tbl>
    <w:p>
      <w:pPr>
        <w:spacing w:after="0" w:line="92" w:lineRule="exact"/>
        <w:rPr>
          <w:sz w:val="20"/>
          <w:szCs w:val="20"/>
          <w:color w:val="auto"/>
        </w:rPr>
      </w:pPr>
    </w:p>
    <w:p>
      <w:pPr>
        <w:ind w:left="500" w:hanging="228"/>
        <w:spacing w:after="0"/>
        <w:tabs>
          <w:tab w:leader="none" w:pos="50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LEED</w:t>
      </w:r>
      <w:r>
        <w:rPr>
          <w:rFonts w:ascii="Times New Roman" w:cs="Times New Roman" w:eastAsia="Times New Roman" w:hAnsi="Times New Roman"/>
          <w:sz w:val="17"/>
          <w:szCs w:val="17"/>
          <w:color w:val="auto"/>
          <w:vertAlign w:val="superscript"/>
        </w:rPr>
        <w:t>TM</w:t>
      </w:r>
      <w:r>
        <w:rPr>
          <w:rFonts w:ascii="Times New Roman" w:cs="Times New Roman" w:eastAsia="Times New Roman" w:hAnsi="Times New Roman"/>
          <w:sz w:val="11"/>
          <w:szCs w:val="11"/>
          <w:color w:val="auto"/>
        </w:rPr>
        <w:t>: Leadership in Energy and Environmental Design</w:t>
      </w:r>
    </w:p>
    <w:p>
      <w:pPr>
        <w:ind w:left="500" w:hanging="228"/>
        <w:spacing w:after="0"/>
        <w:tabs>
          <w:tab w:leader="none" w:pos="50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BREEAM: Building Research Establishment Environmental Assessment Method</w:t>
      </w:r>
    </w:p>
    <w:p>
      <w:pPr>
        <w:spacing w:after="0" w:line="9" w:lineRule="exact"/>
        <w:rPr>
          <w:rFonts w:ascii="Times New Roman" w:cs="Times New Roman" w:eastAsia="Times New Roman" w:hAnsi="Times New Roman"/>
          <w:sz w:val="11"/>
          <w:szCs w:val="11"/>
          <w:color w:val="auto"/>
        </w:rPr>
      </w:pPr>
    </w:p>
    <w:p>
      <w:pPr>
        <w:ind w:left="500" w:hanging="228"/>
        <w:spacing w:after="0"/>
        <w:tabs>
          <w:tab w:leader="none" w:pos="50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BCA: Building and Construction Authority of Singapore</w:t>
      </w:r>
    </w:p>
    <w:p>
      <w:pPr>
        <w:spacing w:after="0" w:line="159" w:lineRule="exact"/>
        <w:rPr>
          <w:sz w:val="20"/>
          <w:szCs w:val="20"/>
          <w:color w:val="auto"/>
        </w:rPr>
      </w:pPr>
    </w:p>
    <w:p>
      <w:pPr>
        <w:ind w:left="20" w:right="179" w:firstLine="228"/>
        <w:spacing w:after="0" w:line="267" w:lineRule="auto"/>
        <w:rPr>
          <w:sz w:val="20"/>
          <w:szCs w:val="20"/>
          <w:color w:val="auto"/>
        </w:rPr>
      </w:pPr>
      <w:r>
        <w:rPr>
          <w:rFonts w:ascii="Times New Roman" w:cs="Times New Roman" w:eastAsia="Times New Roman" w:hAnsi="Times New Roman"/>
          <w:sz w:val="13"/>
          <w:szCs w:val="13"/>
          <w:color w:val="auto"/>
        </w:rPr>
        <w:t>For existing buildings, we seek to benchmark 100% of properties in ENERGY STAR Portfolio Manager and pursue EPA ENERGY STAR certification for eligible U.S. properties. In 2020, we achieved ENERGY STAR for Data Centers recognition for 31 data centers, representing 54% of our U.S. stabilized and managed data center portfolio by square feet. In total, 46% of our total global stabilized and managed portfolio by square feet has an energy rating as of December 31, 2019.</w:t>
      </w:r>
      <w:r>
        <w:rPr>
          <w:rFonts w:ascii="Times New Roman" w:cs="Times New Roman" w:eastAsia="Times New Roman" w:hAnsi="Times New Roman"/>
          <w:sz w:val="18"/>
          <w:szCs w:val="18"/>
          <w:color w:val="auto"/>
          <w:vertAlign w:val="superscript"/>
        </w:rPr>
        <w:t>(1)</w:t>
      </w:r>
    </w:p>
    <w:p>
      <w:pPr>
        <w:spacing w:after="0" w:line="39" w:lineRule="exact"/>
        <w:rPr>
          <w:sz w:val="20"/>
          <w:szCs w:val="20"/>
          <w:color w:val="auto"/>
        </w:rPr>
      </w:pPr>
    </w:p>
    <w:p>
      <w:pPr>
        <w:ind w:left="500" w:right="119" w:hanging="228"/>
        <w:spacing w:after="0" w:line="266" w:lineRule="auto"/>
        <w:tabs>
          <w:tab w:leader="none" w:pos="5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Excludes non-stabilized assets, Powered Base Building space, space under active development, space held for development, non-managed assets, and space held in unconsolidated joint ventures.</w:t>
      </w:r>
    </w:p>
    <w:p>
      <w:pPr>
        <w:spacing w:after="0" w:line="125" w:lineRule="exact"/>
        <w:rPr>
          <w:sz w:val="20"/>
          <w:szCs w:val="20"/>
          <w:color w:val="auto"/>
        </w:rPr>
      </w:pPr>
    </w:p>
    <w:p>
      <w:pPr>
        <w:ind w:left="500" w:hanging="228"/>
        <w:spacing w:after="0"/>
        <w:tabs>
          <w:tab w:leader="none" w:pos="500" w:val="left"/>
        </w:tabs>
        <w:numPr>
          <w:ilvl w:val="0"/>
          <w:numId w:val="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Energy management considerations</w:t>
      </w:r>
    </w:p>
    <w:p>
      <w:pPr>
        <w:spacing w:after="0" w:line="156" w:lineRule="exact"/>
        <w:rPr>
          <w:sz w:val="20"/>
          <w:szCs w:val="20"/>
          <w:color w:val="auto"/>
        </w:rPr>
      </w:pPr>
    </w:p>
    <w:p>
      <w:pPr>
        <w:ind w:left="20" w:right="239" w:firstLine="228"/>
        <w:spacing w:after="0" w:line="252" w:lineRule="auto"/>
        <w:rPr>
          <w:sz w:val="20"/>
          <w:szCs w:val="20"/>
          <w:color w:val="auto"/>
        </w:rPr>
      </w:pPr>
      <w:r>
        <w:rPr>
          <w:rFonts w:ascii="Times New Roman" w:cs="Times New Roman" w:eastAsia="Times New Roman" w:hAnsi="Times New Roman"/>
          <w:sz w:val="13"/>
          <w:szCs w:val="13"/>
          <w:color w:val="auto"/>
        </w:rPr>
        <w:t>Energy and resource management considerations are integrated into our business decisions and strategy. For our operating portfolio, annual capital expense investment planning identifies and evaluates resource efficiency project opportunities in a parallel track alongside non-resource-impacting capital investments. For acquisitions and new development activity, resiliency risks, resource availability, and renewable energy access are considered. Our design and construction process is intended to incorporate sustainable features that support resource efficiency during construction as well as during eventual operational activity at the sites.</w:t>
      </w:r>
    </w:p>
    <w:p>
      <w:pPr>
        <w:spacing w:after="0" w:line="132" w:lineRule="exact"/>
        <w:rPr>
          <w:sz w:val="20"/>
          <w:szCs w:val="20"/>
          <w:color w:val="auto"/>
        </w:rPr>
      </w:pPr>
    </w:p>
    <w:p>
      <w:pPr>
        <w:ind w:left="20" w:right="59" w:firstLine="228"/>
        <w:spacing w:after="0" w:line="248" w:lineRule="auto"/>
        <w:rPr>
          <w:sz w:val="20"/>
          <w:szCs w:val="20"/>
          <w:color w:val="auto"/>
        </w:rPr>
      </w:pPr>
      <w:r>
        <w:rPr>
          <w:rFonts w:ascii="Times New Roman" w:cs="Times New Roman" w:eastAsia="Times New Roman" w:hAnsi="Times New Roman"/>
          <w:sz w:val="13"/>
          <w:szCs w:val="13"/>
          <w:color w:val="auto"/>
        </w:rPr>
        <w:t>We seek to proactively identify and support opportunities to efficiently utilize resources, such as energy and water, throughout our operating portfolio. We have a colocation power usage effectiveness (PUE) improvement goal of 10% by 2022 against a 2017 baseline and UK Climate Change Agreement energy reduction goals for our UK properties. Our EMEA colocation portfolio participates in the European Union’s Code of Conduct for Energy Efficiency in Data Centers, a voluntary initiative which addresses airflow management, cooling system efficiency and capital plant replacement. Globally, we conduct external technical building assessments as well as utilize ENERGY STAR Portfolio Manager scores to prioritize efficiency opportunities. Energy efficiency measures implemented typically involve HVAC and lighting-related improvements and building commissioning. In 2019, more than 40 energy efficiency measures were implemented, totaling over 14,100 MWh in projected energy savings.</w:t>
      </w:r>
    </w:p>
    <w:p>
      <w:pPr>
        <w:spacing w:after="0" w:line="136" w:lineRule="exact"/>
        <w:rPr>
          <w:sz w:val="20"/>
          <w:szCs w:val="20"/>
          <w:color w:val="auto"/>
        </w:rPr>
      </w:pPr>
    </w:p>
    <w:p>
      <w:pPr>
        <w:ind w:left="20" w:right="39" w:firstLine="228"/>
        <w:spacing w:after="0" w:line="249" w:lineRule="auto"/>
        <w:rPr>
          <w:sz w:val="20"/>
          <w:szCs w:val="20"/>
          <w:color w:val="auto"/>
        </w:rPr>
      </w:pPr>
      <w:r>
        <w:rPr>
          <w:rFonts w:ascii="Times New Roman" w:cs="Times New Roman" w:eastAsia="Times New Roman" w:hAnsi="Times New Roman"/>
          <w:sz w:val="13"/>
          <w:szCs w:val="13"/>
          <w:color w:val="auto"/>
        </w:rPr>
        <w:t>In 2020, our Company set a global carbon reduction target with the Science-Based Target Initiative (SBTi). We have committed to reducing our Scope 1 and 2 emissions 68% per square foot and Scope 3 emissions from purchased goods and services and fuel- and energy-related activities 24% per square foot by 2030. We continue to match 100% of our EMEA portfolio and US colocation business units with renewable energy. In 2020, we entered into an 89 MW retail supply agreement and a 65 MW solar power purchase agreement, both to support our Dallas portfolio. Our Texas and Illinois wind and Virginia and North Carolina solar power purchase agreements produced 698,960 MWh of renewable energy credits in 2020.</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7" w:name="page18"/>
    <w:bookmarkEnd w:id="1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306" w:lineRule="exact"/>
        <w:rPr>
          <w:sz w:val="20"/>
          <w:szCs w:val="20"/>
          <w:color w:val="auto"/>
        </w:rPr>
      </w:pPr>
    </w:p>
    <w:p>
      <w:pPr>
        <w:ind w:left="20" w:right="59" w:firstLine="228"/>
        <w:spacing w:after="0" w:line="252" w:lineRule="auto"/>
        <w:rPr>
          <w:sz w:val="20"/>
          <w:szCs w:val="20"/>
          <w:color w:val="auto"/>
        </w:rPr>
      </w:pPr>
      <w:r>
        <w:rPr>
          <w:rFonts w:ascii="Times New Roman" w:cs="Times New Roman" w:eastAsia="Times New Roman" w:hAnsi="Times New Roman"/>
          <w:sz w:val="13"/>
          <w:szCs w:val="13"/>
          <w:color w:val="auto"/>
        </w:rPr>
        <w:t>We implement ISO 14001 (Environmental Management) and ISO 50001 (Energy Management) to measure, manage and improve the energy and environmental performance of our data centers. In 2019, 94% of our EMEA portfolio and 32% of our global portfolio had ISO 14001 certifications and 100% of our EMEA portfolio and 10% of our global portfolio was covered under ISO 50001. Additionally, 100% of our Singapore portfolio was certified under the SS564 Green Data Centres standard for Energy and Environmental Management Systems.</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Water Management</w:t>
      </w:r>
    </w:p>
    <w:p>
      <w:pPr>
        <w:spacing w:after="0" w:line="150" w:lineRule="exact"/>
        <w:rPr>
          <w:sz w:val="20"/>
          <w:szCs w:val="20"/>
          <w:color w:val="auto"/>
        </w:rPr>
      </w:pPr>
    </w:p>
    <w:p>
      <w:pPr>
        <w:ind w:left="560"/>
        <w:spacing w:after="0"/>
        <w:tabs>
          <w:tab w:leader="none" w:pos="760" w:val="left"/>
        </w:tabs>
        <w:rPr>
          <w:sz w:val="20"/>
          <w:szCs w:val="20"/>
          <w:color w:val="auto"/>
        </w:rPr>
      </w:pPr>
      <w:r>
        <w:rPr>
          <w:rFonts w:ascii="Times New Roman" w:cs="Times New Roman" w:eastAsia="Times New Roman" w:hAnsi="Times New Roman"/>
          <w:sz w:val="13"/>
          <w:szCs w:val="13"/>
          <w:i w:val="1"/>
          <w:iCs w:val="1"/>
          <w:color w:val="auto"/>
        </w:rPr>
        <w:t>a)</w:t>
      </w:r>
      <w:r>
        <w:rPr>
          <w:sz w:val="20"/>
          <w:szCs w:val="20"/>
          <w:color w:val="auto"/>
        </w:rPr>
        <w:tab/>
      </w:r>
      <w:r>
        <w:rPr>
          <w:rFonts w:ascii="Times New Roman" w:cs="Times New Roman" w:eastAsia="Times New Roman" w:hAnsi="Times New Roman"/>
          <w:sz w:val="12"/>
          <w:szCs w:val="12"/>
          <w:i w:val="1"/>
          <w:iCs w:val="1"/>
          <w:color w:val="auto"/>
        </w:rPr>
        <w:t xml:space="preserve">2019 Water Data </w:t>
      </w:r>
      <w:r>
        <w:rPr>
          <w:rFonts w:ascii="Times New Roman" w:cs="Times New Roman" w:eastAsia="Times New Roman" w:hAnsi="Times New Roman"/>
          <w:sz w:val="17"/>
          <w:szCs w:val="17"/>
          <w:color w:val="auto"/>
          <w:vertAlign w:val="superscript"/>
        </w:rPr>
        <w:t>(1)</w:t>
      </w:r>
    </w:p>
    <w:p>
      <w:pPr>
        <w:spacing w:after="0" w:line="122" w:lineRule="exact"/>
        <w:rPr>
          <w:sz w:val="20"/>
          <w:szCs w:val="20"/>
          <w:color w:val="auto"/>
        </w:rPr>
      </w:pPr>
    </w:p>
    <w:tbl>
      <w:tblPr>
        <w:tblLayout w:type="fixed"/>
        <w:tblInd w:w="440" w:type="dxa"/>
        <w:tblCellMar>
          <w:top w:w="0" w:type="dxa"/>
          <w:left w:w="0" w:type="dxa"/>
          <w:bottom w:w="0" w:type="dxa"/>
          <w:right w:w="0" w:type="dxa"/>
        </w:tblCellMar>
      </w:tblPr>
      <w:tr>
        <w:trPr>
          <w:trHeight w:val="152"/>
        </w:trPr>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Total Water Withdrawn by</w:t>
            </w:r>
          </w:p>
        </w:tc>
        <w:tc>
          <w:tcPr>
            <w:tcW w:w="13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Water Withdrawal</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of Floor Area with 40%</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Portfolio Area with Data</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 of Water Withdrawn</w:t>
            </w: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6"/>
              </w:rPr>
              <w:t>Data Coverage as %</w:t>
            </w: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6"/>
              </w:rPr>
              <w:t>or Greater Baseline Water</w:t>
            </w: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7"/>
              </w:rPr>
              <w:t>Coverage (cubic meters, in</w:t>
            </w: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7"/>
              </w:rPr>
              <w:t>with 40% or Greater</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Like-for-Like Change in Water Withdrawals</w:t>
            </w:r>
          </w:p>
        </w:tc>
        <w:tc>
          <w:tcPr>
            <w:tcW w:w="0" w:type="dxa"/>
            <w:vAlign w:val="bottom"/>
          </w:tcPr>
          <w:p>
            <w:pPr>
              <w:spacing w:after="0"/>
              <w:rPr>
                <w:sz w:val="1"/>
                <w:szCs w:val="1"/>
                <w:color w:val="auto"/>
              </w:rPr>
            </w:pPr>
          </w:p>
        </w:tc>
      </w:tr>
      <w:tr>
        <w:trPr>
          <w:trHeight w:val="57"/>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of Floor Area</w:t>
            </w:r>
          </w:p>
        </w:tc>
        <w:tc>
          <w:tcPr>
            <w:tcW w:w="150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3"/>
                <w:szCs w:val="13"/>
                <w:b w:val="1"/>
                <w:bCs w:val="1"/>
                <w:color w:val="auto"/>
                <w:w w:val="91"/>
              </w:rPr>
              <w:t xml:space="preserve">Stress </w:t>
            </w:r>
            <w:r>
              <w:rPr>
                <w:rFonts w:ascii="Times New Roman" w:cs="Times New Roman" w:eastAsia="Times New Roman" w:hAnsi="Times New Roman"/>
                <w:sz w:val="18"/>
                <w:szCs w:val="18"/>
                <w:b w:val="1"/>
                <w:bCs w:val="1"/>
                <w:color w:val="auto"/>
                <w:w w:val="91"/>
                <w:vertAlign w:val="superscript"/>
              </w:rPr>
              <w:t>(2)</w:t>
            </w:r>
          </w:p>
        </w:tc>
        <w:tc>
          <w:tcPr>
            <w:tcW w:w="154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3"/>
                <w:szCs w:val="13"/>
                <w:b w:val="1"/>
                <w:bCs w:val="1"/>
                <w:color w:val="auto"/>
                <w:w w:val="94"/>
              </w:rPr>
              <w:t xml:space="preserve">thousands) </w:t>
            </w:r>
            <w:r>
              <w:rPr>
                <w:rFonts w:ascii="Times New Roman" w:cs="Times New Roman" w:eastAsia="Times New Roman" w:hAnsi="Times New Roman"/>
                <w:sz w:val="18"/>
                <w:szCs w:val="18"/>
                <w:b w:val="1"/>
                <w:bCs w:val="1"/>
                <w:color w:val="auto"/>
                <w:w w:val="94"/>
                <w:vertAlign w:val="superscript"/>
              </w:rPr>
              <w:t>(3)</w:t>
            </w:r>
          </w:p>
        </w:tc>
        <w:tc>
          <w:tcPr>
            <w:tcW w:w="138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3"/>
                <w:szCs w:val="13"/>
                <w:b w:val="1"/>
                <w:bCs w:val="1"/>
                <w:color w:val="auto"/>
                <w:w w:val="95"/>
              </w:rPr>
              <w:t xml:space="preserve">Baseline Water Stress </w:t>
            </w:r>
            <w:r>
              <w:rPr>
                <w:rFonts w:ascii="Times New Roman" w:cs="Times New Roman" w:eastAsia="Times New Roman" w:hAnsi="Times New Roman"/>
                <w:sz w:val="18"/>
                <w:szCs w:val="18"/>
                <w:b w:val="1"/>
                <w:bCs w:val="1"/>
                <w:color w:val="auto"/>
                <w:w w:val="95"/>
                <w:vertAlign w:val="superscript"/>
              </w:rPr>
              <w:t>(2)</w:t>
            </w:r>
          </w:p>
        </w:tc>
        <w:tc>
          <w:tcPr>
            <w:tcW w:w="2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180" w:type="dxa"/>
            <w:vAlign w:val="bottom"/>
            <w:tcBorders>
              <w:bottom w:val="single" w:sz="8" w:color="auto"/>
            </w:tcBorders>
            <w:vMerge w:val="continue"/>
          </w:tcPr>
          <w:p>
            <w:pPr>
              <w:spacing w:after="0"/>
              <w:rPr>
                <w:sz w:val="10"/>
                <w:szCs w:val="10"/>
                <w:color w:val="auto"/>
              </w:rPr>
            </w:pPr>
          </w:p>
        </w:tc>
        <w:tc>
          <w:tcPr>
            <w:tcW w:w="1500" w:type="dxa"/>
            <w:vAlign w:val="bottom"/>
            <w:tcBorders>
              <w:bottom w:val="single" w:sz="8" w:color="auto"/>
            </w:tcBorders>
            <w:vMerge w:val="continue"/>
          </w:tcPr>
          <w:p>
            <w:pPr>
              <w:spacing w:after="0"/>
              <w:rPr>
                <w:sz w:val="10"/>
                <w:szCs w:val="10"/>
                <w:color w:val="auto"/>
              </w:rPr>
            </w:pPr>
          </w:p>
        </w:tc>
        <w:tc>
          <w:tcPr>
            <w:tcW w:w="1540" w:type="dxa"/>
            <w:vAlign w:val="bottom"/>
            <w:tcBorders>
              <w:bottom w:val="single" w:sz="8" w:color="auto"/>
            </w:tcBorders>
            <w:vMerge w:val="continue"/>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2540" w:type="dxa"/>
            <w:vAlign w:val="bottom"/>
            <w:tcBorders>
              <w:bottom w:val="single" w:sz="8" w:color="auto"/>
            </w:tcBorders>
          </w:tcPr>
          <w:p>
            <w:pPr>
              <w:jc w:val="right"/>
              <w:ind w:right="1165"/>
              <w:spacing w:after="0"/>
              <w:rPr>
                <w:sz w:val="20"/>
                <w:szCs w:val="20"/>
                <w:color w:val="auto"/>
              </w:rPr>
            </w:pP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179"/>
        </w:trPr>
        <w:tc>
          <w:tcPr>
            <w:tcW w:w="1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36%</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5,880</w:t>
            </w:r>
          </w:p>
        </w:tc>
        <w:tc>
          <w:tcPr>
            <w:tcW w:w="13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51%</w:t>
            </w:r>
          </w:p>
        </w:tc>
        <w:tc>
          <w:tcPr>
            <w:tcW w:w="2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right="99" w:hanging="228"/>
        <w:spacing w:after="0" w:line="250" w:lineRule="auto"/>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most recent full year for which water data is available is 2019. The scope of data coverage involves managed and non-managed assets. The scope of water withdrawals is aligned with the 2018 GRESB Real Estate Assessment Reference Guide. In 2019, 95% of the Company’s portfolio consisted of data center space along with limited accessory uses, predominantly office. These secondary space types are not broken out by subsector.</w:t>
      </w:r>
    </w:p>
    <w:p>
      <w:pPr>
        <w:spacing w:after="0" w:line="1" w:lineRule="exact"/>
        <w:rPr>
          <w:rFonts w:ascii="Times New Roman" w:cs="Times New Roman" w:eastAsia="Times New Roman" w:hAnsi="Times New Roman"/>
          <w:sz w:val="13"/>
          <w:szCs w:val="13"/>
          <w:color w:val="auto"/>
        </w:rPr>
      </w:pPr>
    </w:p>
    <w:p>
      <w:pPr>
        <w:ind w:left="500" w:right="579" w:hanging="228"/>
        <w:spacing w:after="0" w:line="243" w:lineRule="auto"/>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properties classified as High or Extremely High Baseline Water Stress determined by the World Resources Institute’s (WRI) Water Risk Atlas tool, Aqueduct. Includes properties that have complete water withdrawal data coverage.</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scope of water consumed includes potable and non-potable water purchased from third-party suppliers.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Scope of data is aligned with the 2019 GRESB Real Estate Assessment Reference Guide (“Like-for-like Comparison”).</w:t>
      </w:r>
    </w:p>
    <w:p>
      <w:pPr>
        <w:spacing w:after="0" w:line="291" w:lineRule="exact"/>
        <w:rPr>
          <w:sz w:val="20"/>
          <w:szCs w:val="20"/>
          <w:color w:val="auto"/>
        </w:rPr>
      </w:pPr>
    </w:p>
    <w:p>
      <w:pPr>
        <w:ind w:left="780" w:hanging="223"/>
        <w:spacing w:after="0"/>
        <w:tabs>
          <w:tab w:leader="none" w:pos="7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Water Management Risks and Mitigation Strategies</w:t>
      </w:r>
    </w:p>
    <w:p>
      <w:pPr>
        <w:spacing w:after="0" w:line="156" w:lineRule="exact"/>
        <w:rPr>
          <w:sz w:val="20"/>
          <w:szCs w:val="20"/>
          <w:color w:val="auto"/>
        </w:rPr>
      </w:pPr>
    </w:p>
    <w:p>
      <w:pPr>
        <w:ind w:left="20" w:right="59" w:firstLine="228"/>
        <w:spacing w:after="0" w:line="279" w:lineRule="auto"/>
        <w:rPr>
          <w:sz w:val="20"/>
          <w:szCs w:val="20"/>
          <w:color w:val="auto"/>
        </w:rPr>
      </w:pPr>
      <w:r>
        <w:rPr>
          <w:rFonts w:ascii="Times New Roman" w:cs="Times New Roman" w:eastAsia="Times New Roman" w:hAnsi="Times New Roman"/>
          <w:sz w:val="12"/>
          <w:szCs w:val="12"/>
          <w:color w:val="auto"/>
        </w:rPr>
        <w:t>Some of our assets are in regions of high or extremely high baseline water stress and may face future risk of water scarcity, higher water costs, and regulatory constraints on water consumption. We consider water availability, cost, and alternate supply solutions to potable water such as municipally supplied non-potable reclaimed water, which accounted for 43% of our total water usage in 2019. We also consider cooling system designs to maximize ‘free cooling’ and reduce or eliminate reliance on access to water for cooling. In 2019, we announced a program that would expand the Company’s efforts to optimize water use through water reduction, reuse and recycling projects.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8" w:name="page19"/>
    <w:bookmarkEnd w:id="18"/>
    <w:tbl>
      <w:tblPr>
        <w:tblLayout w:type="fixed"/>
        <w:tblInd w:w="20" w:type="dxa"/>
        <w:tblCellMar>
          <w:top w:w="0" w:type="dxa"/>
          <w:left w:w="0" w:type="dxa"/>
          <w:bottom w:w="0" w:type="dxa"/>
          <w:right w:w="0" w:type="dxa"/>
        </w:tblCellMar>
      </w:tblPr>
      <w:tr>
        <w:trPr>
          <w:trHeight w:val="165"/>
        </w:trPr>
        <w:tc>
          <w:tcPr>
            <w:tcW w:w="2580" w:type="dxa"/>
            <w:vAlign w:val="bottom"/>
            <w:gridSpan w:val="2"/>
          </w:tcPr>
          <w:p>
            <w:pPr>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tc>
        <w:tc>
          <w:tcPr>
            <w:tcW w:w="2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70"/>
        </w:trPr>
        <w:tc>
          <w:tcPr>
            <w:tcW w:w="2580" w:type="dxa"/>
            <w:vAlign w:val="bottom"/>
            <w:gridSpan w:val="2"/>
          </w:tcPr>
          <w:p>
            <w:pPr>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tc>
        <w:tc>
          <w:tcPr>
            <w:tcW w:w="2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04"/>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Management of Tenant Sustainability Impacts</w:t>
            </w:r>
          </w:p>
        </w:tc>
        <w:tc>
          <w:tcPr>
            <w:tcW w:w="2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2560" w:type="dxa"/>
            <w:vAlign w:val="bottom"/>
          </w:tcPr>
          <w:p>
            <w:pPr>
              <w:jc w:val="right"/>
              <w:ind w:right="397"/>
              <w:spacing w:after="0"/>
              <w:rPr>
                <w:sz w:val="20"/>
                <w:szCs w:val="20"/>
                <w:color w:val="auto"/>
              </w:rPr>
            </w:pPr>
            <w:r>
              <w:rPr>
                <w:rFonts w:ascii="Times New Roman" w:cs="Times New Roman" w:eastAsia="Times New Roman" w:hAnsi="Times New Roman"/>
                <w:sz w:val="13"/>
                <w:szCs w:val="13"/>
                <w:i w:val="1"/>
                <w:iCs w:val="1"/>
                <w:color w:val="auto"/>
              </w:rPr>
              <w:t>a)  2020 Tenant Sustainability</w:t>
            </w:r>
          </w:p>
        </w:tc>
        <w:tc>
          <w:tcPr>
            <w:tcW w:w="2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4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Leased Floor Area of New Leases</w:t>
            </w:r>
          </w:p>
        </w:tc>
        <w:tc>
          <w:tcPr>
            <w:tcW w:w="2040" w:type="dxa"/>
            <w:vAlign w:val="bottom"/>
          </w:tcPr>
          <w:p>
            <w:pPr>
              <w:spacing w:after="0"/>
              <w:rPr>
                <w:sz w:val="24"/>
                <w:szCs w:val="24"/>
                <w:color w:val="auto"/>
              </w:rPr>
            </w:pPr>
          </w:p>
        </w:tc>
        <w:tc>
          <w:tcPr>
            <w:tcW w:w="21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 of Leased Floor Area that is</w:t>
            </w:r>
          </w:p>
        </w:tc>
      </w:tr>
      <w:tr>
        <w:trPr>
          <w:trHeight w:val="146"/>
        </w:trPr>
        <w:tc>
          <w:tcPr>
            <w:tcW w:w="20" w:type="dxa"/>
            <w:vAlign w:val="bottom"/>
          </w:tcPr>
          <w:p>
            <w:pPr>
              <w:spacing w:after="0"/>
              <w:rPr>
                <w:sz w:val="12"/>
                <w:szCs w:val="12"/>
                <w:color w:val="auto"/>
              </w:rPr>
            </w:pPr>
          </w:p>
        </w:tc>
        <w:tc>
          <w:tcPr>
            <w:tcW w:w="256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7"/>
              </w:rPr>
              <w:t>% of New Leases with Cost Recovery Clause</w:t>
            </w:r>
          </w:p>
        </w:tc>
        <w:tc>
          <w:tcPr>
            <w:tcW w:w="428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3"/>
                <w:szCs w:val="13"/>
                <w:b w:val="1"/>
                <w:bCs w:val="1"/>
                <w:color w:val="auto"/>
                <w:w w:val="99"/>
              </w:rPr>
              <w:t>with Cost Recovery Clause (Square % of Total Leased Floor Area with Cost</w:t>
            </w:r>
          </w:p>
        </w:tc>
        <w:tc>
          <w:tcPr>
            <w:tcW w:w="2100" w:type="dxa"/>
            <w:vAlign w:val="bottom"/>
          </w:tcPr>
          <w:p>
            <w:pPr>
              <w:jc w:val="center"/>
              <w:ind w:right="17"/>
              <w:spacing w:after="0" w:line="146" w:lineRule="exact"/>
              <w:rPr>
                <w:sz w:val="20"/>
                <w:szCs w:val="20"/>
                <w:color w:val="auto"/>
              </w:rPr>
            </w:pPr>
            <w:r>
              <w:rPr>
                <w:rFonts w:ascii="Times New Roman" w:cs="Times New Roman" w:eastAsia="Times New Roman" w:hAnsi="Times New Roman"/>
                <w:sz w:val="13"/>
                <w:szCs w:val="13"/>
                <w:b w:val="1"/>
                <w:bCs w:val="1"/>
                <w:color w:val="auto"/>
                <w:w w:val="97"/>
              </w:rPr>
              <w:t>Separately Metered for Electricity</w:t>
            </w:r>
          </w:p>
        </w:tc>
      </w:tr>
      <w:tr>
        <w:trPr>
          <w:trHeight w:val="173"/>
        </w:trPr>
        <w:tc>
          <w:tcPr>
            <w:tcW w:w="20" w:type="dxa"/>
            <w:vAlign w:val="bottom"/>
          </w:tcPr>
          <w:p>
            <w:pPr>
              <w:spacing w:after="0"/>
              <w:rPr>
                <w:sz w:val="15"/>
                <w:szCs w:val="15"/>
                <w:color w:val="auto"/>
              </w:rPr>
            </w:pPr>
          </w:p>
        </w:tc>
        <w:tc>
          <w:tcPr>
            <w:tcW w:w="256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3"/>
                <w:szCs w:val="13"/>
                <w:b w:val="1"/>
                <w:bCs w:val="1"/>
                <w:color w:val="auto"/>
                <w:w w:val="96"/>
              </w:rPr>
              <w:t xml:space="preserve">for Efficiency Improvements </w:t>
            </w:r>
            <w:r>
              <w:rPr>
                <w:rFonts w:ascii="Times New Roman" w:cs="Times New Roman" w:eastAsia="Times New Roman" w:hAnsi="Times New Roman"/>
                <w:sz w:val="18"/>
                <w:szCs w:val="18"/>
                <w:b w:val="1"/>
                <w:bCs w:val="1"/>
                <w:color w:val="auto"/>
                <w:w w:val="96"/>
                <w:vertAlign w:val="superscript"/>
              </w:rPr>
              <w:t>(1)</w:t>
            </w:r>
          </w:p>
        </w:tc>
        <w:tc>
          <w:tcPr>
            <w:tcW w:w="22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9"/>
              </w:rPr>
              <w:t>Feet)</w:t>
            </w:r>
          </w:p>
        </w:tc>
        <w:tc>
          <w:tcPr>
            <w:tcW w:w="2040" w:type="dxa"/>
            <w:vAlign w:val="bottom"/>
            <w:tcBorders>
              <w:bottom w:val="single" w:sz="8" w:color="auto"/>
            </w:tcBorders>
          </w:tcPr>
          <w:p>
            <w:pPr>
              <w:jc w:val="center"/>
              <w:ind w:right="237"/>
              <w:spacing w:after="0" w:line="173" w:lineRule="exact"/>
              <w:rPr>
                <w:sz w:val="20"/>
                <w:szCs w:val="20"/>
                <w:color w:val="auto"/>
              </w:rPr>
            </w:pPr>
            <w:r>
              <w:rPr>
                <w:rFonts w:ascii="Times New Roman" w:cs="Times New Roman" w:eastAsia="Times New Roman" w:hAnsi="Times New Roman"/>
                <w:sz w:val="13"/>
                <w:szCs w:val="13"/>
                <w:b w:val="1"/>
                <w:bCs w:val="1"/>
                <w:color w:val="auto"/>
                <w:w w:val="95"/>
              </w:rPr>
              <w:t xml:space="preserve">Recovery Clauses </w:t>
            </w:r>
            <w:r>
              <w:rPr>
                <w:rFonts w:ascii="Times New Roman" w:cs="Times New Roman" w:eastAsia="Times New Roman" w:hAnsi="Times New Roman"/>
                <w:sz w:val="18"/>
                <w:szCs w:val="18"/>
                <w:b w:val="1"/>
                <w:bCs w:val="1"/>
                <w:color w:val="auto"/>
                <w:w w:val="95"/>
                <w:vertAlign w:val="superscript"/>
              </w:rPr>
              <w:t>(2)</w:t>
            </w:r>
          </w:p>
        </w:tc>
        <w:tc>
          <w:tcPr>
            <w:tcW w:w="2100" w:type="dxa"/>
            <w:vAlign w:val="bottom"/>
            <w:tcBorders>
              <w:bottom w:val="single" w:sz="8" w:color="auto"/>
            </w:tcBorders>
          </w:tcPr>
          <w:p>
            <w:pPr>
              <w:jc w:val="center"/>
              <w:ind w:right="17"/>
              <w:spacing w:after="0" w:line="173" w:lineRule="exact"/>
              <w:rPr>
                <w:sz w:val="20"/>
                <w:szCs w:val="20"/>
                <w:color w:val="auto"/>
              </w:rPr>
            </w:pPr>
            <w:r>
              <w:rPr>
                <w:rFonts w:ascii="Times New Roman" w:cs="Times New Roman" w:eastAsia="Times New Roman" w:hAnsi="Times New Roman"/>
                <w:sz w:val="13"/>
                <w:szCs w:val="13"/>
                <w:b w:val="1"/>
                <w:bCs w:val="1"/>
                <w:color w:val="auto"/>
                <w:w w:val="93"/>
              </w:rPr>
              <w:t xml:space="preserve">Consumption </w:t>
            </w:r>
            <w:r>
              <w:rPr>
                <w:rFonts w:ascii="Times New Roman" w:cs="Times New Roman" w:eastAsia="Times New Roman" w:hAnsi="Times New Roman"/>
                <w:sz w:val="18"/>
                <w:szCs w:val="18"/>
                <w:b w:val="1"/>
                <w:bCs w:val="1"/>
                <w:color w:val="auto"/>
                <w:w w:val="93"/>
                <w:vertAlign w:val="superscript"/>
              </w:rPr>
              <w:t>(3)</w:t>
            </w:r>
          </w:p>
        </w:tc>
      </w:tr>
      <w:tr>
        <w:trPr>
          <w:trHeight w:val="179"/>
        </w:trPr>
        <w:tc>
          <w:tcPr>
            <w:tcW w:w="20" w:type="dxa"/>
            <w:vAlign w:val="bottom"/>
          </w:tcPr>
          <w:p>
            <w:pPr>
              <w:spacing w:after="0"/>
              <w:rPr>
                <w:sz w:val="15"/>
                <w:szCs w:val="15"/>
                <w:color w:val="auto"/>
              </w:rPr>
            </w:pPr>
          </w:p>
        </w:tc>
        <w:tc>
          <w:tcPr>
            <w:tcW w:w="2560" w:type="dxa"/>
            <w:vAlign w:val="bottom"/>
            <w:tcBorders>
              <w:bottom w:val="single" w:sz="8" w:color="auto"/>
            </w:tcBorders>
          </w:tcPr>
          <w:p>
            <w:pPr>
              <w:jc w:val="right"/>
              <w:ind w:right="1177"/>
              <w:spacing w:after="0"/>
              <w:rPr>
                <w:sz w:val="20"/>
                <w:szCs w:val="20"/>
                <w:color w:val="auto"/>
              </w:rPr>
            </w:pPr>
            <w:r>
              <w:rPr>
                <w:rFonts w:ascii="Times New Roman" w:cs="Times New Roman" w:eastAsia="Times New Roman" w:hAnsi="Times New Roman"/>
                <w:sz w:val="13"/>
                <w:szCs w:val="13"/>
                <w:color w:val="auto"/>
              </w:rPr>
              <w:t>25%</w:t>
            </w:r>
          </w:p>
        </w:tc>
        <w:tc>
          <w:tcPr>
            <w:tcW w:w="22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color w:val="auto"/>
                <w:w w:val="95"/>
              </w:rPr>
              <w:t>6,394</w:t>
            </w:r>
          </w:p>
        </w:tc>
        <w:tc>
          <w:tcPr>
            <w:tcW w:w="2040" w:type="dxa"/>
            <w:vAlign w:val="bottom"/>
            <w:tcBorders>
              <w:bottom w:val="single" w:sz="8" w:color="auto"/>
            </w:tcBorders>
          </w:tcPr>
          <w:p>
            <w:pPr>
              <w:jc w:val="right"/>
              <w:ind w:right="997"/>
              <w:spacing w:after="0"/>
              <w:rPr>
                <w:sz w:val="20"/>
                <w:szCs w:val="20"/>
                <w:color w:val="auto"/>
              </w:rPr>
            </w:pPr>
            <w:r>
              <w:rPr>
                <w:rFonts w:ascii="Times New Roman" w:cs="Times New Roman" w:eastAsia="Times New Roman" w:hAnsi="Times New Roman"/>
                <w:sz w:val="13"/>
                <w:szCs w:val="13"/>
                <w:color w:val="auto"/>
              </w:rPr>
              <w:t>41%</w:t>
            </w:r>
          </w:p>
        </w:tc>
        <w:tc>
          <w:tcPr>
            <w:tcW w:w="21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2"/>
              </w:rPr>
              <w:t>84%</w:t>
            </w:r>
          </w:p>
        </w:tc>
      </w:tr>
    </w:tbl>
    <w:p>
      <w:pPr>
        <w:spacing w:after="0" w:line="139" w:lineRule="exact"/>
        <w:rPr>
          <w:sz w:val="20"/>
          <w:szCs w:val="20"/>
          <w:color w:val="auto"/>
        </w:rPr>
      </w:pPr>
    </w:p>
    <w:p>
      <w:pPr>
        <w:ind w:left="500" w:hanging="228"/>
        <w:spacing w:after="0"/>
        <w:tabs>
          <w:tab w:leader="none" w:pos="5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provided for new data center scale leases signed and excludes colocation and Powered Base Building agreements.</w:t>
      </w:r>
    </w:p>
    <w:p>
      <w:pPr>
        <w:spacing w:after="0" w:line="15" w:lineRule="exact"/>
        <w:rPr>
          <w:rFonts w:ascii="Times New Roman" w:cs="Times New Roman" w:eastAsia="Times New Roman" w:hAnsi="Times New Roman"/>
          <w:sz w:val="13"/>
          <w:szCs w:val="13"/>
          <w:color w:val="auto"/>
        </w:rPr>
      </w:pPr>
    </w:p>
    <w:p>
      <w:pPr>
        <w:ind w:left="500" w:right="39" w:hanging="228"/>
        <w:spacing w:after="0" w:line="243" w:lineRule="auto"/>
        <w:tabs>
          <w:tab w:leader="none" w:pos="5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leased floor area excludes non-managed unconsolidated joint ventures, vacant space, space held for development, space under active development, Powered Base Building, colocation, and non-technical space.</w:t>
      </w:r>
    </w:p>
    <w:p>
      <w:pPr>
        <w:spacing w:after="0" w:line="1" w:lineRule="exact"/>
        <w:rPr>
          <w:rFonts w:ascii="Times New Roman" w:cs="Times New Roman" w:eastAsia="Times New Roman" w:hAnsi="Times New Roman"/>
          <w:sz w:val="13"/>
          <w:szCs w:val="13"/>
          <w:color w:val="auto"/>
        </w:rPr>
      </w:pPr>
    </w:p>
    <w:p>
      <w:pPr>
        <w:ind w:left="500" w:right="739" w:hanging="228"/>
        <w:spacing w:after="0" w:line="247" w:lineRule="auto"/>
        <w:tabs>
          <w:tab w:leader="none" w:pos="5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unconsolidated joint ventures, vacant space, space held for development, space under active development, and non-technical space. Water use is predominantly driven by shared cooling infrastructure, common areas, and exterior landscape irrigation and is not separately metered.</w:t>
      </w:r>
    </w:p>
    <w:p>
      <w:pPr>
        <w:spacing w:after="0" w:line="133" w:lineRule="exact"/>
        <w:rPr>
          <w:rFonts w:ascii="Times New Roman" w:cs="Times New Roman" w:eastAsia="Times New Roman" w:hAnsi="Times New Roman"/>
          <w:sz w:val="13"/>
          <w:szCs w:val="13"/>
          <w:color w:val="auto"/>
        </w:rPr>
      </w:pPr>
    </w:p>
    <w:p>
      <w:pPr>
        <w:ind w:left="780" w:hanging="223"/>
        <w:spacing w:after="0"/>
        <w:tabs>
          <w:tab w:leader="none" w:pos="780"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Approach to measuring, incentivizing and improving sustainability impacts of tenants</w:t>
      </w:r>
    </w:p>
    <w:p>
      <w:pPr>
        <w:spacing w:after="0" w:line="156" w:lineRule="exact"/>
        <w:rPr>
          <w:sz w:val="20"/>
          <w:szCs w:val="20"/>
          <w:color w:val="auto"/>
        </w:rPr>
      </w:pPr>
    </w:p>
    <w:p>
      <w:pPr>
        <w:ind w:left="20" w:right="379" w:firstLine="228"/>
        <w:spacing w:after="0" w:line="287" w:lineRule="auto"/>
        <w:rPr>
          <w:sz w:val="20"/>
          <w:szCs w:val="20"/>
          <w:color w:val="auto"/>
        </w:rPr>
      </w:pPr>
      <w:r>
        <w:rPr>
          <w:rFonts w:ascii="Times New Roman" w:cs="Times New Roman" w:eastAsia="Times New Roman" w:hAnsi="Times New Roman"/>
          <w:sz w:val="12"/>
          <w:szCs w:val="12"/>
          <w:color w:val="auto"/>
        </w:rPr>
        <w:t>We seek to incorporate “green lease” language into agreements with new customers where energy is separately metered, and we endeavor to incorporate green lease language into renewals. We launched our green lease program for applicable contract types to better align interests between landlord and tenants to incentivize energy and resource efficiency investments, share energy and water usage data, streamline renewable energy procurement and support sustainable building certifications.</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Climate Change Adaptation</w:t>
      </w:r>
    </w:p>
    <w:p>
      <w:pPr>
        <w:spacing w:after="0" w:line="154" w:lineRule="exact"/>
        <w:rPr>
          <w:sz w:val="20"/>
          <w:szCs w:val="20"/>
          <w:color w:val="auto"/>
        </w:rPr>
      </w:pPr>
    </w:p>
    <w:p>
      <w:pPr>
        <w:ind w:left="560"/>
        <w:spacing w:after="0"/>
        <w:tabs>
          <w:tab w:leader="none" w:pos="760" w:val="left"/>
        </w:tabs>
        <w:rPr>
          <w:sz w:val="20"/>
          <w:szCs w:val="20"/>
          <w:color w:val="auto"/>
        </w:rPr>
      </w:pPr>
      <w:r>
        <w:rPr>
          <w:rFonts w:ascii="Times New Roman" w:cs="Times New Roman" w:eastAsia="Times New Roman" w:hAnsi="Times New Roman"/>
          <w:sz w:val="13"/>
          <w:szCs w:val="13"/>
          <w:i w:val="1"/>
          <w:iCs w:val="1"/>
          <w:color w:val="auto"/>
        </w:rPr>
        <w:t>a)</w:t>
      </w:r>
      <w:r>
        <w:rPr>
          <w:sz w:val="20"/>
          <w:szCs w:val="20"/>
          <w:color w:val="auto"/>
        </w:rPr>
        <w:tab/>
      </w:r>
      <w:r>
        <w:rPr>
          <w:rFonts w:ascii="Times New Roman" w:cs="Times New Roman" w:eastAsia="Times New Roman" w:hAnsi="Times New Roman"/>
          <w:sz w:val="12"/>
          <w:szCs w:val="12"/>
          <w:i w:val="1"/>
          <w:iCs w:val="1"/>
          <w:color w:val="auto"/>
        </w:rPr>
        <w:t>Properties located in 100-Year Flood Zones</w:t>
      </w:r>
    </w:p>
    <w:p>
      <w:pPr>
        <w:spacing w:after="0" w:line="156" w:lineRule="exact"/>
        <w:rPr>
          <w:sz w:val="20"/>
          <w:szCs w:val="20"/>
          <w:color w:val="auto"/>
        </w:rPr>
      </w:pPr>
    </w:p>
    <w:p>
      <w:pPr>
        <w:ind w:left="20" w:right="39" w:firstLine="228"/>
        <w:spacing w:after="0" w:line="268" w:lineRule="auto"/>
        <w:rPr>
          <w:sz w:val="20"/>
          <w:szCs w:val="20"/>
          <w:color w:val="auto"/>
        </w:rPr>
      </w:pPr>
      <w:r>
        <w:rPr>
          <w:rFonts w:ascii="Times New Roman" w:cs="Times New Roman" w:eastAsia="Times New Roman" w:hAnsi="Times New Roman"/>
          <w:sz w:val="13"/>
          <w:szCs w:val="13"/>
          <w:color w:val="auto"/>
        </w:rPr>
        <w:t>Nine U.S. data centers totaling about 990,900 square feet are located in 100-year flood zones designated by the U.S. Federal Emergency Management Agency (“FEMA”) as special flood hazard areas (“SFHA”). No other non-U.S. sites are in 100-year flood zones or similar high hazard locations.</w:t>
      </w:r>
    </w:p>
    <w:p>
      <w:pPr>
        <w:spacing w:after="0" w:line="120" w:lineRule="exact"/>
        <w:rPr>
          <w:sz w:val="20"/>
          <w:szCs w:val="20"/>
          <w:color w:val="auto"/>
        </w:rPr>
      </w:pPr>
    </w:p>
    <w:p>
      <w:pPr>
        <w:ind w:left="780" w:hanging="223"/>
        <w:spacing w:after="0"/>
        <w:tabs>
          <w:tab w:leader="none" w:pos="7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Climate Change Risks and Mitigation Strategies</w:t>
      </w:r>
    </w:p>
    <w:p>
      <w:pPr>
        <w:spacing w:after="0" w:line="156" w:lineRule="exact"/>
        <w:rPr>
          <w:sz w:val="20"/>
          <w:szCs w:val="20"/>
          <w:color w:val="auto"/>
        </w:rPr>
      </w:pPr>
    </w:p>
    <w:p>
      <w:pPr>
        <w:ind w:left="20" w:right="99" w:firstLine="228"/>
        <w:spacing w:after="0" w:line="246" w:lineRule="auto"/>
        <w:rPr>
          <w:sz w:val="20"/>
          <w:szCs w:val="20"/>
          <w:color w:val="auto"/>
        </w:rPr>
      </w:pPr>
      <w:r>
        <w:rPr>
          <w:rFonts w:ascii="Times New Roman" w:cs="Times New Roman" w:eastAsia="Times New Roman" w:hAnsi="Times New Roman"/>
          <w:sz w:val="13"/>
          <w:szCs w:val="13"/>
          <w:color w:val="auto"/>
        </w:rPr>
        <w:t>We evaluate potential risks and opportunities as a result of climate change and have implemented strategies to mitigate risks and utilize opportunities. Climate change risks that we have identified include acute and chronic physical risks, as well as transition risks such as market, policy, reputational, and technology risks. Management of climate-related risks and opportunities is a company-wide priority, delivered through an interdisciplinary effort with contributions from our global operations team, risk management, environmental occupational health and safety, compliance, information security, physical security and other functions, with oversight by our Executive Leadership Team and governed by our Board of Directors. We manage potential risks first via our siting and design standards, then by implementing recommendations to proactively mitigate losses related to short-term acute weather events as well as long-term climate-related events. Climate resilience measures include maintaining appropriate levels of insurance for each asset, performing climate risk scenario analyses for a sample selection of our global portfolio, and implementing operational risk reduction measures at the site level. We continue to align our ESG Report with the recommendations of the Financial Stability Board’s Task Force on Climate-related Financial Disclosures (“TCFD”) to disclose specific climate-related financial risks and opportunities, mitigation strategies, and associated metrics and targets.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9" w:name="page20"/>
    <w:bookmarkEnd w:id="1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Competition</w:t>
      </w:r>
    </w:p>
    <w:p>
      <w:pPr>
        <w:spacing w:after="0" w:line="156" w:lineRule="exact"/>
        <w:rPr>
          <w:sz w:val="20"/>
          <w:szCs w:val="20"/>
          <w:color w:val="auto"/>
        </w:rPr>
      </w:pPr>
    </w:p>
    <w:p>
      <w:pPr>
        <w:ind w:left="20" w:right="59" w:firstLine="228"/>
        <w:spacing w:after="0" w:line="252" w:lineRule="auto"/>
        <w:rPr>
          <w:sz w:val="20"/>
          <w:szCs w:val="20"/>
          <w:color w:val="auto"/>
        </w:rPr>
      </w:pPr>
      <w:r>
        <w:rPr>
          <w:rFonts w:ascii="Times New Roman" w:cs="Times New Roman" w:eastAsia="Times New Roman" w:hAnsi="Times New Roman"/>
          <w:sz w:val="13"/>
          <w:szCs w:val="13"/>
          <w:color w:val="auto"/>
        </w:rPr>
        <w:t>We compete with numerous data center providers globally, many of whom own or operate properties similar to ours in some of the same metropolitan areas where our data centers are located, including Equinix, Inc. and NTT; CoreSite Realty Corporation, CyrusOne Inc., QTS Realty Trust, Inc., Switch, Inc. and various local developers in the U.S.; as well as Global Switch Holdings Limited and various regional operators in Europe, Asia, Latin America and Australia. See "We face significant competition, which may adversely affect the occupancy and rental rates of our data centers." in Item 1A. Risk Factors.</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Regulation</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General</w:t>
      </w:r>
    </w:p>
    <w:p>
      <w:pPr>
        <w:spacing w:after="0" w:line="156" w:lineRule="exact"/>
        <w:rPr>
          <w:sz w:val="20"/>
          <w:szCs w:val="20"/>
          <w:color w:val="auto"/>
        </w:rPr>
      </w:pPr>
    </w:p>
    <w:p>
      <w:pPr>
        <w:ind w:left="20" w:right="199" w:firstLine="228"/>
        <w:spacing w:after="0" w:line="268" w:lineRule="auto"/>
        <w:rPr>
          <w:sz w:val="20"/>
          <w:szCs w:val="20"/>
          <w:color w:val="auto"/>
        </w:rPr>
      </w:pPr>
      <w:r>
        <w:rPr>
          <w:rFonts w:ascii="Times New Roman" w:cs="Times New Roman" w:eastAsia="Times New Roman" w:hAnsi="Times New Roman"/>
          <w:sz w:val="13"/>
          <w:szCs w:val="13"/>
          <w:color w:val="auto"/>
        </w:rPr>
        <w:t>Our properties are subject to various laws, ordinances and regulations, including regulations relating to common areas. We believe each of our properties as of December 31, 2020 has the necessary permits and approvals to operate.</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Americans with Disabilities Act</w:t>
      </w:r>
    </w:p>
    <w:p>
      <w:pPr>
        <w:spacing w:after="0" w:line="156" w:lineRule="exact"/>
        <w:rPr>
          <w:sz w:val="20"/>
          <w:szCs w:val="20"/>
          <w:color w:val="auto"/>
        </w:rPr>
      </w:pPr>
    </w:p>
    <w:p>
      <w:pPr>
        <w:ind w:left="20" w:right="119" w:firstLine="228"/>
        <w:spacing w:after="0" w:line="248" w:lineRule="auto"/>
        <w:rPr>
          <w:sz w:val="20"/>
          <w:szCs w:val="20"/>
          <w:color w:val="auto"/>
        </w:rPr>
      </w:pPr>
      <w:r>
        <w:rPr>
          <w:rFonts w:ascii="Times New Roman" w:cs="Times New Roman" w:eastAsia="Times New Roman" w:hAnsi="Times New Roman"/>
          <w:sz w:val="13"/>
          <w:szCs w:val="13"/>
          <w:color w:val="auto"/>
        </w:rPr>
        <w:t>Our properties must comply with Title III of the Americans with Disabilities Act of 1990, or the ADA, to the extent that such properties are “public accommodations” as defined by the ADA. We believe our properties are in substantial compliance with the ADA and that we will not be required to make substantial capital expenditures to address the requirements of the ADA. However, non-compliance with the ADA could result in imposition of fines or an award of damages to private litigants. The obligation to make accommodations in accordance with the ADA, as well as other applicable laws and regulations is an ongoing one, and we will continue to assess our properties and make alterations as appropriate in this respect. See “We may incur significant costs complying with applicable laws and governmental regulations, including the Americans with Disabilities Act.” in Item 1A. Risk Factors.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Environmental Matters</w:t>
      </w:r>
    </w:p>
    <w:p>
      <w:pPr>
        <w:spacing w:after="0" w:line="156" w:lineRule="exact"/>
        <w:rPr>
          <w:sz w:val="20"/>
          <w:szCs w:val="20"/>
          <w:color w:val="auto"/>
        </w:rPr>
      </w:pPr>
    </w:p>
    <w:p>
      <w:pPr>
        <w:ind w:left="20" w:right="299" w:firstLine="228"/>
        <w:spacing w:after="0" w:line="249" w:lineRule="auto"/>
        <w:rPr>
          <w:sz w:val="20"/>
          <w:szCs w:val="20"/>
          <w:color w:val="auto"/>
        </w:rPr>
      </w:pPr>
      <w:r>
        <w:rPr>
          <w:rFonts w:ascii="Times New Roman" w:cs="Times New Roman" w:eastAsia="Times New Roman" w:hAnsi="Times New Roman"/>
          <w:sz w:val="13"/>
          <w:szCs w:val="13"/>
          <w:color w:val="auto"/>
        </w:rPr>
        <w:t>We are exposed to various environmental risks that may result in unanticipated losses and could affect our operating results and financial condition. Either the previous owners or we have conducted environmental reviews on a majority of the properties we have acquired, including land. While some of these assessments have led to further investigation and sampling, none of the environmental assessments have revealed an environmental liability that we believe would have a material adverse effect on our business, financial condition or results of operations. See "We could incur significant costs related to environmental matters, including from government regulation, private litigation, and existing conditions at some of our properties." in Item 1A. Risk Factors for further discussion.</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Insurance</w:t>
      </w:r>
    </w:p>
    <w:p>
      <w:pPr>
        <w:spacing w:after="0" w:line="156" w:lineRule="exact"/>
        <w:rPr>
          <w:sz w:val="20"/>
          <w:szCs w:val="20"/>
          <w:color w:val="auto"/>
        </w:rPr>
      </w:pPr>
    </w:p>
    <w:p>
      <w:pPr>
        <w:ind w:left="20" w:right="59" w:firstLine="228"/>
        <w:spacing w:after="0" w:line="248" w:lineRule="auto"/>
        <w:rPr>
          <w:sz w:val="20"/>
          <w:szCs w:val="20"/>
          <w:color w:val="auto"/>
        </w:rPr>
      </w:pPr>
      <w:r>
        <w:rPr>
          <w:rFonts w:ascii="Times New Roman" w:cs="Times New Roman" w:eastAsia="Times New Roman" w:hAnsi="Times New Roman"/>
          <w:sz w:val="13"/>
          <w:szCs w:val="13"/>
          <w:color w:val="auto"/>
        </w:rPr>
        <w:t>We carry commercial general liability, property, and business interruption insurance, including rental income loss coverage on all of the properties in our portfolio under a blanket program. We select policy specifications and insured limits which we believe to be appropriate given the relative risk of loss, the cost of coverage, and industry practice. We believe the properties in our portfolio are adequately insured. We do not carry insurance for generally uninsured exposures such as loss from war or nuclear reaction. In addition, we carry earthquake insurance on our properties in an amount and with deductibles we believe are commercially reasonable. We intend to partially fund the earthquake insurance deductibles through a captive insurance company we established. Certain of the properties in our portfolio are located in areas known to be seismically active. See “Potential losses may not be covered by insurance.” in Item 1A. Risk Factors.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0" w:name="page21"/>
    <w:bookmarkEnd w:id="2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Human Capital Resource Management</w:t>
      </w:r>
    </w:p>
    <w:p>
      <w:pPr>
        <w:spacing w:after="0" w:line="156" w:lineRule="exact"/>
        <w:rPr>
          <w:sz w:val="20"/>
          <w:szCs w:val="20"/>
          <w:color w:val="auto"/>
        </w:rPr>
      </w:pPr>
    </w:p>
    <w:p>
      <w:pPr>
        <w:ind w:left="20" w:right="359" w:firstLine="228"/>
        <w:spacing w:after="0" w:line="268" w:lineRule="auto"/>
        <w:rPr>
          <w:sz w:val="20"/>
          <w:szCs w:val="20"/>
          <w:color w:val="auto"/>
        </w:rPr>
      </w:pPr>
      <w:r>
        <w:rPr>
          <w:rFonts w:ascii="Times New Roman" w:cs="Times New Roman" w:eastAsia="Times New Roman" w:hAnsi="Times New Roman"/>
          <w:sz w:val="13"/>
          <w:szCs w:val="13"/>
          <w:color w:val="auto"/>
        </w:rPr>
        <w:t>As of December 31, 2020, we had 2,878 full-time employees. The geographic distribution of our global employee base as of December 31, 2020 is summarized in the following table.</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Region</w:t>
            </w: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0"/>
                <w:szCs w:val="10"/>
                <w:b w:val="1"/>
                <w:bCs w:val="1"/>
                <w:color w:val="auto"/>
              </w:rPr>
              <w:t>Number of Employees</w:t>
            </w:r>
          </w:p>
        </w:tc>
      </w:tr>
      <w:tr>
        <w:trPr>
          <w:trHeight w:val="141"/>
        </w:trPr>
        <w:tc>
          <w:tcPr>
            <w:tcW w:w="73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North America</w:t>
            </w:r>
          </w:p>
        </w:tc>
        <w:tc>
          <w:tcPr>
            <w:tcW w:w="2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1,317</w:t>
            </w:r>
          </w:p>
        </w:tc>
      </w:tr>
      <w:tr>
        <w:trPr>
          <w:trHeight w:val="152"/>
        </w:trPr>
        <w:tc>
          <w:tcPr>
            <w:tcW w:w="7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Europe</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1,426</w:t>
            </w:r>
          </w:p>
        </w:tc>
      </w:tr>
      <w:tr>
        <w:trPr>
          <w:trHeight w:val="152"/>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Asia Pacific</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r>
      <w:tr>
        <w:trPr>
          <w:trHeight w:val="150"/>
        </w:trPr>
        <w:tc>
          <w:tcPr>
            <w:tcW w:w="754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b w:val="1"/>
                <w:bCs w:val="1"/>
                <w:color w:val="auto"/>
              </w:rPr>
              <w:t>Total</w:t>
            </w:r>
          </w:p>
        </w:tc>
        <w:tc>
          <w:tcPr>
            <w:tcW w:w="14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2,878</w:t>
            </w:r>
          </w:p>
        </w:tc>
      </w:tr>
    </w:tbl>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Compensation, Benefits and Employee Wellbeing</w:t>
      </w:r>
    </w:p>
    <w:p>
      <w:pPr>
        <w:spacing w:after="0" w:line="156" w:lineRule="exact"/>
        <w:rPr>
          <w:sz w:val="20"/>
          <w:szCs w:val="20"/>
          <w:color w:val="auto"/>
        </w:rPr>
      </w:pPr>
    </w:p>
    <w:p>
      <w:pPr>
        <w:ind w:left="20" w:right="39" w:firstLine="228"/>
        <w:spacing w:after="0" w:line="252" w:lineRule="auto"/>
        <w:rPr>
          <w:sz w:val="20"/>
          <w:szCs w:val="20"/>
          <w:color w:val="auto"/>
        </w:rPr>
      </w:pPr>
      <w:r>
        <w:rPr>
          <w:rFonts w:ascii="Times New Roman" w:cs="Times New Roman" w:eastAsia="Times New Roman" w:hAnsi="Times New Roman"/>
          <w:sz w:val="13"/>
          <w:szCs w:val="13"/>
          <w:color w:val="auto"/>
        </w:rPr>
        <w:t>To attract and retain the best-qualified talent and to help our employees stay healthy, balance their work and personal lives, and meet their financial and retirement goals, we offer competitive benefits, including market-competitive compensation, healthcare, flexible vacation, parental leave, 401(k) company match, an employee stock purchase plan, fitness reimbursement program, commuter benefits, tuition reimbursement, employee skills development and leadership development. Employee surveys are conducted annually to solicit feedback and to help prioritize and improve employee engagement.</w:t>
      </w:r>
    </w:p>
    <w:p>
      <w:pPr>
        <w:spacing w:after="0" w:line="132" w:lineRule="exact"/>
        <w:rPr>
          <w:sz w:val="20"/>
          <w:szCs w:val="20"/>
          <w:color w:val="auto"/>
        </w:rPr>
      </w:pPr>
    </w:p>
    <w:p>
      <w:pPr>
        <w:ind w:left="20" w:right="139" w:firstLine="228"/>
        <w:spacing w:after="0" w:line="287" w:lineRule="auto"/>
        <w:rPr>
          <w:sz w:val="20"/>
          <w:szCs w:val="20"/>
          <w:color w:val="auto"/>
        </w:rPr>
      </w:pPr>
      <w:r>
        <w:rPr>
          <w:rFonts w:ascii="Times New Roman" w:cs="Times New Roman" w:eastAsia="Times New Roman" w:hAnsi="Times New Roman"/>
          <w:sz w:val="12"/>
          <w:szCs w:val="12"/>
          <w:color w:val="1A1A1A"/>
        </w:rPr>
        <w:t>We also encourage our employees to give back to the community by matching their contributions to eligible charitable organizations through our Matching Gifts Program. Additionally, our Donate 8 Program grants paid time off each year to employees for the purpose of volunteering for eligible organizations. We also sponsor and support the Women’s Leadership Forum and the Veterans Employee Group, which promote a diverse and inclusive network to grow and deliver the next wave of digital innovation.</w:t>
      </w:r>
    </w:p>
    <w:p>
      <w:pPr>
        <w:spacing w:after="0" w:line="112" w:lineRule="exact"/>
        <w:rPr>
          <w:sz w:val="20"/>
          <w:szCs w:val="20"/>
          <w:color w:val="auto"/>
        </w:rPr>
      </w:pPr>
    </w:p>
    <w:p>
      <w:pPr>
        <w:ind w:left="20" w:right="59" w:firstLine="228"/>
        <w:spacing w:after="0" w:line="256" w:lineRule="auto"/>
        <w:rPr>
          <w:sz w:val="20"/>
          <w:szCs w:val="20"/>
          <w:color w:val="auto"/>
        </w:rPr>
      </w:pPr>
      <w:r>
        <w:rPr>
          <w:rFonts w:ascii="Times New Roman" w:cs="Times New Roman" w:eastAsia="Times New Roman" w:hAnsi="Times New Roman"/>
          <w:sz w:val="13"/>
          <w:szCs w:val="13"/>
          <w:color w:val="auto"/>
        </w:rPr>
        <w:t>We prioritize providing programs and benefits that promote healthy and productive lifestyles. We offer a company-wide wellness program, Wellness@Digital, that serves to invest in the health, fitness, financial wellness and overall quality of life for our employees. We implement wellness challenges that promote physical activity and an active lifestyle, with additional price incentivizes for winners of the challenges.</w:t>
      </w:r>
    </w:p>
    <w:p>
      <w:pPr>
        <w:spacing w:after="0" w:line="129" w:lineRule="exact"/>
        <w:rPr>
          <w:sz w:val="20"/>
          <w:szCs w:val="20"/>
          <w:color w:val="auto"/>
        </w:rPr>
      </w:pPr>
    </w:p>
    <w:p>
      <w:pPr>
        <w:ind w:left="20" w:right="79" w:firstLine="228"/>
        <w:spacing w:after="0" w:line="249" w:lineRule="auto"/>
        <w:rPr>
          <w:sz w:val="20"/>
          <w:szCs w:val="20"/>
          <w:color w:val="auto"/>
        </w:rPr>
      </w:pPr>
      <w:r>
        <w:rPr>
          <w:rFonts w:ascii="Times New Roman" w:cs="Times New Roman" w:eastAsia="Times New Roman" w:hAnsi="Times New Roman"/>
          <w:sz w:val="13"/>
          <w:szCs w:val="13"/>
          <w:color w:val="auto"/>
        </w:rPr>
        <w:t>During the COVID-19 pandemic, we augmented our mental-health offerings for employees through our company-provided Employee Assistance Program. In recognition of the unique challenges that we faced in 2020, all employees, other than our Senior Vice Presidents and more senior officers received a special bonus of $1,000. We also doubled our corporate match under our Matching Gifts Program. Additionally and amidst the pandemic globally and civil unrest in the U.S., we sought to play an active role in supporting the communities we operate in. This included a $1 million global philanthropic commitment to charitable organizations including The International Red Cross and Red Crescent Movement’s COVID-19 relief fund, and a gift to the Equal Justice Initiative.</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Diversity and Inclusion</w:t>
      </w:r>
    </w:p>
    <w:p>
      <w:pPr>
        <w:spacing w:after="0" w:line="156" w:lineRule="exact"/>
        <w:rPr>
          <w:sz w:val="20"/>
          <w:szCs w:val="20"/>
          <w:color w:val="auto"/>
        </w:rPr>
      </w:pPr>
    </w:p>
    <w:p>
      <w:pPr>
        <w:ind w:left="20" w:right="59" w:firstLine="228"/>
        <w:spacing w:after="0" w:line="271" w:lineRule="auto"/>
        <w:rPr>
          <w:sz w:val="20"/>
          <w:szCs w:val="20"/>
          <w:color w:val="auto"/>
        </w:rPr>
      </w:pPr>
      <w:r>
        <w:rPr>
          <w:rFonts w:ascii="Times New Roman" w:cs="Times New Roman" w:eastAsia="Times New Roman" w:hAnsi="Times New Roman"/>
          <w:sz w:val="12"/>
          <w:szCs w:val="12"/>
          <w:color w:val="auto"/>
        </w:rPr>
        <w:t>It is our Company’s policy to recruit talent based on skill, knowledge, attitude and experience, without discrimination on the basis of gender, sexual orientation, age, family status, ethnic origin, nationality, disability or religious belief. In 2020, we formally launched our DEI Employee Leadership Council to assess the current state of our diversity, equity and inclusion (“DEI”) initiatives beyond the Women’s Leadership Forum and Veteran’s employee resource groups. The Council will identify future opportunities for progress, formulate a cohesive strategy, and ultimately lead our global DEI effort. The DEI Council is led by employees spanning various management levels and global regions with program support from our executive management team. Additionally, our Chief Executive Officer A. William Stein has signed the CEO Action Pledge for Diversity &amp; Inclusion, the largest CEO-driven business commitment to advance diversity and inclusion in the workplace. Mr. Stein is Co-Chair of Nareit’s Dividends through Diversity, Equity &amp; Inclusion CEO Council, seeking to advance diversity and inclusion throughout our industry. We disclose our DEI strategy and initiatives annually in our ESG Report.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1" w:name="page22"/>
    <w:bookmarkEnd w:id="2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COVID-19 Health and Safety</w:t>
      </w:r>
    </w:p>
    <w:p>
      <w:pPr>
        <w:spacing w:after="0" w:line="156" w:lineRule="exact"/>
        <w:rPr>
          <w:sz w:val="20"/>
          <w:szCs w:val="20"/>
          <w:color w:val="auto"/>
        </w:rPr>
      </w:pPr>
    </w:p>
    <w:p>
      <w:pPr>
        <w:ind w:left="20" w:right="39" w:firstLine="228"/>
        <w:spacing w:after="0" w:line="246" w:lineRule="auto"/>
        <w:rPr>
          <w:sz w:val="20"/>
          <w:szCs w:val="20"/>
          <w:color w:val="auto"/>
        </w:rPr>
      </w:pPr>
      <w:r>
        <w:rPr>
          <w:rFonts w:ascii="Times New Roman" w:cs="Times New Roman" w:eastAsia="Times New Roman" w:hAnsi="Times New Roman"/>
          <w:sz w:val="13"/>
          <w:szCs w:val="13"/>
          <w:color w:val="auto"/>
        </w:rPr>
        <w:t>As a result of the COVID-19 pandemic, we have put into place a number of health and safety measures to enable our operations teams to continue to work from our data centers and construction sites. We require social distancing in accordance with the Centers for Disease Control and Prevention (“CDC”) and local health agency guidelines, have made modifications to our facilities, including posting signage detailing health and safety protocols, engage in regular sanitation, and require all visitors and employees to wear facial coverings. We have also modified staffing levels to avoid potential cross contamination among teams, and have instituted customer, employee and visitor screening. Together with our operations teams, we have implemented innovative approaches to maintain our high standards of customer service, including virtual data center tours to ensure that activities typically accomplished on-site or in-person continued throughout periods of reduced travel. Our non-essential and corporate personnel adopted a work-from-home approach beginning in March 2020, which has continued past the end of the year without significant impacts to productivity. We expect our corporate offices to remain largely closed through at least mid-year 2021. Refer to the discussion in Item 7. Management’s Discussion and Analysis for further information related to the impact of the pandemic on our business.</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Available Information</w:t>
      </w:r>
    </w:p>
    <w:p>
      <w:pPr>
        <w:spacing w:after="0" w:line="156" w:lineRule="exact"/>
        <w:rPr>
          <w:sz w:val="20"/>
          <w:szCs w:val="20"/>
          <w:color w:val="auto"/>
        </w:rPr>
      </w:pPr>
    </w:p>
    <w:p>
      <w:pPr>
        <w:jc w:val="both"/>
        <w:ind w:left="20" w:right="139" w:firstLine="228"/>
        <w:spacing w:after="0" w:line="252" w:lineRule="auto"/>
        <w:rPr>
          <w:sz w:val="20"/>
          <w:szCs w:val="20"/>
          <w:color w:val="auto"/>
        </w:rPr>
      </w:pPr>
      <w:r>
        <w:rPr>
          <w:rFonts w:ascii="Times New Roman" w:cs="Times New Roman" w:eastAsia="Times New Roman" w:hAnsi="Times New Roman"/>
          <w:sz w:val="13"/>
          <w:szCs w:val="13"/>
          <w:color w:val="auto"/>
        </w:rPr>
        <w:t>All reports we file with the SEC are available free of charge via EDGAR through the SEC website at www.sec.gov. We will also provide copies of our Forms 8-K, Forms 10-K, Forms 10-Q, Proxy Statements and amendments to those documents at no charge to investors upon request and make electronic copies of such reports available through our website at www.digitalrealty.com as soon as reasonably practicable after filing such material with the SEC. The information found on, or otherwise accessible through, our website is not incorporated by reference into, nor does it form a part of, this report or any other document that we file with the SEC.</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Offices</w:t>
      </w:r>
    </w:p>
    <w:p>
      <w:pPr>
        <w:spacing w:after="0" w:line="156" w:lineRule="exact"/>
        <w:rPr>
          <w:sz w:val="20"/>
          <w:szCs w:val="20"/>
          <w:color w:val="auto"/>
        </w:rPr>
      </w:pPr>
    </w:p>
    <w:p>
      <w:pPr>
        <w:ind w:left="20" w:right="319" w:firstLine="228"/>
        <w:spacing w:after="0" w:line="268" w:lineRule="auto"/>
        <w:rPr>
          <w:sz w:val="20"/>
          <w:szCs w:val="20"/>
          <w:color w:val="auto"/>
        </w:rPr>
      </w:pPr>
      <w:r>
        <w:rPr>
          <w:rFonts w:ascii="Times New Roman" w:cs="Times New Roman" w:eastAsia="Times New Roman" w:hAnsi="Times New Roman"/>
          <w:sz w:val="13"/>
          <w:szCs w:val="13"/>
          <w:color w:val="auto"/>
        </w:rPr>
        <w:t>Our headquarters are located in Austin, Texas. We have regional U.S. offices in Boston, Chicago, Dallas, Los Angeles, New York, Northern Virginia, Phoenix and San Francisco and regional international offices in Amsterdam, Dublin, London, São Paulo, Singapore, Sydney, Tokyo and Hong Kong.</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Reports to Security Holders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Digital Realty Trust, Inc. is required to send an annual report to its securityholders and to our Operating Partnership’s unitholders.</w:t>
      </w:r>
    </w:p>
    <w:p>
      <w:pPr>
        <w:spacing w:after="0" w:line="152"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3"/>
          <w:szCs w:val="13"/>
          <w:b w:val="1"/>
          <w:bCs w:val="1"/>
          <w:color w:val="auto"/>
        </w:rPr>
        <w:t>ITEM 1A.</w:t>
      </w:r>
      <w:r>
        <w:rPr>
          <w:sz w:val="20"/>
          <w:szCs w:val="20"/>
          <w:color w:val="auto"/>
        </w:rPr>
        <w:tab/>
      </w:r>
      <w:r>
        <w:rPr>
          <w:rFonts w:ascii="Times New Roman" w:cs="Times New Roman" w:eastAsia="Times New Roman" w:hAnsi="Times New Roman"/>
          <w:sz w:val="12"/>
          <w:szCs w:val="12"/>
          <w:b w:val="1"/>
          <w:bCs w:val="1"/>
          <w:color w:val="auto"/>
        </w:rPr>
        <w:t>RISK FACTORS</w:t>
      </w:r>
    </w:p>
    <w:p>
      <w:pPr>
        <w:spacing w:after="0" w:line="156" w:lineRule="exact"/>
        <w:rPr>
          <w:sz w:val="20"/>
          <w:szCs w:val="20"/>
          <w:color w:val="auto"/>
        </w:rPr>
      </w:pPr>
    </w:p>
    <w:p>
      <w:pPr>
        <w:ind w:left="20" w:right="139" w:firstLine="228"/>
        <w:spacing w:after="0" w:line="249" w:lineRule="auto"/>
        <w:rPr>
          <w:sz w:val="20"/>
          <w:szCs w:val="20"/>
          <w:color w:val="auto"/>
        </w:rPr>
      </w:pPr>
      <w:r>
        <w:rPr>
          <w:rFonts w:ascii="Times New Roman" w:cs="Times New Roman" w:eastAsia="Times New Roman" w:hAnsi="Times New Roman"/>
          <w:sz w:val="13"/>
          <w:szCs w:val="13"/>
          <w:color w:val="auto"/>
        </w:rPr>
        <w:t>For purposes of this section, the term “stockholders” means the holders of shares of Digital Realty Trust, Inc.’s common stock and preferred stock. Set forth below are the risks that we believe are material to Digital Realty Trust, Inc.’s stockholders and Digital Realty Trust, L.P.’s unitholders. You should carefully consider the following factors in evaluating our Company, our properties and our business. The occurrence of any of the following risks might cause Digital Realty Trust, Inc.’s stockholders and Digital Realty Trust, L.P.’s unitholders to lose all or a part of their investment. Some statements in this report, including statements in the following risk factors, constitute forward-looking statements. Please refer to the section entitled “Forward-Looking Statements” starting on page 46.</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80" w:lineRule="exact"/>
        <w:rPr>
          <w:sz w:val="20"/>
          <w:szCs w:val="20"/>
          <w:color w:val="auto"/>
        </w:rPr>
      </w:pPr>
    </w:p>
    <w:p>
      <w:pPr>
        <w:ind w:left="20" w:right="119" w:firstLine="228"/>
        <w:spacing w:after="0" w:line="252" w:lineRule="auto"/>
        <w:rPr>
          <w:sz w:val="20"/>
          <w:szCs w:val="20"/>
          <w:color w:val="auto"/>
        </w:rPr>
      </w:pPr>
      <w:r>
        <w:rPr>
          <w:rFonts w:ascii="Times New Roman" w:cs="Times New Roman" w:eastAsia="Times New Roman" w:hAnsi="Times New Roman"/>
          <w:sz w:val="13"/>
          <w:szCs w:val="13"/>
          <w:color w:val="auto"/>
        </w:rPr>
        <w:t>Our business, operations and financial results are subject to various risks and uncertainties, including those described below, that could adversely affect our business, financial condition, results of operations, cash flows, and the trading price of our common stock and preferred stock. The following material factors, among others, could cause our actual results to differ materially from historical results and those expressed in forward-looking statements made by us or on our behalf in filings with the SEC, press releases, communications with investors and oral statements. The risks that</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2" w:name="page23"/>
    <w:bookmarkEnd w:id="2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159"/>
        <w:spacing w:after="0" w:line="268" w:lineRule="auto"/>
        <w:rPr>
          <w:sz w:val="20"/>
          <w:szCs w:val="20"/>
          <w:color w:val="auto"/>
        </w:rPr>
      </w:pPr>
      <w:r>
        <w:rPr>
          <w:rFonts w:ascii="Times New Roman" w:cs="Times New Roman" w:eastAsia="Times New Roman" w:hAnsi="Times New Roman"/>
          <w:sz w:val="13"/>
          <w:szCs w:val="13"/>
          <w:color w:val="auto"/>
        </w:rPr>
        <w:t>we describe in our public filings are not the only risks that we face. Additional risks and uncertainties not presently known to us, or that we currently consider immaterial, also may materially adversely affect our business, financial condition, and results of operations.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Risk Factors Summary</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following is a summary of the principal risks that could adversely affect our business, operations and financial results.</w:t>
      </w:r>
    </w:p>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Risk Related to Our Business and Operations</w:t>
      </w:r>
    </w:p>
    <w:p>
      <w:pPr>
        <w:spacing w:after="0" w:line="156" w:lineRule="exact"/>
        <w:rPr>
          <w:sz w:val="20"/>
          <w:szCs w:val="20"/>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 and operations, and our customers, suppliers and business partners may be adversely affected by epidemics, pandemics or other outbreaks.</w:t>
      </w:r>
    </w:p>
    <w:p>
      <w:pPr>
        <w:spacing w:after="0" w:line="15"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 depends upon the demand for data centers.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face significant competition, which may adversely affect the occupancy and rental rates of our data centers.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failure of our physical infrastructure or services could lead to significant costs and disruptions.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vulnerable to breaches, or unauthorized access to, or disruption of our physical and information security infrastructure and systems.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depend on significant customers, and many of our data centers are single-tenant properties or are currently occupied by single tenants.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attract, grow and retain a diverse and balanced customer base, including key magnet customers, could harm our business and operating results.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contracts with our customers could subject us to significant liability.</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of our customer agreements may include restrictions on the sale of our properties to certain third parties, which could have a material adverse effect on us.</w:t>
      </w:r>
    </w:p>
    <w:p>
      <w:pPr>
        <w:spacing w:after="0" w:line="13" w:lineRule="exact"/>
        <w:rPr>
          <w:rFonts w:ascii="Times New Roman" w:cs="Times New Roman" w:eastAsia="Times New Roman" w:hAnsi="Times New Roman"/>
          <w:sz w:val="12"/>
          <w:szCs w:val="12"/>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data centers may not be suitable for re-leasing without significant expenditures or renovations.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lease vacant or development space, renew leases, or re-lease space as leases expire.</w:t>
      </w:r>
    </w:p>
    <w:p>
      <w:pPr>
        <w:spacing w:after="0" w:line="2" w:lineRule="exact"/>
        <w:rPr>
          <w:rFonts w:ascii="Times New Roman" w:cs="Times New Roman" w:eastAsia="Times New Roman" w:hAnsi="Times New Roman"/>
          <w:sz w:val="13"/>
          <w:szCs w:val="13"/>
          <w:color w:val="auto"/>
        </w:rPr>
      </w:pPr>
    </w:p>
    <w:p>
      <w:pPr>
        <w:ind w:left="500" w:right="119" w:hanging="228"/>
        <w:spacing w:after="0" w:line="243" w:lineRule="auto"/>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Even if we have additional space available for lease at any one of our data centers, our ability to lease this space to existing or new customers could be constrained by our ability to provide sufficient electrical power.</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portfolio depends upon local economic conditions and is geographically concentrated in certain locations.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experience supply chain or procurement disruptions, or increased supply chain costs, which may lead to construction delays.</w:t>
      </w:r>
    </w:p>
    <w:p>
      <w:pPr>
        <w:spacing w:after="0" w:line="2" w:lineRule="exact"/>
        <w:rPr>
          <w:rFonts w:ascii="Times New Roman" w:cs="Times New Roman" w:eastAsia="Times New Roman" w:hAnsi="Times New Roman"/>
          <w:sz w:val="13"/>
          <w:szCs w:val="13"/>
          <w:color w:val="auto"/>
        </w:rPr>
      </w:pPr>
    </w:p>
    <w:p>
      <w:pPr>
        <w:ind w:left="500" w:right="359" w:hanging="228"/>
        <w:spacing w:after="0" w:line="243" w:lineRule="auto"/>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lease or sublease certain of our data center space from third parties and the ability to retain these leases or subleases could be a significant risk to our ongoing operations.</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not be able to adapt to changing technologies and customer requirements, and our data center infrastructure may become obsolete.</w:t>
      </w:r>
    </w:p>
    <w:p>
      <w:pPr>
        <w:spacing w:after="0" w:line="2" w:lineRule="exact"/>
        <w:rPr>
          <w:rFonts w:ascii="Times New Roman" w:cs="Times New Roman" w:eastAsia="Times New Roman" w:hAnsi="Times New Roman"/>
          <w:sz w:val="13"/>
          <w:szCs w:val="13"/>
          <w:color w:val="auto"/>
        </w:rPr>
      </w:pPr>
    </w:p>
    <w:p>
      <w:pPr>
        <w:ind w:left="500" w:right="219" w:hanging="228"/>
        <w:spacing w:after="0" w:line="243" w:lineRule="auto"/>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depend upon third-party suppliers for power, and we are vulnerable to service failures and to price increases by such suppliers and to volatility in the supply and price of power in the open market.</w:t>
      </w:r>
    </w:p>
    <w:p>
      <w:pPr>
        <w:spacing w:after="0" w:line="1" w:lineRule="exact"/>
        <w:rPr>
          <w:rFonts w:ascii="Times New Roman" w:cs="Times New Roman" w:eastAsia="Times New Roman" w:hAnsi="Times New Roman"/>
          <w:sz w:val="13"/>
          <w:szCs w:val="13"/>
          <w:color w:val="auto"/>
        </w:rPr>
      </w:pPr>
    </w:p>
    <w:p>
      <w:pPr>
        <w:ind w:left="500" w:right="79" w:hanging="228"/>
        <w:spacing w:after="0" w:line="243" w:lineRule="auto"/>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depend on third parties to provide network connectivity to the customers in our data centers and any delays or disruptions in connectivity may materially adversely affect our operating results and cash flow.</w:t>
      </w:r>
    </w:p>
    <w:p>
      <w:pPr>
        <w:spacing w:after="0" w:line="1" w:lineRule="exact"/>
        <w:rPr>
          <w:rFonts w:ascii="Times New Roman" w:cs="Times New Roman" w:eastAsia="Times New Roman" w:hAnsi="Times New Roman"/>
          <w:sz w:val="13"/>
          <w:szCs w:val="13"/>
          <w:color w:val="auto"/>
        </w:rPr>
      </w:pPr>
    </w:p>
    <w:p>
      <w:pPr>
        <w:ind w:left="500" w:right="139" w:hanging="228"/>
        <w:spacing w:after="0" w:line="243" w:lineRule="auto"/>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international activities, including acquisition, ownership and operation of data centers located outside of the United States, subject us to risks different than those we face in the United States and we may not be able to effectively manage our international business.</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United Kingdom’s withdrawal from the European Union may have a negative effect on global economic conditions, financial markets and our business.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recent acquisitions may not achieve the intended benefits or may disrupt our plans and operations.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subject to unknown or contingent liabilities related to our recent acquisitions, for which we may have no or limited recourse against the sellers.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identify, including sourcing off-market deal flow, and complete acquisitions on favorable terms or at all.</w:t>
      </w:r>
    </w:p>
    <w:p>
      <w:pPr>
        <w:spacing w:after="0" w:line="2" w:lineRule="exact"/>
        <w:rPr>
          <w:rFonts w:ascii="Times New Roman" w:cs="Times New Roman" w:eastAsia="Times New Roman" w:hAnsi="Times New Roman"/>
          <w:sz w:val="13"/>
          <w:szCs w:val="13"/>
          <w:color w:val="auto"/>
        </w:rPr>
      </w:pPr>
    </w:p>
    <w:p>
      <w:pPr>
        <w:ind w:left="500" w:right="359" w:hanging="228"/>
        <w:spacing w:after="0" w:line="243" w:lineRule="auto"/>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Joint venture (JV) investments could be adversely affected by our lack of sole decision-making authority, our reliance on our JV partners’ financial condition and disputes between us and our JV partners.</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Brazilian political and economic conditions could adversely affect our investment in the Ascenty joint venture.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3" w:name="page24"/>
    <w:bookmarkEnd w:id="2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500" w:right="139" w:hanging="228"/>
        <w:spacing w:after="0" w:line="254" w:lineRule="auto"/>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delays or unexpected costs in the development of our existing space and developable land and new properties acquired for development may delay and harm our growth prospects, future operating results and financial condition.</w:t>
      </w:r>
    </w:p>
    <w:p>
      <w:pPr>
        <w:ind w:left="500" w:right="39" w:hanging="228"/>
        <w:spacing w:after="0" w:line="243" w:lineRule="auto"/>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Discontinuation, reform or replacement of the London Interbank Offered Rate (LIBOR) and other benchmark rates, or uncertainty related to the potential for any of the foregoing, may adversely affect our business.</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substantial debt and face risks associated with the use of debt to fund our business activities, including refinancing and interest rate risks.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growth depends on external sources of capital which are outside of our control.</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Declining real estate valuations, impairment charges and illiquidity of real estate investments could adversely affect our earnings and financial condition.</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success depends on key personnel whose continued service is not guaranteed.</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have difficulty managing our growth.</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losses may not be covered by insurance.</w:t>
      </w:r>
    </w:p>
    <w:p>
      <w:pPr>
        <w:spacing w:after="0" w:line="2" w:lineRule="exact"/>
        <w:rPr>
          <w:rFonts w:ascii="Times New Roman" w:cs="Times New Roman" w:eastAsia="Times New Roman" w:hAnsi="Times New Roman"/>
          <w:sz w:val="13"/>
          <w:szCs w:val="13"/>
          <w:color w:val="auto"/>
        </w:rPr>
      </w:pPr>
    </w:p>
    <w:p>
      <w:pPr>
        <w:ind w:left="500" w:right="319" w:hanging="228"/>
        <w:spacing w:after="0" w:line="243" w:lineRule="auto"/>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could incur significant costs related to environmental matters, including from government regulation, private litigation, and existing conditions at some of our properties.</w:t>
      </w:r>
    </w:p>
    <w:p>
      <w:pPr>
        <w:spacing w:after="0" w:line="1" w:lineRule="exact"/>
        <w:rPr>
          <w:rFonts w:ascii="Times New Roman" w:cs="Times New Roman" w:eastAsia="Times New Roman" w:hAnsi="Times New Roman"/>
          <w:sz w:val="13"/>
          <w:szCs w:val="13"/>
          <w:color w:val="auto"/>
        </w:rPr>
      </w:pPr>
    </w:p>
    <w:p>
      <w:pPr>
        <w:ind w:left="500" w:right="99" w:hanging="228"/>
        <w:spacing w:after="0" w:line="243" w:lineRule="auto"/>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properties may contain or develop harmful mold or suffer from other air quality issues, which could lead to liability for adverse health effects and costs to remedy the problem.</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incur significant costs complying with applicable laws and governmental regulations, including the Americans with Disabilities Act.</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 could be adversely impacted if there are deficiencies in our disclosure controls and procedures or internal control over financial reporting.</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Risks Related to the Organizational Structure</w:t>
      </w:r>
    </w:p>
    <w:p>
      <w:pPr>
        <w:spacing w:after="0" w:line="17" w:lineRule="exact"/>
        <w:rPr>
          <w:sz w:val="20"/>
          <w:szCs w:val="20"/>
          <w:color w:val="auto"/>
        </w:rPr>
      </w:pPr>
    </w:p>
    <w:p>
      <w:pPr>
        <w:ind w:left="500" w:hanging="228"/>
        <w:spacing w:after="0"/>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Digital Realty Trust, Inc.’s duty to its stockholders may conflict with the interests of Digital Realty Trust, L.P.’s unitholders.</w:t>
      </w:r>
    </w:p>
    <w:p>
      <w:pPr>
        <w:spacing w:after="0" w:line="2" w:lineRule="exact"/>
        <w:rPr>
          <w:rFonts w:ascii="Times New Roman" w:cs="Times New Roman" w:eastAsia="Times New Roman" w:hAnsi="Times New Roman"/>
          <w:sz w:val="13"/>
          <w:szCs w:val="13"/>
          <w:color w:val="auto"/>
        </w:rPr>
      </w:pPr>
    </w:p>
    <w:p>
      <w:pPr>
        <w:ind w:left="500" w:right="59" w:hanging="228"/>
        <w:spacing w:after="0" w:line="243" w:lineRule="auto"/>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Digital Realty Trust, Inc.’s charter, Digital Realty Trust, L.P.’s partnership agreement and Maryland law contain provisions that may delay, defer or prevent a change of control transaction.</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Digital Realty Trust, Inc.’s rights and the rights of its stockholders to take action against its directors and officers are limited.</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Risks Related to Taxes and Digital Realty Trust, Inc.’s Status as a REIT</w:t>
      </w:r>
    </w:p>
    <w:p>
      <w:pPr>
        <w:spacing w:after="0" w:line="17" w:lineRule="exact"/>
        <w:rPr>
          <w:sz w:val="20"/>
          <w:szCs w:val="20"/>
          <w:color w:val="auto"/>
        </w:rPr>
      </w:pPr>
    </w:p>
    <w:p>
      <w:pPr>
        <w:ind w:left="500" w:right="299" w:hanging="228"/>
        <w:spacing w:after="0" w:line="243" w:lineRule="auto"/>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qualify as a REIT would have significant adverse consequences to Digital Realty Trust, Inc. and its stockholders and to Digital Realty Trust, L.P. and its unitholders.</w:t>
      </w:r>
    </w:p>
    <w:p>
      <w:pPr>
        <w:spacing w:after="0" w:line="1" w:lineRule="exact"/>
        <w:rPr>
          <w:rFonts w:ascii="Times New Roman" w:cs="Times New Roman" w:eastAsia="Times New Roman" w:hAnsi="Times New Roman"/>
          <w:sz w:val="13"/>
          <w:szCs w:val="13"/>
          <w:color w:val="auto"/>
        </w:rPr>
      </w:pPr>
    </w:p>
    <w:p>
      <w:pPr>
        <w:ind w:left="500" w:right="299" w:hanging="228"/>
        <w:spacing w:after="0" w:line="243" w:lineRule="auto"/>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certain circumstances, Digital Realty Trust, Inc. may be subject to federal and state taxes as a REIT, which would reduce its cash available for distribution to its stockholders.</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maintain Digital Realty Trust, Inc.’s REIT status, we may be forced to borrow funds during unfavorable market conditions.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Dividends payable by REITs do not qualify for the reduced tax rates available for some dividends.</w:t>
      </w:r>
    </w:p>
    <w:p>
      <w:pPr>
        <w:spacing w:after="0" w:line="2" w:lineRule="exact"/>
        <w:rPr>
          <w:rFonts w:ascii="Times New Roman" w:cs="Times New Roman" w:eastAsia="Times New Roman" w:hAnsi="Times New Roman"/>
          <w:sz w:val="13"/>
          <w:szCs w:val="13"/>
          <w:color w:val="auto"/>
        </w:rPr>
      </w:pPr>
    </w:p>
    <w:p>
      <w:pPr>
        <w:ind w:left="500" w:right="99" w:hanging="228"/>
        <w:spacing w:after="0" w:line="243" w:lineRule="auto"/>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 imposed on REITs engaging in “prohibited transactions” may limit our ability to engage in transactions which would be treated as sales for federal income tax purposes.</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Complying with REIT requirements may cause us to forgo otherwise attractive opportunities or liquidate otherwise attractive investments.</w:t>
      </w:r>
    </w:p>
    <w:p>
      <w:pPr>
        <w:spacing w:after="0" w:line="2" w:lineRule="exact"/>
        <w:rPr>
          <w:rFonts w:ascii="Times New Roman" w:cs="Times New Roman" w:eastAsia="Times New Roman" w:hAnsi="Times New Roman"/>
          <w:sz w:val="13"/>
          <w:szCs w:val="13"/>
          <w:color w:val="auto"/>
        </w:rPr>
      </w:pPr>
    </w:p>
    <w:p>
      <w:pPr>
        <w:ind w:left="500" w:right="359" w:hanging="228"/>
        <w:spacing w:after="0" w:line="243" w:lineRule="auto"/>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power of Digital Realty Trust, Inc.’s Board of Directors to revoke Digital Realty Trust, Inc.’s REIT election without stockholder approval may cause adverse consequences to Digital Realty Trust, Inc.’s stockholders and Digital Realty Trust, L.P.’s unitholders.</w:t>
      </w:r>
    </w:p>
    <w:p>
      <w:pPr>
        <w:spacing w:after="0" w:line="1" w:lineRule="exact"/>
        <w:rPr>
          <w:rFonts w:ascii="Times New Roman" w:cs="Times New Roman" w:eastAsia="Times New Roman" w:hAnsi="Times New Roman"/>
          <w:sz w:val="13"/>
          <w:szCs w:val="13"/>
          <w:color w:val="auto"/>
        </w:rPr>
      </w:pPr>
    </w:p>
    <w:p>
      <w:pPr>
        <w:ind w:left="500" w:right="99" w:hanging="228"/>
        <w:spacing w:after="0" w:line="243" w:lineRule="auto"/>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Digital Realty Trust L.P. were to fail to qualify as a partnership for federal income tax purposes, Digital Realty Trust, Inc. would fail to qualify as a REIT and suffer other adverse consequences.</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tax protection agreement may require the Operating Partnership to maintain certain debt levels that otherwise would not be required to operate our business.</w:t>
      </w:r>
    </w:p>
    <w:p>
      <w:pPr>
        <w:spacing w:after="0" w:line="2" w:lineRule="exact"/>
        <w:rPr>
          <w:rFonts w:ascii="Times New Roman" w:cs="Times New Roman" w:eastAsia="Times New Roman" w:hAnsi="Times New Roman"/>
          <w:sz w:val="13"/>
          <w:szCs w:val="13"/>
          <w:color w:val="auto"/>
        </w:rPr>
      </w:pPr>
    </w:p>
    <w:p>
      <w:pPr>
        <w:ind w:left="500" w:right="279" w:hanging="228"/>
        <w:spacing w:after="0" w:line="243" w:lineRule="auto"/>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U.S. or foreign tax laws and regulations, including changes to tax rates, legislation and other actions may adversely affect our results of operations, our stockholders, Digital Realty Trust, L.P.’s unitholders and us.</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liabilities and attributes inherited in connection with acquisitions may adversely impact our business.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4" w:name="page25"/>
    <w:bookmarkEnd w:id="2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Risks Related to Our Business and Operations</w:t>
      </w:r>
    </w:p>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Our business and operations, and our customers, suppliers and business partners may be adversely affected by epidemics, pandemics or other outbreaks.</w:t>
      </w:r>
    </w:p>
    <w:p>
      <w:pPr>
        <w:spacing w:after="0" w:line="80" w:lineRule="exact"/>
        <w:rPr>
          <w:sz w:val="20"/>
          <w:szCs w:val="20"/>
          <w:color w:val="auto"/>
        </w:rPr>
      </w:pPr>
    </w:p>
    <w:p>
      <w:pPr>
        <w:ind w:left="20" w:right="79" w:firstLine="228"/>
        <w:spacing w:after="0" w:line="269" w:lineRule="auto"/>
        <w:rPr>
          <w:sz w:val="20"/>
          <w:szCs w:val="20"/>
          <w:color w:val="auto"/>
        </w:rPr>
      </w:pPr>
      <w:r>
        <w:rPr>
          <w:rFonts w:ascii="Times New Roman" w:cs="Times New Roman" w:eastAsia="Times New Roman" w:hAnsi="Times New Roman"/>
          <w:sz w:val="12"/>
          <w:szCs w:val="12"/>
          <w:color w:val="auto"/>
        </w:rPr>
        <w:t>Epidemics, pandemics or other outbreaks of an illness, disease or virus that affect countries or regions in which we or our customers, suppliers or business partners operate, and actions taken to contain or prevent their further spread, may have a material and adverse impact on general commercial activity and on our financial condition, results of operations, liquidity and creditworthiness. Epidemics, pandemics or other outbreaks of an illness, disease or virus could result in significant governmental measures being implemented to control the spread of such illness, disease or virus, including quarantines, travel restrictions, manufacturing restrictions, declarations of states of emergency, business shutdowns, prioritization and allocation of resources, and restrictions on the movement of our employees and those of our customers, suppliers and business partners on which we rely, which could adversely affect our ability and their respective abilities to adequately manage our respective businesses. Risks related to epidemics, pandemics or other outbreaks of an illness, disease or virus could also lead to the complete or partial closure of one or more of our offices or properties or our customers’, suppliers’ or business partners’ businesses, or otherwise result in significant disruptions to our business and operations or theirs. Such events could materially and adversely impact our operations and the rental revenue we generate from our agreements with our customers or could result in defaults by our customers.</w:t>
      </w:r>
    </w:p>
    <w:p>
      <w:pPr>
        <w:spacing w:after="0" w:line="51" w:lineRule="exact"/>
        <w:rPr>
          <w:sz w:val="20"/>
          <w:szCs w:val="20"/>
          <w:color w:val="auto"/>
        </w:rPr>
      </w:pPr>
    </w:p>
    <w:p>
      <w:pPr>
        <w:ind w:left="20" w:right="79" w:firstLine="228"/>
        <w:spacing w:after="0" w:line="245" w:lineRule="auto"/>
        <w:rPr>
          <w:sz w:val="20"/>
          <w:szCs w:val="20"/>
          <w:color w:val="auto"/>
        </w:rPr>
      </w:pPr>
      <w:r>
        <w:rPr>
          <w:rFonts w:ascii="Times New Roman" w:cs="Times New Roman" w:eastAsia="Times New Roman" w:hAnsi="Times New Roman"/>
          <w:sz w:val="13"/>
          <w:szCs w:val="13"/>
          <w:color w:val="auto"/>
        </w:rPr>
        <w:t>As with COVID-19, we may institute policies requiring employees to work remotely in certain cases and such policies may remain in place for an indeterminate amount of time or may be made mandatory by relevant government authorities. There can be no assurance that remote working arrangements will be as effective as an office environment. Moreover, pandemics or outbreaks of an illness, disease or virus could disrupt our supply chain and development activities, which could impact our ability to meet delivery timelines, including delivery timelines to our customers, and lead to delays, potential penalties that we may be required to pay and potential terminations of agreements by our customers. If any such delay or disruption were to occur, it could have a material adverse effect on our liquidity and financial condition. In addition, risks related to epidemics, pandemics or other outbreaks of an illness, disease or virus may adversely affect the economies in impacted countries, including in locations where we operate, and the global financial markets, including the global debt and equity capital markets, may experience significant volatility, potentially leading to an economic downturn that could adversely affect our and our customers’, suppliers’ and business partners’ respective businesses, financial condition, liquidity, results of operations and prospects. We have in the past and expect in the future to rely on the availability of debt and equity capital to grow our business; however, there can be no assurance that such capital will be available to us going forward on acceptable terms or at all. The ultimate extent of the impact of any epidemic, pandemic or other outbreak of an illness, disease or virus on our business, financial condition, liquidity, results of operations and prospects will depend on future developments, which are highly uncertain and cannot be predicted, including new information that may emerge concerning the severity of such epidemics, pandemics or other outbreaks of an illness, disease or virus and actions taken to contain or prevent their further spread, among others. These and other potential impacts of epidemics, pandemics or other outbreaks of an illness, disease or virus could therefore materially and adversely affect our business, financial condition, liquidity, results of operations and prospects.</w:t>
      </w:r>
    </w:p>
    <w:p>
      <w:pPr>
        <w:spacing w:after="0" w:line="66" w:lineRule="exact"/>
        <w:rPr>
          <w:sz w:val="20"/>
          <w:szCs w:val="20"/>
          <w:color w:val="auto"/>
        </w:rPr>
      </w:pPr>
    </w:p>
    <w:p>
      <w:pPr>
        <w:ind w:left="20" w:right="139" w:firstLine="228"/>
        <w:spacing w:after="0" w:line="247" w:lineRule="auto"/>
        <w:rPr>
          <w:sz w:val="20"/>
          <w:szCs w:val="20"/>
          <w:color w:val="auto"/>
        </w:rPr>
      </w:pPr>
      <w:r>
        <w:rPr>
          <w:rFonts w:ascii="Times New Roman" w:cs="Times New Roman" w:eastAsia="Times New Roman" w:hAnsi="Times New Roman"/>
          <w:sz w:val="13"/>
          <w:szCs w:val="13"/>
          <w:color w:val="auto"/>
        </w:rPr>
        <w:t>In particular, the global spread of COVID-19 and the various attempts to contain it have created significant volatility, uncertainty and economic disruption. The global impact of the outbreak has been rapidly evolving and federal and local governments, including in locations where we operate, have responded by instituting quarantines, restrictions on travel, “shelter in place” rules, restrictions on the types of business that may continue to operate, and restrictions on various construction projects. In response to government mandates, health care advisories and otherwise responding to employee and vendor concerns, we have altered certain aspects of our operations. Our workforce, excluding our critical data center employees, is working from home, which may impact their productivity. We have also experienced delays in construction activity in a few of our markets due to government restrictions in specific locations and as a result of availability of labor and these delays are impacting some of our anticipated deliveries to our customers. We may continue to experience delays in construction activity, even after these restrictions are eased or lifted, due to increased safety protocols implemented in response to the COVID-19 pandemic.</w:t>
      </w:r>
    </w:p>
    <w:p>
      <w:pPr>
        <w:spacing w:after="0" w:line="60" w:lineRule="exact"/>
        <w:rPr>
          <w:sz w:val="20"/>
          <w:szCs w:val="20"/>
          <w:color w:val="auto"/>
        </w:rPr>
      </w:pPr>
    </w:p>
    <w:p>
      <w:pPr>
        <w:ind w:left="20" w:right="219" w:firstLine="228"/>
        <w:spacing w:after="0" w:line="256" w:lineRule="auto"/>
        <w:rPr>
          <w:sz w:val="20"/>
          <w:szCs w:val="20"/>
          <w:color w:val="auto"/>
        </w:rPr>
      </w:pPr>
      <w:r>
        <w:rPr>
          <w:rFonts w:ascii="Times New Roman" w:cs="Times New Roman" w:eastAsia="Times New Roman" w:hAnsi="Times New Roman"/>
          <w:sz w:val="13"/>
          <w:szCs w:val="13"/>
          <w:color w:val="auto"/>
        </w:rPr>
        <w:t>In addition, we cannot predict the impact that COVID-19 will have on our customers, suppliers and other business partners; however, any material effect on these parties could adversely impact us. We have received requests for rent relief related to COVID-19, most often in the form of rent deferral requests or requests for further discussion, from</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5" w:name="page26"/>
    <w:bookmarkEnd w:id="2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159"/>
        <w:spacing w:after="0" w:line="256" w:lineRule="auto"/>
        <w:rPr>
          <w:sz w:val="20"/>
          <w:szCs w:val="20"/>
          <w:color w:val="auto"/>
        </w:rPr>
      </w:pPr>
      <w:r>
        <w:rPr>
          <w:rFonts w:ascii="Times New Roman" w:cs="Times New Roman" w:eastAsia="Times New Roman" w:hAnsi="Times New Roman"/>
          <w:sz w:val="13"/>
          <w:szCs w:val="13"/>
          <w:color w:val="auto"/>
        </w:rPr>
        <w:t>customers representing approximately 3% of annualized base rent. We are evaluating each customer rent relief request on an individual basis, considering a number of factors. While we did not have any material adjustments to amounts as of and during the year ended December 31, 2020, circumstances related to the COVID-19 pandemic could potentially result in recording impairments, lease modifications and credit losses in future periods.</w:t>
      </w:r>
    </w:p>
    <w:p>
      <w:pPr>
        <w:spacing w:after="0" w:line="53" w:lineRule="exact"/>
        <w:rPr>
          <w:sz w:val="20"/>
          <w:szCs w:val="20"/>
          <w:color w:val="auto"/>
        </w:rPr>
      </w:pPr>
    </w:p>
    <w:p>
      <w:pPr>
        <w:ind w:left="20" w:right="79" w:firstLine="228"/>
        <w:spacing w:after="0" w:line="247" w:lineRule="auto"/>
        <w:rPr>
          <w:sz w:val="20"/>
          <w:szCs w:val="20"/>
          <w:color w:val="auto"/>
        </w:rPr>
      </w:pPr>
      <w:r>
        <w:rPr>
          <w:rFonts w:ascii="Times New Roman" w:cs="Times New Roman" w:eastAsia="Times New Roman" w:hAnsi="Times New Roman"/>
          <w:sz w:val="13"/>
          <w:szCs w:val="13"/>
          <w:color w:val="auto"/>
        </w:rPr>
        <w:t>While we did not experience significant disruptions from the COVID-19 pandemic during the year ended December 31, 2020 nor as of the date of this report, we cannot predict what impact the COVID-19 pandemic may have on our future financial condition, results of operations and cash flows due to numerous uncertainties. The full extent to which the COVID-19 pandemic and the various responses to it impacts our business, operations and financial results will depend on numerous evolving factors that we may not be able to accurately predict, including: the duration and scope of the pandemic; governmental, business and individuals’ actions that have been and continue to be taken in response to the pandemic; the availability of and cost to access the capital markets; the effect on our customers and customer demand for and ability to pay for our services; the impact on our development projects; and disruptions or restrictions on our employees’ ability to work and travel. Furthermore, we cannot predict whether additional restrictions will be implemented or how long they will be in effect. Although some governments have begun to ease or lift these restrictions, the impacts from the severe disruptions caused by the effective shutdown of large segments of the global economy remain unknown.</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Our business depends upon the demand for data centers.</w:t>
      </w:r>
    </w:p>
    <w:p>
      <w:pPr>
        <w:spacing w:after="0" w:line="80" w:lineRule="exact"/>
        <w:rPr>
          <w:sz w:val="20"/>
          <w:szCs w:val="20"/>
          <w:color w:val="auto"/>
        </w:rPr>
      </w:pPr>
    </w:p>
    <w:p>
      <w:pPr>
        <w:ind w:left="20" w:right="119" w:firstLine="228"/>
        <w:spacing w:after="0" w:line="268" w:lineRule="auto"/>
        <w:rPr>
          <w:sz w:val="20"/>
          <w:szCs w:val="20"/>
          <w:color w:val="auto"/>
        </w:rPr>
      </w:pPr>
      <w:r>
        <w:rPr>
          <w:rFonts w:ascii="Times New Roman" w:cs="Times New Roman" w:eastAsia="Times New Roman" w:hAnsi="Times New Roman"/>
          <w:sz w:val="12"/>
          <w:szCs w:val="12"/>
          <w:color w:val="auto"/>
        </w:rPr>
        <w:t>We are in the business of owning, acquiring, developing and operating data centers. A reduction in the demand for data center space, power or connectivity would have a greater adverse effect on our business and financial condition than if we owned a portfolio with a less specialized use. Our substantial development activities make us particularly susceptible to general economic slowdowns as well as adverse developments in the data center, Internet and data communications and broader technology industries. Any such slowdown or adverse development could lead to reduced corporate IT spending or reduced demand for data center space. Reduced demand could also result from business relocations, including to metropolitan areas that we do not currently serve. Changes in industry practice or in technology could also reduce demand for the physical data center space we provide. In addition, our customers may choose to develop new data centers or expand their own existing data centers or consolidate into data centers that we do not own or operate, which could reduce demand for our newly developed data centers or result in the loss of one or more key customers. If any of our key customers were to do so, it could result in a loss of business to us or put pressure on our pricing. Mergers or consolidations of technology companies could reduce further the number of our customers and potential customers and make us more dependent on a more limited number of customers. If our customers merge with or are acquired by other entities that are not our customers, they may discontinue or reduce the use of our data centers in the future. Our financial condition, results of operations, cash flow, cash available for distribution and ability to satisfy our debt service obligations could be materially adversely affected as a result of any or all of these factors.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We face significant competition, which may adversely affect the occupancy and rental rates of our data centers.</w:t>
      </w:r>
    </w:p>
    <w:p>
      <w:pPr>
        <w:spacing w:after="0" w:line="80" w:lineRule="exact"/>
        <w:rPr>
          <w:sz w:val="20"/>
          <w:szCs w:val="20"/>
          <w:color w:val="auto"/>
        </w:rPr>
      </w:pPr>
    </w:p>
    <w:p>
      <w:pPr>
        <w:ind w:left="20" w:right="39" w:firstLine="228"/>
        <w:spacing w:after="0" w:line="273" w:lineRule="auto"/>
        <w:rPr>
          <w:sz w:val="20"/>
          <w:szCs w:val="20"/>
          <w:color w:val="auto"/>
        </w:rPr>
      </w:pPr>
      <w:r>
        <w:rPr>
          <w:rFonts w:ascii="Times New Roman" w:cs="Times New Roman" w:eastAsia="Times New Roman" w:hAnsi="Times New Roman"/>
          <w:sz w:val="12"/>
          <w:szCs w:val="12"/>
          <w:color w:val="auto"/>
        </w:rPr>
        <w:t>We compete with numerous data center providers globally, many of whom own or operate properties similar to ours in some of the same metropolitan areas where our data centers are located, including Equinix, Inc. and NTT; CoreSite Realty Corporation, CyrusOne Inc., QTS Realty Trust, Inc., Switch, Inc. and various local developers in the U.S.; as well as Global Switch Holdings Limited and various regional operators in Europe, Asia, Latin America and Australia. In addition, we may in the future face competition from new entrants into the data center market, including new entrants who may acquire our current competitors. Some of our competitors and potential competitors have significant advantages over us, including greater name recognition, longer operating histories, pre-existing relationships with current or potential customers, significantly greater financial, marketing and other resources and more ready access to capital which allow them to respond more quickly to new or changing opportunities.</w:t>
      </w:r>
    </w:p>
    <w:p>
      <w:pPr>
        <w:spacing w:after="0" w:line="45" w:lineRule="exact"/>
        <w:rPr>
          <w:sz w:val="20"/>
          <w:szCs w:val="20"/>
          <w:color w:val="auto"/>
        </w:rPr>
      </w:pPr>
    </w:p>
    <w:p>
      <w:pPr>
        <w:ind w:left="20" w:right="179" w:firstLine="228"/>
        <w:spacing w:after="0" w:line="249" w:lineRule="auto"/>
        <w:rPr>
          <w:sz w:val="20"/>
          <w:szCs w:val="20"/>
          <w:color w:val="auto"/>
        </w:rPr>
      </w:pPr>
      <w:r>
        <w:rPr>
          <w:rFonts w:ascii="Times New Roman" w:cs="Times New Roman" w:eastAsia="Times New Roman" w:hAnsi="Times New Roman"/>
          <w:sz w:val="13"/>
          <w:szCs w:val="13"/>
          <w:color w:val="auto"/>
        </w:rPr>
        <w:t>If our competitors offer space that our customers or potential customers perceive to be superior to ours based on factors such as available power, security, location, or connectivity, or if they offer rental rates below current market rates, or below the rental rates we are offering, we may lose customers or potential customers or be required to incur costs to improve our data centers or reduce our rental rates. In addition, recently many of our competitors have developed and continue to develop additional data center space. If the supply of data center space continues to increase as a result of these activities or otherwise, rental rates may be reduced or we may face delays in leasing or be unable to</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6" w:name="page27"/>
    <w:bookmarkEnd w:id="2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jc w:val="both"/>
        <w:ind w:left="20" w:right="99"/>
        <w:spacing w:after="0" w:line="256" w:lineRule="auto"/>
        <w:rPr>
          <w:sz w:val="20"/>
          <w:szCs w:val="20"/>
          <w:color w:val="auto"/>
        </w:rPr>
      </w:pPr>
      <w:r>
        <w:rPr>
          <w:rFonts w:ascii="Times New Roman" w:cs="Times New Roman" w:eastAsia="Times New Roman" w:hAnsi="Times New Roman"/>
          <w:sz w:val="13"/>
          <w:szCs w:val="13"/>
          <w:color w:val="auto"/>
        </w:rPr>
        <w:t>lease our vacant space, including space that we develop. Further, if customers or potential customers desire services that we do not offer, we may not be able to lease our space to those customers. Our financial condition, results of operations, cash flow, cash available for distribution and ability to satisfy our debt service obligations could be materially adversely affected as a result of any or all of these factors.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Any failure of our physical infrastructure or services could lead to significant costs and disruptions.</w:t>
      </w:r>
    </w:p>
    <w:p>
      <w:pPr>
        <w:spacing w:after="0" w:line="80" w:lineRule="exact"/>
        <w:rPr>
          <w:sz w:val="20"/>
          <w:szCs w:val="20"/>
          <w:color w:val="auto"/>
        </w:rPr>
      </w:pPr>
    </w:p>
    <w:p>
      <w:pPr>
        <w:ind w:left="20" w:right="239" w:firstLine="228"/>
        <w:spacing w:after="0" w:line="256" w:lineRule="auto"/>
        <w:rPr>
          <w:sz w:val="20"/>
          <w:szCs w:val="20"/>
          <w:color w:val="auto"/>
        </w:rPr>
      </w:pPr>
      <w:r>
        <w:rPr>
          <w:rFonts w:ascii="Times New Roman" w:cs="Times New Roman" w:eastAsia="Times New Roman" w:hAnsi="Times New Roman"/>
          <w:sz w:val="13"/>
          <w:szCs w:val="13"/>
          <w:color w:val="auto"/>
        </w:rPr>
        <w:t>Our business depends on providing customers with highly reliable services, including with respect to power supply, physical security and maintenance of environmental conditions. We may fail to provide such service as a result of numerous factors, including mechanical failure, power outage, human error, physical or electronic security breaches, war, terrorism, fire, earthquake, pandemics, hurricane, flood and other natural disasters, sabotage and vandalism.</w:t>
      </w:r>
    </w:p>
    <w:p>
      <w:pPr>
        <w:spacing w:after="0" w:line="53" w:lineRule="exact"/>
        <w:rPr>
          <w:sz w:val="20"/>
          <w:szCs w:val="20"/>
          <w:color w:val="auto"/>
        </w:rPr>
      </w:pPr>
    </w:p>
    <w:p>
      <w:pPr>
        <w:ind w:left="20" w:right="59" w:firstLine="228"/>
        <w:spacing w:after="0" w:line="247" w:lineRule="auto"/>
        <w:rPr>
          <w:sz w:val="20"/>
          <w:szCs w:val="20"/>
          <w:color w:val="auto"/>
        </w:rPr>
      </w:pPr>
      <w:r>
        <w:rPr>
          <w:rFonts w:ascii="Times New Roman" w:cs="Times New Roman" w:eastAsia="Times New Roman" w:hAnsi="Times New Roman"/>
          <w:sz w:val="13"/>
          <w:szCs w:val="13"/>
          <w:color w:val="auto"/>
        </w:rPr>
        <w:t>Problems at one or more of our data centers, whether or not within our control, could result in service interruptions or equipment damage. Substantially all of our customer agreements include terms requiring us to meet certain service level commitments to our customers. Any failure to meet these or other commitments or any equipment damage in our data centers, including as a result of mechanical failure, power outage, human error or other reasons, could subject us to liability under the terms of our customer agreements, including service level credits against customer rent payments, monetary damages, or, in certain cases of repeated failures, the right by the customer to terminate the agreement. Service interruptions, equipment failures or security breaches may also expose us to additional legal liability and monetary damages and damage our brand and reputation, and could cause our customers to terminate or not renew their agreements. In addition, we may be unable to attract new customers if we have a reputation for service disruptions, equipment failures or physical or electronic security breaches in our data centers. Any such failures could materially adversely affect our business, financial condition and results of operations.</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We may be vulnerable to breaches, or unauthorized access to, or disruption of our physical and information security infrastructure and systems.</w:t>
      </w:r>
    </w:p>
    <w:p>
      <w:pPr>
        <w:spacing w:after="0" w:line="80" w:lineRule="exact"/>
        <w:rPr>
          <w:sz w:val="20"/>
          <w:szCs w:val="20"/>
          <w:color w:val="auto"/>
        </w:rPr>
      </w:pPr>
    </w:p>
    <w:p>
      <w:pPr>
        <w:ind w:left="20" w:right="79" w:firstLine="228"/>
        <w:spacing w:after="0" w:line="270" w:lineRule="auto"/>
        <w:rPr>
          <w:sz w:val="20"/>
          <w:szCs w:val="20"/>
          <w:color w:val="auto"/>
        </w:rPr>
      </w:pPr>
      <w:r>
        <w:rPr>
          <w:rFonts w:ascii="Times New Roman" w:cs="Times New Roman" w:eastAsia="Times New Roman" w:hAnsi="Times New Roman"/>
          <w:sz w:val="12"/>
          <w:szCs w:val="12"/>
          <w:color w:val="auto"/>
        </w:rPr>
        <w:t>Security breaches, or disruption, of our or our customers’ physical or information technology infrastructure, networks and related management systems could result in, among other things, unauthorized access to our facilities, a breach of our and our customers’ networks and information technology infrastructure, the misappropriation of our or our customers’ or their customers’ proprietary or confidential information, interruptions or malfunctions in our or our customers’ operations, delays or interruptions to our ability to meet customer needs, breach of our legal, regulatory or contractual obligations, inability to access or rely upon critical business records or other disruptions in our operations. We may be required to expend significant financial resources to protect against or to remediate such security breaches. We may not be able to implement security measures in a timely manner or, if and when implemented, these measures could be circumvented. Any breaches that may occur could expose us to increased risk of lawsuits, material monetary damages, potential violations of applicable privacy and other laws, penalties and fines, loss of existing or potential customers, harm to our reputation and increases in our security and insurance costs, which could have a material adverse effect on our business, financial condition and results of operations.</w:t>
      </w:r>
    </w:p>
    <w:p>
      <w:pPr>
        <w:spacing w:after="0" w:line="49" w:lineRule="exact"/>
        <w:rPr>
          <w:sz w:val="20"/>
          <w:szCs w:val="20"/>
          <w:color w:val="auto"/>
        </w:rPr>
      </w:pPr>
    </w:p>
    <w:p>
      <w:pPr>
        <w:ind w:left="20" w:right="119" w:firstLine="228"/>
        <w:spacing w:after="0" w:line="248" w:lineRule="auto"/>
        <w:rPr>
          <w:sz w:val="20"/>
          <w:szCs w:val="20"/>
          <w:color w:val="auto"/>
        </w:rPr>
      </w:pPr>
      <w:r>
        <w:rPr>
          <w:rFonts w:ascii="Times New Roman" w:cs="Times New Roman" w:eastAsia="Times New Roman" w:hAnsi="Times New Roman"/>
          <w:sz w:val="13"/>
          <w:szCs w:val="13"/>
          <w:color w:val="auto"/>
        </w:rPr>
        <w:t>Although our customers’ computing equipment resides in our buildings, in most cases we do not have access to, nor do we have knowledge of, what applications and data are being housed and processed on their equipment. In the event of a breach resulting in loss of data, such as personally identifiable information or other such data protected by data privacy or other laws, we may be liable for damages, fines and penalties for such losses under applicable regulatory frameworks despite not handling the data. Further, the regulatory framework around data custody, data privacy and breaches varies by jurisdiction and is an evolving area of law. For example, the EU General Data Protection Regulation (GDPR), and any subsequent amended versions of it, and similar regulations may have significant impact on our operations. If we fail to comply with these various regulations, we may have to pay fines or damages. We may not be able to limit our liability or damages in the event of such a loss.</w:t>
      </w:r>
    </w:p>
    <w:p>
      <w:pPr>
        <w:spacing w:after="0" w:line="60" w:lineRule="exact"/>
        <w:rPr>
          <w:sz w:val="20"/>
          <w:szCs w:val="20"/>
          <w:color w:val="auto"/>
        </w:rPr>
      </w:pPr>
    </w:p>
    <w:p>
      <w:pPr>
        <w:ind w:left="20" w:right="39" w:firstLine="228"/>
        <w:spacing w:after="0" w:line="249" w:lineRule="auto"/>
        <w:rPr>
          <w:sz w:val="20"/>
          <w:szCs w:val="20"/>
          <w:color w:val="auto"/>
        </w:rPr>
      </w:pPr>
      <w:r>
        <w:rPr>
          <w:rFonts w:ascii="Times New Roman" w:cs="Times New Roman" w:eastAsia="Times New Roman" w:hAnsi="Times New Roman"/>
          <w:sz w:val="13"/>
          <w:szCs w:val="13"/>
          <w:color w:val="auto"/>
        </w:rPr>
        <w:t>We have made significant investments to update and improve our information technology systems and expect such investments to continue in order to meet our business needs, including for ongoing improvements for our customer experience. Transitioning to new or upgraded systems can create difficulties, including potential disruptions to current processes and security complexities. In addition, our information technology systems may require further modification as we grow and as our business needs change, which could prolong difficulties we experience with transitions. Such significant investments in our systems may take longer to deploy and cost more than originally planned. In addition, we may not realize the full benefits we hoped to achieve and we may need to expend significant attention, time and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7" w:name="page28"/>
    <w:bookmarkEnd w:id="2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jc w:val="both"/>
        <w:ind w:left="20" w:right="299"/>
        <w:spacing w:after="0" w:line="256" w:lineRule="auto"/>
        <w:rPr>
          <w:sz w:val="20"/>
          <w:szCs w:val="20"/>
          <w:color w:val="auto"/>
        </w:rPr>
      </w:pPr>
      <w:r>
        <w:rPr>
          <w:rFonts w:ascii="Times New Roman" w:cs="Times New Roman" w:eastAsia="Times New Roman" w:hAnsi="Times New Roman"/>
          <w:sz w:val="13"/>
          <w:szCs w:val="13"/>
          <w:color w:val="auto"/>
        </w:rPr>
        <w:t>resources to correct problems or find alternative sources for performing various functions. Difficulties in implementing new or upgraded information technology systems or significant system failures or delays or the failure to successfully modify our systems and respond to changes in our business needs could adversely affect our business and results of operations.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We depend on significant customers, and many of our data centers are single-tenant properties or are currently occupied by single tenants.</w:t>
      </w:r>
    </w:p>
    <w:p>
      <w:pPr>
        <w:spacing w:after="0" w:line="80" w:lineRule="exact"/>
        <w:rPr>
          <w:sz w:val="20"/>
          <w:szCs w:val="20"/>
          <w:color w:val="auto"/>
        </w:rPr>
      </w:pPr>
    </w:p>
    <w:p>
      <w:pPr>
        <w:ind w:left="20" w:right="99" w:firstLine="228"/>
        <w:spacing w:after="0" w:line="269" w:lineRule="auto"/>
        <w:rPr>
          <w:sz w:val="20"/>
          <w:szCs w:val="20"/>
          <w:color w:val="auto"/>
        </w:rPr>
      </w:pPr>
      <w:r>
        <w:rPr>
          <w:rFonts w:ascii="Times New Roman" w:cs="Times New Roman" w:eastAsia="Times New Roman" w:hAnsi="Times New Roman"/>
          <w:sz w:val="12"/>
          <w:szCs w:val="12"/>
          <w:color w:val="auto"/>
        </w:rPr>
        <w:t>As of December 31, 2020, the 20 largest customers in our portfolio represented approximately 48.8% of the total annualized rent generated by our properties. Our top three customers leased approximately 5.5 million square feet of net rentable space as of December 31, 2020, representing approximately 18.5% of the total annualized rent generated by our properties. In addition, 64 of our 291 data centers are occupied by single customers, including data centers occupied solely by our top three customers. Many factors, including global economic conditions, may cause our customers to experience a downturn in their businesses or otherwise experience a lack of liquidity, which may weaken their financial condition and impact our estimates as to the probability of collectability of payments, and ultimately result in their failure to make timely rental and other payments or their default under their agreements with us. Further, the development of new technologies, the adoption of new industry standards or other factors could render many of our customers’ current products and services obsolete or unmarketable and contribute to a downturn in their businesses, thereby increasing the likelihood that they default under their leases, become insolvent or file for bankruptcy. If any customer defaults or fails to make timely rent or other payments, we may experience delays in enforcing our rights as landlord and may incur substantial costs in protecting our investment, which could adversely affect our financial condition and results of operations.</w:t>
      </w:r>
    </w:p>
    <w:p>
      <w:pPr>
        <w:spacing w:after="0" w:line="51" w:lineRule="exact"/>
        <w:rPr>
          <w:sz w:val="20"/>
          <w:szCs w:val="20"/>
          <w:color w:val="auto"/>
        </w:rPr>
      </w:pPr>
    </w:p>
    <w:p>
      <w:pPr>
        <w:ind w:left="20" w:right="99" w:firstLine="228"/>
        <w:spacing w:after="0" w:line="248" w:lineRule="auto"/>
        <w:rPr>
          <w:sz w:val="20"/>
          <w:szCs w:val="20"/>
          <w:color w:val="auto"/>
        </w:rPr>
      </w:pPr>
      <w:r>
        <w:rPr>
          <w:rFonts w:ascii="Times New Roman" w:cs="Times New Roman" w:eastAsia="Times New Roman" w:hAnsi="Times New Roman"/>
          <w:sz w:val="13"/>
          <w:szCs w:val="13"/>
          <w:color w:val="auto"/>
        </w:rPr>
        <w:t>If any customer becomes a debtor in a case under the U.S. Bankruptcy Code, we cannot evict the customer solely because of the bankruptcy. In addition, the bankruptcy court might authorize the customer to reject and terminate its contracts with us. Our claim against the customer for unpaid, future rent and other payments would be subject to a statutory cap that might be substantially less than the remaining amounts actually owed under their agreements with us. In either case, our claim for unpaid rent and other amounts would likely not be paid in full. Our revenue and cash available for distribution could be materially adversely affected if any of our significant customers were to become bankrupt or insolvent, suffer a downturn in their businesses, fail to renew their contracts or renew on terms less favorable to us than their current terms. As of February 26, 2021, we had no material customers in bankruptcy.</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Failure to attract, grow and retain a diverse and balanced customer base, including key magnet customers, could harm our business and operating results.</w:t>
      </w:r>
    </w:p>
    <w:p>
      <w:pPr>
        <w:spacing w:after="0" w:line="80" w:lineRule="exact"/>
        <w:rPr>
          <w:sz w:val="20"/>
          <w:szCs w:val="20"/>
          <w:color w:val="auto"/>
        </w:rPr>
      </w:pPr>
    </w:p>
    <w:p>
      <w:pPr>
        <w:ind w:left="20" w:right="59" w:firstLine="228"/>
        <w:spacing w:after="0" w:line="247" w:lineRule="auto"/>
        <w:rPr>
          <w:sz w:val="20"/>
          <w:szCs w:val="20"/>
          <w:color w:val="auto"/>
        </w:rPr>
      </w:pPr>
      <w:r>
        <w:rPr>
          <w:rFonts w:ascii="Times New Roman" w:cs="Times New Roman" w:eastAsia="Times New Roman" w:hAnsi="Times New Roman"/>
          <w:sz w:val="13"/>
          <w:szCs w:val="13"/>
          <w:color w:val="auto"/>
        </w:rPr>
        <w:t>Our ability to attract, grow and retain a diverse and balanced customer base, consisting of enterprises, cloud service providers, network service providers, and digital economy customers, some of which we consider to be key magnets drawing in other customers, may affect our ability to maximize our revenues. Dense and desirable customer concentrations within a facility enable us to better generate significant interconnection revenues, which in turn increases our overall revenues. Our ability to attract customers to our data centers will depend on a variety of factors, including our product offerings, the presence of carriers, the overall mix of customers, the presence of key customers attracting business through ecosystems, the data center’s operating reliability and security and our ability to effectively market our product offerings. Our inability to develop, provide or effectively execute any of these factors may hinder the development, growth and retention of a diverse and balanced customer base and adversely affect our business, financial condition and results of operations.</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Our contracts with our customers could subject us to significant liability.</w:t>
      </w:r>
    </w:p>
    <w:p>
      <w:pPr>
        <w:spacing w:after="0" w:line="80" w:lineRule="exact"/>
        <w:rPr>
          <w:sz w:val="20"/>
          <w:szCs w:val="20"/>
          <w:color w:val="auto"/>
        </w:rPr>
      </w:pPr>
    </w:p>
    <w:p>
      <w:pPr>
        <w:ind w:left="20" w:right="39" w:firstLine="228"/>
        <w:spacing w:after="0" w:line="247" w:lineRule="auto"/>
        <w:rPr>
          <w:sz w:val="20"/>
          <w:szCs w:val="20"/>
          <w:color w:val="auto"/>
        </w:rPr>
      </w:pPr>
      <w:r>
        <w:rPr>
          <w:rFonts w:ascii="Times New Roman" w:cs="Times New Roman" w:eastAsia="Times New Roman" w:hAnsi="Times New Roman"/>
          <w:sz w:val="13"/>
          <w:szCs w:val="13"/>
          <w:color w:val="auto"/>
        </w:rPr>
        <w:t>In the ordinary course of business, we enter into agreements with our customers pursuant to which we provide data center space, power and connectivity products to our customers. These contracts typically contain indemnification and liability provisions, in addition to service level commitments, which could potentially impose a significant cost on us in the event of losses arising out of certain breaches of such agreements, services to be provided by us or our subcontractors or from third-party claims. Customers increasingly are looking to pass through their regulatory obligations and other liabilities to their outsourced data center providers and we may not be able to limit our liability or damages in an event of loss suffered by such customers whether as a result of our breach of an agreement or otherwise. Further, liabilities and standards for damages and enforcement actions, including the regulatory framework applicable to different types of losses, vary by jurisdiction, and we may be subject to greater liability for certain losses in certain jurisdictions.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8" w:name="page29"/>
    <w:bookmarkEnd w:id="2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119"/>
        <w:spacing w:after="0" w:line="256" w:lineRule="auto"/>
        <w:rPr>
          <w:sz w:val="20"/>
          <w:szCs w:val="20"/>
          <w:color w:val="auto"/>
        </w:rPr>
      </w:pPr>
      <w:r>
        <w:rPr>
          <w:rFonts w:ascii="Times New Roman" w:cs="Times New Roman" w:eastAsia="Times New Roman" w:hAnsi="Times New Roman"/>
          <w:sz w:val="13"/>
          <w:szCs w:val="13"/>
          <w:color w:val="auto"/>
        </w:rPr>
        <w:t>Additionally, in connection with our acquisitions, we have assumed existing agreements with customers that may subject us to greater liability for such an event of loss. If such an event of loss occurred, we could be liable for material monetary damages and could incur significant legal fees in defending against such an action, which could adversely affect our financial condition and results of operations.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Certain of our customer agreements may include restrictions on the sale of our properties to certain third parties, which could have a material adverse effect on</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us.</w:t>
      </w:r>
    </w:p>
    <w:p>
      <w:pPr>
        <w:spacing w:after="0" w:line="65" w:lineRule="exact"/>
        <w:rPr>
          <w:sz w:val="20"/>
          <w:szCs w:val="20"/>
          <w:color w:val="auto"/>
        </w:rPr>
      </w:pPr>
    </w:p>
    <w:p>
      <w:pPr>
        <w:ind w:left="20" w:right="199" w:firstLine="228"/>
        <w:spacing w:after="0" w:line="256" w:lineRule="auto"/>
        <w:rPr>
          <w:sz w:val="20"/>
          <w:szCs w:val="20"/>
          <w:color w:val="auto"/>
        </w:rPr>
      </w:pPr>
      <w:r>
        <w:rPr>
          <w:rFonts w:ascii="Times New Roman" w:cs="Times New Roman" w:eastAsia="Times New Roman" w:hAnsi="Times New Roman"/>
          <w:sz w:val="13"/>
          <w:szCs w:val="13"/>
          <w:color w:val="auto"/>
        </w:rPr>
        <w:t>Certain of our customer agreements may give the customer a right of first refusal to purchase certain properties if we propose to sell those properties to a third party or prohibit us from selling certain properties to a third party that is a competitor of the customer. The existence of such restrictions could hinder our ability to sell one or more of these properties, which could materially adversely affect our business, financial condition and results of operations.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Our data centers may not be suitable for re-leasing without significant expenditures or renovations.</w:t>
      </w:r>
    </w:p>
    <w:p>
      <w:pPr>
        <w:spacing w:after="0" w:line="80" w:lineRule="exact"/>
        <w:rPr>
          <w:sz w:val="20"/>
          <w:szCs w:val="20"/>
          <w:color w:val="auto"/>
        </w:rPr>
      </w:pPr>
    </w:p>
    <w:p>
      <w:pPr>
        <w:ind w:left="20" w:right="179" w:firstLine="228"/>
        <w:spacing w:after="0" w:line="249" w:lineRule="auto"/>
        <w:rPr>
          <w:sz w:val="20"/>
          <w:szCs w:val="20"/>
          <w:color w:val="auto"/>
        </w:rPr>
      </w:pPr>
      <w:r>
        <w:rPr>
          <w:rFonts w:ascii="Times New Roman" w:cs="Times New Roman" w:eastAsia="Times New Roman" w:hAnsi="Times New Roman"/>
          <w:sz w:val="13"/>
          <w:szCs w:val="13"/>
          <w:color w:val="auto"/>
        </w:rPr>
        <w:t>Because many of our data centers contain tenant improvements installed at our customers’ expense, they may be better suited for a specific data center user or technology industry customer and could require significant modification in order for us to re-lease vacant space to another data center user or technology industry customer. The tenant improvements may also become outdated or obsolete as the result of technological change, the passage of time or other factors. In addition, our development space will generally require substantial improvement to be suitable for data center use. For the same reason, our properties also may not be suitable for leasing to traditional office customers without significant expenditures or renovations.</w:t>
      </w:r>
    </w:p>
    <w:p>
      <w:pPr>
        <w:spacing w:after="0" w:line="60" w:lineRule="exact"/>
        <w:rPr>
          <w:sz w:val="20"/>
          <w:szCs w:val="20"/>
          <w:color w:val="auto"/>
        </w:rPr>
      </w:pPr>
    </w:p>
    <w:p>
      <w:pPr>
        <w:ind w:left="20" w:right="419" w:firstLine="228"/>
        <w:spacing w:after="0" w:line="268" w:lineRule="auto"/>
        <w:rPr>
          <w:sz w:val="20"/>
          <w:szCs w:val="20"/>
          <w:color w:val="auto"/>
        </w:rPr>
      </w:pPr>
      <w:r>
        <w:rPr>
          <w:rFonts w:ascii="Times New Roman" w:cs="Times New Roman" w:eastAsia="Times New Roman" w:hAnsi="Times New Roman"/>
          <w:sz w:val="13"/>
          <w:szCs w:val="13"/>
          <w:color w:val="auto"/>
        </w:rPr>
        <w:t>As a result, we may be required to invest significant amounts or offer significant discounts to customers in order to lease or re-lease that space, either of which could adversely affect our financial and operating results.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We may be unable to lease vacant or development space, renew leases, or re-lease space as leases expire.</w:t>
      </w:r>
    </w:p>
    <w:p>
      <w:pPr>
        <w:spacing w:after="0" w:line="80" w:lineRule="exact"/>
        <w:rPr>
          <w:sz w:val="20"/>
          <w:szCs w:val="20"/>
          <w:color w:val="auto"/>
        </w:rPr>
      </w:pPr>
    </w:p>
    <w:p>
      <w:pPr>
        <w:ind w:left="20" w:right="59" w:firstLine="228"/>
        <w:spacing w:after="0" w:line="246" w:lineRule="auto"/>
        <w:rPr>
          <w:sz w:val="20"/>
          <w:szCs w:val="20"/>
          <w:color w:val="auto"/>
        </w:rPr>
      </w:pPr>
      <w:r>
        <w:rPr>
          <w:rFonts w:ascii="Times New Roman" w:cs="Times New Roman" w:eastAsia="Times New Roman" w:hAnsi="Times New Roman"/>
          <w:sz w:val="13"/>
          <w:szCs w:val="13"/>
          <w:color w:val="auto"/>
        </w:rPr>
        <w:t>At December 31, 2020, we owned approximately 5.4 million square feet of space under active development and approximately 2.3 million square feet of space held for future development. We intend to continue to add new space to our development inventory and to continue to develop additional space from this inventory. A portion of the space that we develop has been, and may continue to be, developed on a speculative basis, meaning that we do not have a signed customer agreement for the space when we begin the development process. We also develop space specifically for customers pursuant to agreements signed prior to beginning the development process. In those cases, if we fail to meet our development obligations under those agreements, these customers may be able to terminate the agreements and we would be required to find a new customer for this space. In addition, in certain circumstances we lease data center facilities prior to their completion. If we fail to complete the facilities in a timely manner, the customer may be entitled to terminate its agreement, seek damages or penalties against us or pursue other remedies and we may be required to find a new customer for the space. We cannot assure you that once we have developed space or land we will be able to successfully lease it at all, or at rates we consider favorable or expected at the time we commenced development. Further, once development of a data center facility is complete, we incur certain operating expenses even if there are no customers occupying any space. If we are not able to complete development in a timely manner or successfully lease the space that we develop, if development costs are higher than we currently estimate, or if rental rates are lower than expected when we began the project or are otherwise undesirable, our financial condition, results of operations, cash flow, cash available for distribution and ability to satisfy our debt service obligations could be materially adversely affected.</w:t>
      </w:r>
    </w:p>
    <w:p>
      <w:pPr>
        <w:spacing w:after="0" w:line="60" w:lineRule="exact"/>
        <w:rPr>
          <w:sz w:val="20"/>
          <w:szCs w:val="20"/>
          <w:color w:val="auto"/>
        </w:rPr>
      </w:pPr>
    </w:p>
    <w:p>
      <w:pPr>
        <w:ind w:left="20" w:right="79" w:firstLine="228"/>
        <w:spacing w:after="0" w:line="273" w:lineRule="auto"/>
        <w:rPr>
          <w:sz w:val="20"/>
          <w:szCs w:val="20"/>
          <w:color w:val="auto"/>
        </w:rPr>
      </w:pPr>
      <w:r>
        <w:rPr>
          <w:rFonts w:ascii="Times New Roman" w:cs="Times New Roman" w:eastAsia="Times New Roman" w:hAnsi="Times New Roman"/>
          <w:sz w:val="12"/>
          <w:szCs w:val="12"/>
          <w:color w:val="auto"/>
        </w:rPr>
        <w:t>In addition, as of December 31, 2020, customer agreements representing 26.0% of the square footage of the properties in our portfolio, excluding month-to-month leases and space held for development, were scheduled to expire through 2022, and an additional 14.7% of the net rentable square footage, excluding space held for development, was available to be leased. Some of this space may require substantial capital investment to meet the power and cooling requirements of our customers, or may no longer be suitable for their needs. In addition, we cannot assure you that customer agreements will be renewed or that our properties will be re-leased at all, or at net effective rental rates equal to or above the current average net effective rental rates. If the rental rates for our properties decrease, our existing customers do not renew their agreements, we do not lease or re-lease our available space, including newly developed space and space for which customer agreements are scheduled to expire, or it takes longer for us to lease or re-lease this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9" w:name="page30"/>
    <w:bookmarkEnd w:id="2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399"/>
        <w:spacing w:after="0" w:line="268" w:lineRule="auto"/>
        <w:rPr>
          <w:sz w:val="20"/>
          <w:szCs w:val="20"/>
          <w:color w:val="auto"/>
        </w:rPr>
      </w:pPr>
      <w:r>
        <w:rPr>
          <w:rFonts w:ascii="Times New Roman" w:cs="Times New Roman" w:eastAsia="Times New Roman" w:hAnsi="Times New Roman"/>
          <w:sz w:val="13"/>
          <w:szCs w:val="13"/>
          <w:color w:val="auto"/>
        </w:rPr>
        <w:t>space or for rents to commence on this space, our financial condition, results of operations, cash flow, cash available for distribution and ability to satisfy our debt service obligations could be materially adversely affected.</w:t>
      </w:r>
    </w:p>
    <w:p>
      <w:pPr>
        <w:spacing w:after="0" w:line="46" w:lineRule="exact"/>
        <w:rPr>
          <w:sz w:val="20"/>
          <w:szCs w:val="20"/>
          <w:color w:val="auto"/>
        </w:rPr>
      </w:pPr>
    </w:p>
    <w:p>
      <w:pPr>
        <w:ind w:left="20" w:right="59" w:firstLine="228"/>
        <w:spacing w:after="0" w:line="275" w:lineRule="auto"/>
        <w:rPr>
          <w:sz w:val="20"/>
          <w:szCs w:val="20"/>
          <w:color w:val="auto"/>
        </w:rPr>
      </w:pPr>
      <w:r>
        <w:rPr>
          <w:rFonts w:ascii="Times New Roman" w:cs="Times New Roman" w:eastAsia="Times New Roman" w:hAnsi="Times New Roman"/>
          <w:sz w:val="12"/>
          <w:szCs w:val="12"/>
          <w:color w:val="auto"/>
        </w:rPr>
        <w:t>Additionally, a customer’s decision to lease space and power in one of our data centers and to purchase additional products typically involves a significant commitment of resources and due diligence on the part of our customers regarding the adequacy of our facilities. As a result, the leasing of data center space can have a long sales cycle, and we may expend significant time and resources in pursuing a particular transaction that may not result in revenue. Economic conditions, including market downturns, may further impact this long sales cycle by making it difficult for customers to plan future business activities, which could cause customers to slow spending or delay decision-making. Our inability to adequately manage the risks associated with the sales cycle may adversely affect our business, financial condition and results of operations.</w:t>
      </w:r>
    </w:p>
    <w:p>
      <w:pPr>
        <w:spacing w:after="0" w:line="43" w:lineRule="exact"/>
        <w:rPr>
          <w:sz w:val="20"/>
          <w:szCs w:val="20"/>
          <w:color w:val="auto"/>
        </w:rPr>
      </w:pPr>
    </w:p>
    <w:p>
      <w:pPr>
        <w:ind w:left="20" w:right="5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Even if we have additional space available for lease at any one of our data centers, our ability to lease this space to existing or new customers could be constrained by our ability to provide sufficient electrical power.</w:t>
      </w:r>
    </w:p>
    <w:p>
      <w:pPr>
        <w:spacing w:after="0" w:line="44" w:lineRule="exact"/>
        <w:rPr>
          <w:sz w:val="20"/>
          <w:szCs w:val="20"/>
          <w:color w:val="auto"/>
        </w:rPr>
      </w:pPr>
    </w:p>
    <w:p>
      <w:pPr>
        <w:ind w:left="20" w:right="99" w:firstLine="228"/>
        <w:spacing w:after="0" w:line="271" w:lineRule="auto"/>
        <w:rPr>
          <w:sz w:val="20"/>
          <w:szCs w:val="20"/>
          <w:color w:val="auto"/>
        </w:rPr>
      </w:pPr>
      <w:r>
        <w:rPr>
          <w:rFonts w:ascii="Times New Roman" w:cs="Times New Roman" w:eastAsia="Times New Roman" w:hAnsi="Times New Roman"/>
          <w:sz w:val="12"/>
          <w:szCs w:val="12"/>
          <w:color w:val="auto"/>
        </w:rPr>
        <w:t>As current and future customers increase their power footprint in our data centers over time, the corresponding reduction in available power could limit our ability to increase occupancy rates or network density within our existing data centers. Furthermore, at certain of our data centers, our aggregate maximum contractual obligation to provide power and cooling to our customers may exceed the physical capacity at such data centers if customers were to quickly increase their demand for power and cooling. If we are not able to increase the available power and/or cooling or move the customer to another location within our data centers with sufficient power and cooling to meet such demand, we could lose the customer as well as be exposed to liability under our customer agreements. In addition, our power and cooling systems are difficult and expensive to upgrade. Accordingly, we may not be able to efficiently upgrade or change these systems to meet new demands without incurring significant costs that we may not be able to pass on to our customers. Any such material loss of customers, liability or additional costs could adversely affect our business, financial condition and results of operations.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Our portfolio depends upon local economic conditions and is geographically concentrated in certain locations.</w:t>
      </w:r>
    </w:p>
    <w:p>
      <w:pPr>
        <w:spacing w:after="0" w:line="80" w:lineRule="exact"/>
        <w:rPr>
          <w:sz w:val="20"/>
          <w:szCs w:val="20"/>
          <w:color w:val="auto"/>
        </w:rPr>
      </w:pPr>
    </w:p>
    <w:p>
      <w:pPr>
        <w:ind w:left="20" w:right="519" w:firstLine="228"/>
        <w:spacing w:after="0" w:line="268" w:lineRule="auto"/>
        <w:rPr>
          <w:sz w:val="20"/>
          <w:szCs w:val="20"/>
          <w:color w:val="auto"/>
        </w:rPr>
      </w:pPr>
      <w:r>
        <w:rPr>
          <w:rFonts w:ascii="Times New Roman" w:cs="Times New Roman" w:eastAsia="Times New Roman" w:hAnsi="Times New Roman"/>
          <w:sz w:val="13"/>
          <w:szCs w:val="13"/>
          <w:color w:val="auto"/>
        </w:rPr>
        <w:t>Our portfolio is located in 49 metropolitan areas. As of December 31, 2020, our portfolio, including the 43 data centers held as investments in unconsolidated joint ventures, was geographically concentrated in the following metropolitan areas: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gridSpan w:val="2"/>
          </w:tcPr>
          <w:p>
            <w:pPr>
              <w:jc w:val="center"/>
              <w:ind w:right="237"/>
              <w:spacing w:after="0"/>
              <w:rPr>
                <w:sz w:val="20"/>
                <w:szCs w:val="20"/>
                <w:color w:val="auto"/>
              </w:rPr>
            </w:pPr>
            <w:r>
              <w:rPr>
                <w:rFonts w:ascii="Times New Roman" w:cs="Times New Roman" w:eastAsia="Times New Roman" w:hAnsi="Times New Roman"/>
                <w:sz w:val="10"/>
                <w:szCs w:val="10"/>
                <w:b w:val="1"/>
                <w:bCs w:val="1"/>
                <w:color w:val="auto"/>
                <w:w w:val="99"/>
              </w:rPr>
              <w:t>Percentage of</w:t>
            </w:r>
          </w:p>
        </w:tc>
        <w:tc>
          <w:tcPr>
            <w:tcW w:w="0" w:type="dxa"/>
            <w:vAlign w:val="bottom"/>
          </w:tcPr>
          <w:p>
            <w:pPr>
              <w:spacing w:after="0"/>
              <w:rPr>
                <w:sz w:val="1"/>
                <w:szCs w:val="1"/>
                <w:color w:val="auto"/>
              </w:rPr>
            </w:pPr>
          </w:p>
        </w:tc>
      </w:tr>
      <w:tr>
        <w:trPr>
          <w:trHeight w:val="104"/>
        </w:trPr>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Metropolitan Area</w:t>
            </w:r>
          </w:p>
        </w:tc>
        <w:tc>
          <w:tcPr>
            <w:tcW w:w="4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20" w:type="dxa"/>
            <w:vAlign w:val="bottom"/>
            <w:gridSpan w:val="2"/>
          </w:tcPr>
          <w:p>
            <w:pPr>
              <w:jc w:val="center"/>
              <w:ind w:right="237"/>
              <w:spacing w:after="0" w:line="104" w:lineRule="exact"/>
              <w:rPr>
                <w:sz w:val="20"/>
                <w:szCs w:val="20"/>
                <w:color w:val="auto"/>
              </w:rPr>
            </w:pPr>
            <w:r>
              <w:rPr>
                <w:rFonts w:ascii="Times New Roman" w:cs="Times New Roman" w:eastAsia="Times New Roman" w:hAnsi="Times New Roman"/>
                <w:sz w:val="10"/>
                <w:szCs w:val="10"/>
                <w:b w:val="1"/>
                <w:bCs w:val="1"/>
                <w:color w:val="auto"/>
              </w:rPr>
              <w:t>December 31, 2020</w:t>
            </w:r>
          </w:p>
        </w:tc>
        <w:tc>
          <w:tcPr>
            <w:tcW w:w="0" w:type="dxa"/>
            <w:vAlign w:val="bottom"/>
          </w:tcPr>
          <w:p>
            <w:pPr>
              <w:spacing w:after="0"/>
              <w:rPr>
                <w:sz w:val="1"/>
                <w:szCs w:val="1"/>
                <w:color w:val="auto"/>
              </w:rPr>
            </w:pPr>
          </w:p>
        </w:tc>
      </w:tr>
      <w:tr>
        <w:trPr>
          <w:trHeight w:val="121"/>
        </w:trPr>
        <w:tc>
          <w:tcPr>
            <w:tcW w:w="2240" w:type="dxa"/>
            <w:vAlign w:val="bottom"/>
            <w:gridSpan w:val="2"/>
            <w:vMerge w:val="continue"/>
          </w:tcPr>
          <w:p>
            <w:pPr>
              <w:spacing w:after="0"/>
              <w:rPr>
                <w:sz w:val="10"/>
                <w:szCs w:val="10"/>
                <w:color w:val="auto"/>
              </w:rPr>
            </w:pPr>
          </w:p>
        </w:tc>
        <w:tc>
          <w:tcPr>
            <w:tcW w:w="4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gridSpan w:val="2"/>
          </w:tcPr>
          <w:p>
            <w:pPr>
              <w:jc w:val="center"/>
              <w:ind w:right="237"/>
              <w:spacing w:after="0"/>
              <w:rPr>
                <w:sz w:val="20"/>
                <w:szCs w:val="20"/>
                <w:color w:val="auto"/>
              </w:rPr>
            </w:pPr>
            <w:r>
              <w:rPr>
                <w:rFonts w:ascii="Times New Roman" w:cs="Times New Roman" w:eastAsia="Times New Roman" w:hAnsi="Times New Roman"/>
                <w:sz w:val="10"/>
                <w:szCs w:val="10"/>
                <w:b w:val="1"/>
                <w:bCs w:val="1"/>
                <w:color w:val="auto"/>
                <w:w w:val="99"/>
              </w:rPr>
              <w:t>Total annualized rent (1)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2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Northern Virginia</w:t>
            </w:r>
          </w:p>
        </w:tc>
        <w:tc>
          <w:tcPr>
            <w:tcW w:w="4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right"/>
              <w:ind w:right="4"/>
              <w:spacing w:after="0" w:line="141" w:lineRule="exact"/>
              <w:rPr>
                <w:sz w:val="20"/>
                <w:szCs w:val="20"/>
                <w:color w:val="auto"/>
              </w:rPr>
            </w:pPr>
            <w:r>
              <w:rPr>
                <w:rFonts w:ascii="Times New Roman" w:cs="Times New Roman" w:eastAsia="Times New Roman" w:hAnsi="Times New Roman"/>
                <w:sz w:val="13"/>
                <w:szCs w:val="13"/>
                <w:color w:val="auto"/>
              </w:rPr>
              <w:t>20.0</w:t>
            </w:r>
          </w:p>
        </w:tc>
        <w:tc>
          <w:tcPr>
            <w:tcW w:w="280" w:type="dxa"/>
            <w:vAlign w:val="bottom"/>
            <w:tcBorders>
              <w:top w:val="single" w:sz="8" w:color="CCEEFF"/>
            </w:tcBorders>
            <w:shd w:val="clear" w:color="auto" w:fill="CCEEFF"/>
          </w:tcPr>
          <w:p>
            <w:pPr>
              <w:jc w:val="right"/>
              <w:ind w:right="11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Chicago</w:t>
            </w:r>
          </w:p>
        </w:tc>
        <w:tc>
          <w:tcPr>
            <w:tcW w:w="6720" w:type="dxa"/>
            <w:vAlign w:val="bottom"/>
            <w:gridSpan w:val="4"/>
          </w:tcPr>
          <w:p>
            <w:pPr>
              <w:jc w:val="right"/>
              <w:ind w:right="117"/>
              <w:spacing w:after="0"/>
              <w:rPr>
                <w:sz w:val="20"/>
                <w:szCs w:val="20"/>
                <w:color w:val="auto"/>
              </w:rPr>
            </w:pPr>
            <w:r>
              <w:rPr>
                <w:rFonts w:ascii="Times New Roman" w:cs="Times New Roman" w:eastAsia="Times New Roman" w:hAnsi="Times New Roman"/>
                <w:sz w:val="13"/>
                <w:szCs w:val="13"/>
                <w:color w:val="auto"/>
              </w:rPr>
              <w:t>8.8 %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London, England</w:t>
            </w:r>
          </w:p>
        </w:tc>
        <w:tc>
          <w:tcPr>
            <w:tcW w:w="6720" w:type="dxa"/>
            <w:vAlign w:val="bottom"/>
            <w:gridSpan w:val="4"/>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7.7 %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Silicon Valley</w:t>
            </w:r>
          </w:p>
        </w:tc>
        <w:tc>
          <w:tcPr>
            <w:tcW w:w="6720" w:type="dxa"/>
            <w:vAlign w:val="bottom"/>
            <w:gridSpan w:val="4"/>
          </w:tcPr>
          <w:p>
            <w:pPr>
              <w:jc w:val="right"/>
              <w:ind w:right="117"/>
              <w:spacing w:after="0"/>
              <w:rPr>
                <w:sz w:val="20"/>
                <w:szCs w:val="20"/>
                <w:color w:val="auto"/>
              </w:rPr>
            </w:pPr>
            <w:r>
              <w:rPr>
                <w:rFonts w:ascii="Times New Roman" w:cs="Times New Roman" w:eastAsia="Times New Roman" w:hAnsi="Times New Roman"/>
                <w:sz w:val="13"/>
                <w:szCs w:val="13"/>
                <w:color w:val="auto"/>
              </w:rPr>
              <w:t>6.6 %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New York</w:t>
            </w:r>
          </w:p>
        </w:tc>
        <w:tc>
          <w:tcPr>
            <w:tcW w:w="6720" w:type="dxa"/>
            <w:vAlign w:val="bottom"/>
            <w:gridSpan w:val="4"/>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6.3 %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Dallas</w:t>
            </w:r>
          </w:p>
        </w:tc>
        <w:tc>
          <w:tcPr>
            <w:tcW w:w="6720" w:type="dxa"/>
            <w:vAlign w:val="bottom"/>
            <w:gridSpan w:val="4"/>
          </w:tcPr>
          <w:p>
            <w:pPr>
              <w:jc w:val="right"/>
              <w:ind w:right="117"/>
              <w:spacing w:after="0"/>
              <w:rPr>
                <w:sz w:val="20"/>
                <w:szCs w:val="20"/>
                <w:color w:val="auto"/>
              </w:rPr>
            </w:pPr>
            <w:r>
              <w:rPr>
                <w:rFonts w:ascii="Times New Roman" w:cs="Times New Roman" w:eastAsia="Times New Roman" w:hAnsi="Times New Roman"/>
                <w:sz w:val="13"/>
                <w:szCs w:val="13"/>
                <w:color w:val="auto"/>
              </w:rPr>
              <w:t>5.9 %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Frankfurt, Germany</w:t>
            </w:r>
          </w:p>
        </w:tc>
        <w:tc>
          <w:tcPr>
            <w:tcW w:w="6720" w:type="dxa"/>
            <w:vAlign w:val="bottom"/>
            <w:gridSpan w:val="4"/>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5.6 %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Amsterdam, Netherlands</w:t>
            </w:r>
          </w:p>
        </w:tc>
        <w:tc>
          <w:tcPr>
            <w:tcW w:w="6720" w:type="dxa"/>
            <w:vAlign w:val="bottom"/>
            <w:gridSpan w:val="4"/>
          </w:tcPr>
          <w:p>
            <w:pPr>
              <w:jc w:val="right"/>
              <w:ind w:right="117"/>
              <w:spacing w:after="0"/>
              <w:rPr>
                <w:sz w:val="20"/>
                <w:szCs w:val="20"/>
                <w:color w:val="auto"/>
              </w:rPr>
            </w:pPr>
            <w:r>
              <w:rPr>
                <w:rFonts w:ascii="Times New Roman" w:cs="Times New Roman" w:eastAsia="Times New Roman" w:hAnsi="Times New Roman"/>
                <w:sz w:val="13"/>
                <w:szCs w:val="13"/>
                <w:color w:val="auto"/>
              </w:rPr>
              <w:t>4.4 %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Sao Paulo, Brazil</w:t>
            </w:r>
          </w:p>
        </w:tc>
        <w:tc>
          <w:tcPr>
            <w:tcW w:w="6720" w:type="dxa"/>
            <w:vAlign w:val="bottom"/>
            <w:gridSpan w:val="4"/>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3.5 %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Singapore</w:t>
            </w:r>
          </w:p>
        </w:tc>
        <w:tc>
          <w:tcPr>
            <w:tcW w:w="6720" w:type="dxa"/>
            <w:vAlign w:val="bottom"/>
            <w:gridSpan w:val="4"/>
          </w:tcPr>
          <w:p>
            <w:pPr>
              <w:jc w:val="right"/>
              <w:ind w:right="117"/>
              <w:spacing w:after="0"/>
              <w:rPr>
                <w:sz w:val="20"/>
                <w:szCs w:val="20"/>
                <w:color w:val="auto"/>
              </w:rPr>
            </w:pPr>
            <w:r>
              <w:rPr>
                <w:rFonts w:ascii="Times New Roman" w:cs="Times New Roman" w:eastAsia="Times New Roman" w:hAnsi="Times New Roman"/>
                <w:sz w:val="13"/>
                <w:szCs w:val="13"/>
                <w:color w:val="auto"/>
              </w:rPr>
              <w:t>2.8 %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Paris, France</w:t>
            </w:r>
          </w:p>
        </w:tc>
        <w:tc>
          <w:tcPr>
            <w:tcW w:w="6720" w:type="dxa"/>
            <w:vAlign w:val="bottom"/>
            <w:gridSpan w:val="4"/>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2.2 %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Phoenix</w:t>
            </w:r>
          </w:p>
        </w:tc>
        <w:tc>
          <w:tcPr>
            <w:tcW w:w="6720" w:type="dxa"/>
            <w:vAlign w:val="bottom"/>
            <w:gridSpan w:val="4"/>
          </w:tcPr>
          <w:p>
            <w:pPr>
              <w:jc w:val="right"/>
              <w:ind w:right="117"/>
              <w:spacing w:after="0"/>
              <w:rPr>
                <w:sz w:val="20"/>
                <w:szCs w:val="20"/>
                <w:color w:val="auto"/>
              </w:rPr>
            </w:pPr>
            <w:r>
              <w:rPr>
                <w:rFonts w:ascii="Times New Roman" w:cs="Times New Roman" w:eastAsia="Times New Roman" w:hAnsi="Times New Roman"/>
                <w:sz w:val="13"/>
                <w:szCs w:val="13"/>
                <w:color w:val="auto"/>
              </w:rPr>
              <w:t>2.1 %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San Francisco</w:t>
            </w:r>
          </w:p>
        </w:tc>
        <w:tc>
          <w:tcPr>
            <w:tcW w:w="6720" w:type="dxa"/>
            <w:vAlign w:val="bottom"/>
            <w:gridSpan w:val="4"/>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1.9 %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Tokyo, Japan</w:t>
            </w:r>
          </w:p>
        </w:tc>
        <w:tc>
          <w:tcPr>
            <w:tcW w:w="6720" w:type="dxa"/>
            <w:vAlign w:val="bottom"/>
            <w:gridSpan w:val="4"/>
          </w:tcPr>
          <w:p>
            <w:pPr>
              <w:jc w:val="right"/>
              <w:ind w:right="117"/>
              <w:spacing w:after="0"/>
              <w:rPr>
                <w:sz w:val="20"/>
                <w:szCs w:val="20"/>
                <w:color w:val="auto"/>
              </w:rPr>
            </w:pPr>
            <w:r>
              <w:rPr>
                <w:rFonts w:ascii="Times New Roman" w:cs="Times New Roman" w:eastAsia="Times New Roman" w:hAnsi="Times New Roman"/>
                <w:sz w:val="13"/>
                <w:szCs w:val="13"/>
                <w:color w:val="auto"/>
              </w:rPr>
              <w:t>1.9 %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Atlanta</w:t>
            </w:r>
          </w:p>
        </w:tc>
        <w:tc>
          <w:tcPr>
            <w:tcW w:w="6720" w:type="dxa"/>
            <w:vAlign w:val="bottom"/>
            <w:gridSpan w:val="4"/>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1.5 %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6720" w:type="dxa"/>
            <w:vAlign w:val="bottom"/>
            <w:gridSpan w:val="4"/>
          </w:tcPr>
          <w:p>
            <w:pPr>
              <w:jc w:val="right"/>
              <w:ind w:right="117"/>
              <w:spacing w:after="0"/>
              <w:rPr>
                <w:sz w:val="20"/>
                <w:szCs w:val="20"/>
                <w:color w:val="auto"/>
              </w:rPr>
            </w:pPr>
            <w:r>
              <w:rPr>
                <w:rFonts w:ascii="Times New Roman" w:cs="Times New Roman" w:eastAsia="Times New Roman" w:hAnsi="Times New Roman"/>
                <w:sz w:val="13"/>
                <w:szCs w:val="13"/>
                <w:color w:val="auto"/>
              </w:rPr>
              <w:t>18.8 %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2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Total</w:t>
            </w:r>
          </w:p>
        </w:tc>
        <w:tc>
          <w:tcPr>
            <w:tcW w:w="45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auto"/>
              <w:bottom w:val="single" w:sz="8" w:color="auto"/>
            </w:tcBorders>
            <w:shd w:val="clear" w:color="auto" w:fill="CCEEFF"/>
          </w:tcPr>
          <w:p>
            <w:pPr>
              <w:jc w:val="right"/>
              <w:ind w:right="4"/>
              <w:spacing w:after="0" w:line="141" w:lineRule="exact"/>
              <w:rPr>
                <w:sz w:val="20"/>
                <w:szCs w:val="20"/>
                <w:color w:val="auto"/>
              </w:rPr>
            </w:pPr>
            <w:r>
              <w:rPr>
                <w:rFonts w:ascii="Times New Roman" w:cs="Times New Roman" w:eastAsia="Times New Roman" w:hAnsi="Times New Roman"/>
                <w:sz w:val="13"/>
                <w:szCs w:val="13"/>
                <w:color w:val="auto"/>
              </w:rPr>
              <w:t>100.0</w:t>
            </w:r>
          </w:p>
        </w:tc>
        <w:tc>
          <w:tcPr>
            <w:tcW w:w="280" w:type="dxa"/>
            <w:vAlign w:val="bottom"/>
            <w:tcBorders>
              <w:top w:val="single" w:sz="8" w:color="CCEEFF"/>
              <w:bottom w:val="single" w:sz="8" w:color="CCEEFF"/>
            </w:tcBorders>
            <w:shd w:val="clear" w:color="auto" w:fill="CCEEFF"/>
          </w:tcPr>
          <w:p>
            <w:pPr>
              <w:jc w:val="right"/>
              <w:ind w:right="11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64"/>
        </w:trPr>
        <w:tc>
          <w:tcPr>
            <w:tcW w:w="2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4580" w:type="dxa"/>
            <w:vAlign w:val="bottom"/>
            <w:vMerge w:val="restart"/>
          </w:tcPr>
          <w:p>
            <w:pPr>
              <w:jc w:val="right"/>
              <w:ind w:right="2217"/>
              <w:spacing w:after="0"/>
              <w:rPr>
                <w:sz w:val="20"/>
                <w:szCs w:val="20"/>
                <w:color w:val="auto"/>
              </w:rPr>
            </w:pPr>
            <w:r>
              <w:rPr>
                <w:rFonts w:ascii="Times New Roman" w:cs="Times New Roman" w:eastAsia="Times New Roman" w:hAnsi="Times New Roman"/>
                <w:sz w:val="13"/>
                <w:szCs w:val="13"/>
                <w:color w:val="auto"/>
              </w:rPr>
              <w:t>25</w:t>
            </w:r>
          </w:p>
        </w:tc>
        <w:tc>
          <w:tcPr>
            <w:tcW w:w="2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02" w:right="1440" w:bottom="1440" w:gutter="0" w:footer="0" w:header="0"/>
        </w:sectPr>
      </w:pPr>
    </w:p>
    <w:bookmarkStart w:id="30" w:name="page31"/>
    <w:bookmarkEnd w:id="3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60" w:right="159" w:hanging="235"/>
        <w:spacing w:after="0" w:line="256" w:lineRule="auto"/>
        <w:tabs>
          <w:tab w:leader="none" w:pos="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Annualized rent is monthly contractual rent (defined as cash base rent before abatements) under existing leases as of December 31, 2020, multiplied by 12. The aggregate amount of abatements for the year ended December 31, 2020 was approximately $74.4 million. Includes consolidated portfolio and unconsolidated joint ventures at the joint ventures’ 100% ownership level.</w:t>
      </w:r>
    </w:p>
    <w:p>
      <w:pPr>
        <w:spacing w:after="0" w:line="129" w:lineRule="exact"/>
        <w:rPr>
          <w:sz w:val="20"/>
          <w:szCs w:val="20"/>
          <w:color w:val="auto"/>
        </w:rPr>
      </w:pPr>
    </w:p>
    <w:p>
      <w:pPr>
        <w:ind w:left="20" w:right="39" w:firstLine="228"/>
        <w:spacing w:after="0" w:line="275" w:lineRule="auto"/>
        <w:rPr>
          <w:sz w:val="20"/>
          <w:szCs w:val="20"/>
          <w:color w:val="auto"/>
        </w:rPr>
      </w:pPr>
      <w:r>
        <w:rPr>
          <w:rFonts w:ascii="Times New Roman" w:cs="Times New Roman" w:eastAsia="Times New Roman" w:hAnsi="Times New Roman"/>
          <w:sz w:val="12"/>
          <w:szCs w:val="12"/>
          <w:color w:val="auto"/>
        </w:rPr>
        <w:t>Some of these areas have experienced downturns in recent years. We depend upon the local economic conditions in these areas, including local real estate conditions, and our operations, revenue and cash available for distribution could be materially adversely affected by a downturn in local economic conditions in these areas. Our operations may also be affected if too many competing properties are built in any of these areas or supply otherwise increases or exceeds demand. We cannot assure you that these locations will grow or will remain favorable to data center investments or operations. In addition, we are currently developing data centers in certain of these metropolitan areas. Any negative changes in real estate, technology or economic conditions in these metropolitan areas in particular could negatively impact our performance.</w:t>
      </w:r>
    </w:p>
    <w:p>
      <w:pPr>
        <w:spacing w:after="0" w:line="119" w:lineRule="exact"/>
        <w:rPr>
          <w:sz w:val="20"/>
          <w:szCs w:val="20"/>
          <w:color w:val="auto"/>
        </w:rPr>
      </w:pPr>
    </w:p>
    <w:p>
      <w:pPr>
        <w:ind w:left="20" w:right="5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We lease or sublease certain of our data center space from third parties and the ability to retain these leases or subleases could be a significant risk to our ongoing operations.</w:t>
      </w:r>
    </w:p>
    <w:p>
      <w:pPr>
        <w:spacing w:after="0" w:line="44" w:lineRule="exact"/>
        <w:rPr>
          <w:sz w:val="20"/>
          <w:szCs w:val="20"/>
          <w:color w:val="auto"/>
        </w:rPr>
      </w:pPr>
    </w:p>
    <w:p>
      <w:pPr>
        <w:ind w:left="20" w:right="59" w:firstLine="228"/>
        <w:spacing w:after="0" w:line="247" w:lineRule="auto"/>
        <w:rPr>
          <w:sz w:val="20"/>
          <w:szCs w:val="20"/>
          <w:color w:val="auto"/>
        </w:rPr>
      </w:pPr>
      <w:r>
        <w:rPr>
          <w:rFonts w:ascii="Times New Roman" w:cs="Times New Roman" w:eastAsia="Times New Roman" w:hAnsi="Times New Roman"/>
          <w:sz w:val="13"/>
          <w:szCs w:val="13"/>
          <w:color w:val="auto"/>
        </w:rPr>
        <w:t>We do not own all the buildings in our portfolio. These leased buildings accounted for approximately 15% of our total revenue for the year ended December 31, 2020. In addition, we may acquire additional leased data center space or businesses that lease facilities instead of owning them. Our business could be harmed if we are unable to renew the leases for these data centers on favorable terms or at all. Additionally, in several of our smaller facilities we sublease our space, and our rights under these subleases are dependent on our sublandlord retaining its rights under the prime lease. When the initial terms of our existing leases expire, we generally have the right to extend the terms of our leases for one or more renewal periods, subject to, in the case of several of our subleases, our sublandlord renewing its term under the prime lease. If renewal rates are less favorable than those we currently have, we may be required to increase revenues within existing data centers to offset such increase in lease payments. Failure to increase revenues to sufficiently offset these projected higher costs could adversely impact our operating income. Upon the end of our renewal options, we would have to renegotiate our lease terms with the applicable landlords.</w:t>
      </w:r>
    </w:p>
    <w:p>
      <w:pPr>
        <w:spacing w:after="0" w:line="60" w:lineRule="exact"/>
        <w:rPr>
          <w:sz w:val="20"/>
          <w:szCs w:val="20"/>
          <w:color w:val="auto"/>
        </w:rPr>
      </w:pPr>
    </w:p>
    <w:p>
      <w:pPr>
        <w:ind w:left="20" w:right="39" w:firstLine="228"/>
        <w:spacing w:after="0" w:line="252" w:lineRule="auto"/>
        <w:rPr>
          <w:sz w:val="20"/>
          <w:szCs w:val="20"/>
          <w:color w:val="auto"/>
        </w:rPr>
      </w:pPr>
      <w:r>
        <w:rPr>
          <w:rFonts w:ascii="Times New Roman" w:cs="Times New Roman" w:eastAsia="Times New Roman" w:hAnsi="Times New Roman"/>
          <w:sz w:val="13"/>
          <w:szCs w:val="13"/>
          <w:color w:val="auto"/>
        </w:rPr>
        <w:t>Additionally, if we are unable to renew the lease at any of our data centers, we could lose customers due to the disruptions in their operations caused by the relocation. We could also lose those customers that choose our data centers based on their locations. The costs of relocating data center infrastructure equipment, such as generators, power distribution units and cooling units, to different data centers could be prohibitive and, as such, we could lose the value of this equipment. For these reasons, any lease that cannot be renewed could adversely affect our business, financial condition and results of operations.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We may experience supply chain or procurement disruptions, or increased supply chain costs, which may lead to construction delays.</w:t>
      </w:r>
    </w:p>
    <w:p>
      <w:pPr>
        <w:spacing w:after="0" w:line="80" w:lineRule="exact"/>
        <w:rPr>
          <w:sz w:val="20"/>
          <w:szCs w:val="20"/>
          <w:color w:val="auto"/>
        </w:rPr>
      </w:pPr>
    </w:p>
    <w:p>
      <w:pPr>
        <w:ind w:left="20" w:right="59" w:firstLine="228"/>
        <w:spacing w:after="0" w:line="246" w:lineRule="auto"/>
        <w:rPr>
          <w:sz w:val="20"/>
          <w:szCs w:val="20"/>
          <w:color w:val="auto"/>
        </w:rPr>
      </w:pPr>
      <w:r>
        <w:rPr>
          <w:rFonts w:ascii="Times New Roman" w:cs="Times New Roman" w:eastAsia="Times New Roman" w:hAnsi="Times New Roman"/>
          <w:sz w:val="13"/>
          <w:szCs w:val="13"/>
          <w:color w:val="auto"/>
        </w:rPr>
        <w:t>The development of our data centers requires the timely delivery of required equipment and materials. We rely on third parties to provide the equipment and materials needed for our construction and development needs. Our global supply chain and development activities could be impacted by disruptions, such as political events, international trade disputes, war, terrorism, natural disasters, public health issues, industrial accidents, pandemics and other business interruptions, which could impact our ability to meet delivery timelines, including delivery timelines to our customers, and lead to delays, reputational damage, potential penalties that we may be required to pay and potential terminations of agreements by our customers. If any such delay or disruption were to occur, it could have a material adverse effect on our liquidity and financial condition. Changes in the costs of procuring materials and equipment used in our construction and development programs, including vendor costs, or changes in our relationships with vendors, could have an adverse effect on our results of operations. During the COVID-19 pandemic, we have actively monitored our vendors and suppliers and remain in frequent communication with customers, contractors and suppliers. We have proactively managed our supply chain, and we believe we have secured the vast majority of the equipment needed to complete our 2021 development activities. To date, we have not observed any significant disruption to our supply chain or procurement process due to the COVID-19 pandemic. However, the full extent and impact of the ongoing COVID-19 pandemic on our future supply chain and procurement process cannot be reasonably estimated at this time and it could have a material adverse impact on our business and financial condition.</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1" w:name="page32"/>
    <w:bookmarkEnd w:id="3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We may not be able to adapt to changing technologies and customer requirements, and our data center infrastructure may become obsolete.</w:t>
      </w:r>
    </w:p>
    <w:p>
      <w:pPr>
        <w:spacing w:after="0" w:line="80" w:lineRule="exact"/>
        <w:rPr>
          <w:sz w:val="20"/>
          <w:szCs w:val="20"/>
          <w:color w:val="auto"/>
        </w:rPr>
      </w:pPr>
    </w:p>
    <w:p>
      <w:pPr>
        <w:ind w:left="20" w:right="59" w:firstLine="228"/>
        <w:spacing w:after="0" w:line="247" w:lineRule="auto"/>
        <w:rPr>
          <w:sz w:val="20"/>
          <w:szCs w:val="20"/>
          <w:color w:val="auto"/>
        </w:rPr>
      </w:pPr>
      <w:r>
        <w:rPr>
          <w:rFonts w:ascii="Times New Roman" w:cs="Times New Roman" w:eastAsia="Times New Roman" w:hAnsi="Times New Roman"/>
          <w:sz w:val="13"/>
          <w:szCs w:val="13"/>
          <w:color w:val="auto"/>
        </w:rPr>
        <w:t>The technology industry generally and specific industries in which certain of our customers operate are characterized by rapidly changing technology, customer requirements and industry standards. New systems to deliver power to or eliminate heat in data centers or the development of new server technology that does not require the levels of critical load and heat removal that our facilities are designed to provide and could be run less expensively on a different platform could make our data center infrastructure obsolete. Our power and cooling systems are difficult and expensive to upgrade, and we may not be able to efficiently upgrade or change these systems to meet new demands without incurring significant costs that we may not be able to pass on to our customers which could adversely impact our business, financial condition and results of operations. In addition, the infrastructure that connects our data centers to the Internet and other external networks may become insufficient, including with respect to latency, reliability and connectivity. We may not be able to adapt to changing technologies or meet customer demands for new processes or technologies in a timely and cost-effective manner, if at all, which would adversely impact our ability to sustain and grow our business.</w:t>
      </w:r>
    </w:p>
    <w:p>
      <w:pPr>
        <w:spacing w:after="0" w:line="60" w:lineRule="exact"/>
        <w:rPr>
          <w:sz w:val="20"/>
          <w:szCs w:val="20"/>
          <w:color w:val="auto"/>
        </w:rPr>
      </w:pPr>
    </w:p>
    <w:p>
      <w:pPr>
        <w:ind w:left="20" w:right="59" w:firstLine="228"/>
        <w:spacing w:after="0" w:line="246" w:lineRule="auto"/>
        <w:rPr>
          <w:sz w:val="20"/>
          <w:szCs w:val="20"/>
          <w:color w:val="auto"/>
        </w:rPr>
      </w:pPr>
      <w:r>
        <w:rPr>
          <w:rFonts w:ascii="Times New Roman" w:cs="Times New Roman" w:eastAsia="Times New Roman" w:hAnsi="Times New Roman"/>
          <w:sz w:val="13"/>
          <w:szCs w:val="13"/>
          <w:color w:val="auto"/>
        </w:rPr>
        <w:t>Further, our inability to adapt to changing customer requirements may make our data centers obsolete or unmarketable to such customers. Some of our customers operate at significant scale across numerous data center facilities and have designed cloud and computing networks with redundancies and fail-over capabilities across these facilities, which enhances the resiliency of their networks and applications. As a result, these customers may realize cost benefits by locating their data center operations in facilities with less electrical or mechanical infrastructure redundancy than is found in our existing data center facilities. Additionally, some of our customers have begun to operate their data centers using a wider range of humidity levels and at temperatures that are higher than servers customarily have operated at in the past, all of which may result in energy cost savings for these customers. We may not be able to operate our existing data centers under these environmental conditions, particularly in multi-tenant facilities with other customers who are not willing to operate under these conditions, and our data centers could be at a competitive disadvantage to facilities that satisfy such requirements. Because we may not be able to modify the redundancy levels or environmental systems of our existing data centers cost effectively, these or other changes in customer requirements could have a material adverse effect on our business, results of operations and financial condition.</w:t>
      </w:r>
    </w:p>
    <w:p>
      <w:pPr>
        <w:spacing w:after="0" w:line="64" w:lineRule="exact"/>
        <w:rPr>
          <w:sz w:val="20"/>
          <w:szCs w:val="20"/>
          <w:color w:val="auto"/>
        </w:rPr>
      </w:pPr>
    </w:p>
    <w:p>
      <w:pPr>
        <w:ind w:left="20" w:right="219" w:firstLine="228"/>
        <w:spacing w:after="0" w:line="252" w:lineRule="auto"/>
        <w:rPr>
          <w:sz w:val="20"/>
          <w:szCs w:val="20"/>
          <w:color w:val="auto"/>
        </w:rPr>
      </w:pPr>
      <w:r>
        <w:rPr>
          <w:rFonts w:ascii="Times New Roman" w:cs="Times New Roman" w:eastAsia="Times New Roman" w:hAnsi="Times New Roman"/>
          <w:sz w:val="13"/>
          <w:szCs w:val="13"/>
          <w:color w:val="auto"/>
        </w:rPr>
        <w:t>Additionally, due to regulations that apply to our customers as well as industry standards, such as ISO and SOC certifications which customers may deem desirable, they may seek specific requirements from their data centers that we are unable to provide. If new or different regulations or standards are adopted or such extra requirements are demanded by our customers, we could lose some customers or be unable to attract new customers in certain industries, which could materially and adversely affect our operations.</w:t>
      </w:r>
    </w:p>
    <w:p>
      <w:pPr>
        <w:spacing w:after="0" w:line="54" w:lineRule="exact"/>
        <w:rPr>
          <w:sz w:val="20"/>
          <w:szCs w:val="20"/>
          <w:color w:val="auto"/>
        </w:rPr>
      </w:pPr>
    </w:p>
    <w:p>
      <w:pPr>
        <w:ind w:left="20" w:right="11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We depend upon third-party suppliers for power, and we are vulnerable to service failures and to price increases by such suppliers and to volatility in the supply and price of power in the open market.</w:t>
      </w:r>
    </w:p>
    <w:p>
      <w:pPr>
        <w:spacing w:after="0" w:line="44" w:lineRule="exact"/>
        <w:rPr>
          <w:sz w:val="20"/>
          <w:szCs w:val="20"/>
          <w:color w:val="auto"/>
        </w:rPr>
      </w:pPr>
    </w:p>
    <w:p>
      <w:pPr>
        <w:ind w:left="20" w:right="139" w:firstLine="228"/>
        <w:spacing w:after="0" w:line="249" w:lineRule="auto"/>
        <w:rPr>
          <w:sz w:val="20"/>
          <w:szCs w:val="20"/>
          <w:color w:val="auto"/>
        </w:rPr>
      </w:pPr>
      <w:r>
        <w:rPr>
          <w:rFonts w:ascii="Times New Roman" w:cs="Times New Roman" w:eastAsia="Times New Roman" w:hAnsi="Times New Roman"/>
          <w:sz w:val="13"/>
          <w:szCs w:val="13"/>
          <w:color w:val="auto"/>
        </w:rPr>
        <w:t>We rely on third parties to provide power to our data centers, and we cannot ensure that these third parties will deliver such power in adequate quantities or on a consistent basis. If the amount of power available to us is inadequate to support our customer requirements, we may be unable to satisfy our obligations to our customers or grow our business. In addition, our data centers may be susceptible to power shortages and planned or unplanned power outages caused by these shortages. Power outages may last beyond our backup and alternative power arrangements, which would harm our customers and our business. Any loss of services or equipment damage could adversely affect both our ability to generate revenues and our operating results, harm our reputation and potentially lead to customer disputes or litigation.</w:t>
      </w:r>
    </w:p>
    <w:p>
      <w:pPr>
        <w:spacing w:after="0" w:line="60" w:lineRule="exact"/>
        <w:rPr>
          <w:sz w:val="20"/>
          <w:szCs w:val="20"/>
          <w:color w:val="auto"/>
        </w:rPr>
      </w:pPr>
    </w:p>
    <w:p>
      <w:pPr>
        <w:ind w:left="20" w:right="99" w:firstLine="228"/>
        <w:spacing w:after="0" w:line="252" w:lineRule="auto"/>
        <w:rPr>
          <w:sz w:val="20"/>
          <w:szCs w:val="20"/>
          <w:color w:val="auto"/>
        </w:rPr>
      </w:pPr>
      <w:r>
        <w:rPr>
          <w:rFonts w:ascii="Times New Roman" w:cs="Times New Roman" w:eastAsia="Times New Roman" w:hAnsi="Times New Roman"/>
          <w:sz w:val="13"/>
          <w:szCs w:val="13"/>
          <w:color w:val="auto"/>
        </w:rPr>
        <w:t>In addition, we may be subject to risks and unanticipated costs associated with obtaining power from various utility companies. Utilities that serve our data centers may be dependent on, and sensitive to price increases for, a particular type of fuel, such as coal, oil or natural gas. In addition, the price of these fuels and the electricity generated from them could increase as a result of proposed legislative measures related to climate change or efforts to regulate carbon emissions. Increases in the cost of power at any of our data centers would put those locations at a competitive disadvantage relative to data centers served by utilities that can provide less expensive power.</w:t>
      </w:r>
    </w:p>
    <w:p>
      <w:pPr>
        <w:spacing w:after="0" w:line="56" w:lineRule="exact"/>
        <w:rPr>
          <w:sz w:val="20"/>
          <w:szCs w:val="20"/>
          <w:color w:val="auto"/>
        </w:rPr>
      </w:pPr>
    </w:p>
    <w:p>
      <w:pPr>
        <w:ind w:left="20" w:right="279" w:firstLine="228"/>
        <w:spacing w:after="0" w:line="310" w:lineRule="auto"/>
        <w:rPr>
          <w:sz w:val="20"/>
          <w:szCs w:val="20"/>
          <w:color w:val="auto"/>
        </w:rPr>
      </w:pPr>
      <w:r>
        <w:rPr>
          <w:rFonts w:ascii="Times New Roman" w:cs="Times New Roman" w:eastAsia="Times New Roman" w:hAnsi="Times New Roman"/>
          <w:sz w:val="12"/>
          <w:szCs w:val="12"/>
          <w:color w:val="auto"/>
        </w:rPr>
        <w:t>We have also entered into power purchase agreements with contract terms ranging from 10-15 years. These agreements require us to purchase renewable energy credits from producers at fixed prices over the terms of the contracts, subject to certain adjustments. In the event that the market price for energy decreases, we may be required to</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2" w:name="page33"/>
    <w:bookmarkEnd w:id="3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79"/>
        <w:spacing w:after="0" w:line="256" w:lineRule="auto"/>
        <w:rPr>
          <w:sz w:val="20"/>
          <w:szCs w:val="20"/>
          <w:color w:val="auto"/>
        </w:rPr>
      </w:pPr>
      <w:r>
        <w:rPr>
          <w:rFonts w:ascii="Times New Roman" w:cs="Times New Roman" w:eastAsia="Times New Roman" w:hAnsi="Times New Roman"/>
          <w:sz w:val="13"/>
          <w:szCs w:val="13"/>
          <w:color w:val="auto"/>
        </w:rPr>
        <w:t>pay more under the power purchase agreements than we would otherwise if we were to purchase renewable energy credits on the open market, which could adversely affect our results of operations. Additionally, interruptions in the operations of one or more of the suppliers under these agreements, as a result of unpredictable weather, natural phenomena or otherwise, could negatively impact the quantity of renewable energy credits delivered to us.</w:t>
      </w:r>
    </w:p>
    <w:p>
      <w:pPr>
        <w:spacing w:after="0" w:line="51" w:lineRule="exact"/>
        <w:rPr>
          <w:sz w:val="20"/>
          <w:szCs w:val="20"/>
          <w:color w:val="auto"/>
        </w:rPr>
      </w:pPr>
    </w:p>
    <w:p>
      <w:pPr>
        <w:ind w:left="20" w:right="27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We depend on third parties to provide network connectivity to the customers in our data centers and any delays or disruptions in connectivity may materially adversely affect our operating results and cash flow.</w:t>
      </w:r>
    </w:p>
    <w:p>
      <w:pPr>
        <w:spacing w:after="0" w:line="44" w:lineRule="exact"/>
        <w:rPr>
          <w:sz w:val="20"/>
          <w:szCs w:val="20"/>
          <w:color w:val="auto"/>
        </w:rPr>
      </w:pPr>
    </w:p>
    <w:p>
      <w:pPr>
        <w:ind w:left="20" w:right="59" w:firstLine="228"/>
        <w:spacing w:after="0" w:line="248" w:lineRule="auto"/>
        <w:rPr>
          <w:sz w:val="20"/>
          <w:szCs w:val="20"/>
          <w:color w:val="auto"/>
        </w:rPr>
      </w:pPr>
      <w:r>
        <w:rPr>
          <w:rFonts w:ascii="Times New Roman" w:cs="Times New Roman" w:eastAsia="Times New Roman" w:hAnsi="Times New Roman"/>
          <w:sz w:val="13"/>
          <w:szCs w:val="13"/>
          <w:color w:val="auto"/>
        </w:rPr>
        <w:t>We are not a telecommunications carrier. Although our customers generally are responsible for providing their own network connectivity, we still depend upon the presence of telecommunications carriers’ fiber networks serving our data centers in order to attract and retain customers. We believe that the availability of carrier capacity will directly affect our ability to achieve our projected results. Any carrier may elect not to offer its services within our data centers. Any carrier that has decided to provide network connectivity to our data centers may not continue to do so for any period of time. Further, some carriers are experiencing business difficulties or have announced consolidations. As a result, some carriers may be forced to downsize or terminate connectivity within our data centers, which could have an adverse effect on the business of our customers and, in turn, our own operating results.</w:t>
      </w:r>
    </w:p>
    <w:p>
      <w:pPr>
        <w:spacing w:after="0" w:line="60" w:lineRule="exact"/>
        <w:rPr>
          <w:sz w:val="20"/>
          <w:szCs w:val="20"/>
          <w:color w:val="auto"/>
        </w:rPr>
      </w:pPr>
    </w:p>
    <w:p>
      <w:pPr>
        <w:ind w:left="20" w:right="39" w:firstLine="228"/>
        <w:spacing w:after="0" w:line="247" w:lineRule="auto"/>
        <w:rPr>
          <w:sz w:val="20"/>
          <w:szCs w:val="20"/>
          <w:color w:val="auto"/>
        </w:rPr>
      </w:pPr>
      <w:r>
        <w:rPr>
          <w:rFonts w:ascii="Times New Roman" w:cs="Times New Roman" w:eastAsia="Times New Roman" w:hAnsi="Times New Roman"/>
          <w:sz w:val="13"/>
          <w:szCs w:val="13"/>
          <w:color w:val="auto"/>
        </w:rPr>
        <w:t>Our data centers may require construction and operation of a sophisticated redundant fiber network. The construction required to connect multiple carrier facilities to our data centers is complex and involves factors outside of our control, including regulatory requirements and the availability of construction resources. We have obtained the right to use network resources owned by other companies, including rights to use dark fiber, in order to attract telecommunications carriers and customers to our portfolio. If the establishment of highly diverse network connectivity to our data centers does not occur, is materially delayed or is discontinued, or is subject to failure, our operating results and cash flow may be materially adversely affected. Additionally, any hardware or fiber failures on this network may result in significant loss of connectivity to our data centers. This could negatively affect our ability to attract new customers or retain existing customers, which could have an adverse effect on our business, financial condition and results of operations.</w:t>
      </w:r>
    </w:p>
    <w:p>
      <w:pPr>
        <w:spacing w:after="0" w:line="60" w:lineRule="exact"/>
        <w:rPr>
          <w:sz w:val="20"/>
          <w:szCs w:val="20"/>
          <w:color w:val="auto"/>
        </w:rPr>
      </w:pPr>
    </w:p>
    <w:p>
      <w:pPr>
        <w:ind w:left="20" w:right="13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Our international activities, including acquisition, ownership and operation of data centers located outside of the United States, subject us to risks different than those we face in the United States and we may not be able to effectively manage our international business.</w:t>
      </w:r>
    </w:p>
    <w:p>
      <w:pPr>
        <w:spacing w:after="0" w:line="44" w:lineRule="exact"/>
        <w:rPr>
          <w:sz w:val="20"/>
          <w:szCs w:val="20"/>
          <w:color w:val="auto"/>
        </w:rPr>
      </w:pPr>
    </w:p>
    <w:p>
      <w:pPr>
        <w:ind w:left="20" w:right="199" w:firstLine="228"/>
        <w:spacing w:after="0" w:line="268" w:lineRule="auto"/>
        <w:rPr>
          <w:sz w:val="20"/>
          <w:szCs w:val="20"/>
          <w:color w:val="auto"/>
        </w:rPr>
      </w:pPr>
      <w:r>
        <w:rPr>
          <w:rFonts w:ascii="Times New Roman" w:cs="Times New Roman" w:eastAsia="Times New Roman" w:hAnsi="Times New Roman"/>
          <w:sz w:val="13"/>
          <w:szCs w:val="13"/>
          <w:color w:val="auto"/>
        </w:rPr>
        <w:t>Our portfolio included 152 data centers located outside of the United States as of December 31, 2020. We have acquired and developed, and may continue to acquire and develop, and operate data centers outside the United States.</w:t>
      </w:r>
    </w:p>
    <w:p>
      <w:pPr>
        <w:spacing w:after="0" w:line="46" w:lineRule="exact"/>
        <w:rPr>
          <w:sz w:val="20"/>
          <w:szCs w:val="20"/>
          <w:color w:val="auto"/>
        </w:rPr>
      </w:pPr>
    </w:p>
    <w:p>
      <w:pPr>
        <w:ind w:left="20" w:right="119" w:firstLine="228"/>
        <w:spacing w:after="0" w:line="248" w:lineRule="auto"/>
        <w:rPr>
          <w:sz w:val="20"/>
          <w:szCs w:val="20"/>
          <w:color w:val="auto"/>
        </w:rPr>
      </w:pPr>
      <w:r>
        <w:rPr>
          <w:rFonts w:ascii="Times New Roman" w:cs="Times New Roman" w:eastAsia="Times New Roman" w:hAnsi="Times New Roman"/>
          <w:sz w:val="13"/>
          <w:szCs w:val="13"/>
          <w:color w:val="auto"/>
        </w:rPr>
        <w:t>The ownership and operation of data centers located outside of the United States subject us to risks from fluctuations in exchange rates between foreign currencies and the U.S. dollar. Changes in the relation of these currencies to the U.S. dollar will affect our revenues and operating margins, may materially adversely impact our financial condition, results of operations, cash flow, cash available for distribution and ability to satisfy our debt obligations. We may attempt to mitigate some or all of the risk of currency fluctuation by financing our properties in the local currency denominations, although we cannot assure you that we will be able to do so or that this will be effective. We may also engage in direct hedging activities to mitigate the risks of exchange rate fluctuations in a manner consistent with our qualifications as a REIT, although we cannot assure you that we will be able to do so or that this will be effective.</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Our foreign operations involve additional risks not generally associated with or different from operations in the United States, including:</w:t>
      </w:r>
    </w:p>
    <w:p>
      <w:pPr>
        <w:spacing w:after="0" w:line="78" w:lineRule="exact"/>
        <w:rPr>
          <w:sz w:val="20"/>
          <w:szCs w:val="20"/>
          <w:color w:val="auto"/>
        </w:rPr>
      </w:pPr>
    </w:p>
    <w:p>
      <w:pPr>
        <w:ind w:left="500" w:hanging="228"/>
        <w:spacing w:after="0"/>
        <w:tabs>
          <w:tab w:leader="none" w:pos="5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limited knowledge of and relationships with sellers, customers, contractors, suppliers or other parties in these metropolitan areas;</w:t>
      </w:r>
    </w:p>
    <w:p>
      <w:pPr>
        <w:spacing w:after="0" w:line="15"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complexity and costs associated with managing international development and operations;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difficulty in hiring qualified management, sales and construction personnel and service providers in a timely fashion;</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adoption and expansion of trade restrictions or the occurrence of trade wars;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differing employment practices and labor issues, including related to works councils, employee committees, labor unions and collective rights of action;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3" w:name="page34"/>
    <w:bookmarkEnd w:id="3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500" w:hanging="228"/>
        <w:spacing w:after="0"/>
        <w:tabs>
          <w:tab w:leader="none" w:pos="5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multiple, conflicting and changing legal, regulatory, entitlement and permitting, and tax and treaty environments;</w:t>
      </w:r>
    </w:p>
    <w:p>
      <w:pPr>
        <w:spacing w:after="0" w:line="15"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exposure to increased taxation, confiscation or expropriation;</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currency transfer restrictions and limitations on our ability to distribute cash earned in foreign jurisdictions to the United States;</w:t>
      </w:r>
    </w:p>
    <w:p>
      <w:pPr>
        <w:spacing w:after="0" w:line="2" w:lineRule="exact"/>
        <w:rPr>
          <w:rFonts w:ascii="Times New Roman" w:cs="Times New Roman" w:eastAsia="Times New Roman" w:hAnsi="Times New Roman"/>
          <w:sz w:val="13"/>
          <w:szCs w:val="13"/>
          <w:color w:val="auto"/>
        </w:rPr>
      </w:pPr>
    </w:p>
    <w:p>
      <w:pPr>
        <w:ind w:left="500" w:right="79" w:hanging="228"/>
        <w:spacing w:after="0" w:line="243" w:lineRule="auto"/>
        <w:tabs>
          <w:tab w:leader="none" w:pos="5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difficulty in enforcing agreements in non-U.S. jurisdictions, including those entered into in connection with our acquisitions or in the event of a default by one or more of our customers, suppliers or contractors;</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local business and cultural factors;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political and economic instability, including sovereign credit risk, in certain geographic regions; and</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bribery and corruption.</w:t>
      </w:r>
    </w:p>
    <w:p>
      <w:pPr>
        <w:spacing w:after="0" w:line="141" w:lineRule="exact"/>
        <w:rPr>
          <w:sz w:val="20"/>
          <w:szCs w:val="20"/>
          <w:color w:val="auto"/>
        </w:rPr>
      </w:pPr>
    </w:p>
    <w:p>
      <w:pPr>
        <w:ind w:left="20" w:right="59" w:firstLine="228"/>
        <w:spacing w:after="0" w:line="249" w:lineRule="auto"/>
        <w:rPr>
          <w:sz w:val="20"/>
          <w:szCs w:val="20"/>
          <w:color w:val="auto"/>
        </w:rPr>
      </w:pPr>
      <w:r>
        <w:rPr>
          <w:rFonts w:ascii="Times New Roman" w:cs="Times New Roman" w:eastAsia="Times New Roman" w:hAnsi="Times New Roman"/>
          <w:sz w:val="13"/>
          <w:szCs w:val="13"/>
          <w:color w:val="auto"/>
        </w:rPr>
        <w:t>We also face risks with investing in unfamiliar metropolitan areas. We have acquired and may continue to acquire properties in international metropolitan areas that are new to us. When we acquire properties located in these metropolitan areas, we may face risks associated with a lack of market knowledge or understanding of the local economy and culture, forging new business relationships in the area and unfamiliarity with local government and permitting procedures. In addition, due diligence, transaction and structuring costs may be higher than those we may face in the United States. We work to mitigate such risks through extensive diligence and research and associations with experienced local partners; however, we cannot assure you that all such risks will be eliminated.</w:t>
      </w:r>
    </w:p>
    <w:p>
      <w:pPr>
        <w:spacing w:after="0" w:line="60" w:lineRule="exact"/>
        <w:rPr>
          <w:sz w:val="20"/>
          <w:szCs w:val="20"/>
          <w:color w:val="auto"/>
        </w:rPr>
      </w:pPr>
    </w:p>
    <w:p>
      <w:pPr>
        <w:ind w:left="20" w:right="499" w:firstLine="228"/>
        <w:spacing w:after="0" w:line="268" w:lineRule="auto"/>
        <w:rPr>
          <w:sz w:val="20"/>
          <w:szCs w:val="20"/>
          <w:color w:val="auto"/>
        </w:rPr>
      </w:pPr>
      <w:r>
        <w:rPr>
          <w:rFonts w:ascii="Times New Roman" w:cs="Times New Roman" w:eastAsia="Times New Roman" w:hAnsi="Times New Roman"/>
          <w:sz w:val="13"/>
          <w:szCs w:val="13"/>
          <w:color w:val="auto"/>
        </w:rPr>
        <w:t>Our inability to overcome these risks could adversely affect our international activities, including our foreign operations and could harm our business and results of operations.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The United Kingdom’s withdrawal from the European Union may have a negative effect on global economic conditions, financial markets and our business.</w:t>
      </w:r>
    </w:p>
    <w:p>
      <w:pPr>
        <w:spacing w:after="0" w:line="80" w:lineRule="exact"/>
        <w:rPr>
          <w:sz w:val="20"/>
          <w:szCs w:val="20"/>
          <w:color w:val="auto"/>
        </w:rPr>
      </w:pPr>
    </w:p>
    <w:p>
      <w:pPr>
        <w:ind w:left="20" w:right="99" w:firstLine="228"/>
        <w:spacing w:after="0" w:line="247" w:lineRule="auto"/>
        <w:rPr>
          <w:sz w:val="20"/>
          <w:szCs w:val="20"/>
          <w:color w:val="auto"/>
        </w:rPr>
      </w:pPr>
      <w:r>
        <w:rPr>
          <w:rFonts w:ascii="Times New Roman" w:cs="Times New Roman" w:eastAsia="Times New Roman" w:hAnsi="Times New Roman"/>
          <w:sz w:val="13"/>
          <w:szCs w:val="13"/>
          <w:color w:val="auto"/>
        </w:rPr>
        <w:t>We are a global company with worldwide operations, including material business operations in Europe. 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62" w:lineRule="exact"/>
        <w:rPr>
          <w:sz w:val="20"/>
          <w:szCs w:val="20"/>
          <w:color w:val="auto"/>
        </w:rPr>
      </w:pPr>
    </w:p>
    <w:p>
      <w:pPr>
        <w:ind w:left="20" w:right="39" w:firstLine="228"/>
        <w:spacing w:after="0" w:line="247" w:lineRule="auto"/>
        <w:rPr>
          <w:sz w:val="20"/>
          <w:szCs w:val="20"/>
          <w:color w:val="auto"/>
        </w:rPr>
      </w:pPr>
      <w:r>
        <w:rPr>
          <w:rFonts w:ascii="Times New Roman" w:cs="Times New Roman" w:eastAsia="Times New Roman" w:hAnsi="Times New Roman"/>
          <w:sz w:val="13"/>
          <w:szCs w:val="13"/>
          <w:color w:val="auto"/>
        </w:rPr>
        <w:t>These developments, or the perception that any related developments could occur, have had and may continue to have a material adverse effect on global economic conditions and financial markets, and could significantly reduce global market liquidity and restrict the ability of key market participants to operate in certain financial markets. Asset valuations, currency exchange rates and credit ratings have been and may continue to be subject to increased market volatility. Lack of clarity about future United Kingdom laws and regulations as the United Kingdom determines which European Union laws to replace or replicate, including financial laws and regulations, tax and free trade agreements, tax and customs laws, intellectual property rights, environmental, health and safety laws and regulations, immigration laws, employment laws and transport laws could increase costs, disrupt supply chains, and depress economic activity and restrict our access to capital. Any of these factors could have a material adverse effect on our business, financial condition and results of operations and reduce the price of our securities.</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Our recent acquisitions may not achieve the intended benefits or may disrupt our plans and operations.</w:t>
      </w:r>
    </w:p>
    <w:p>
      <w:pPr>
        <w:spacing w:after="0" w:line="80" w:lineRule="exact"/>
        <w:rPr>
          <w:sz w:val="20"/>
          <w:szCs w:val="20"/>
          <w:color w:val="auto"/>
        </w:rPr>
      </w:pPr>
    </w:p>
    <w:p>
      <w:pPr>
        <w:ind w:left="20" w:right="59" w:firstLine="228"/>
        <w:spacing w:after="0" w:line="249" w:lineRule="auto"/>
        <w:rPr>
          <w:sz w:val="20"/>
          <w:szCs w:val="20"/>
          <w:color w:val="auto"/>
        </w:rPr>
      </w:pPr>
      <w:r>
        <w:rPr>
          <w:rFonts w:ascii="Times New Roman" w:cs="Times New Roman" w:eastAsia="Times New Roman" w:hAnsi="Times New Roman"/>
          <w:sz w:val="13"/>
          <w:szCs w:val="13"/>
          <w:color w:val="auto"/>
        </w:rPr>
        <w:t>Acquisitions present many risks, and we may not realize the financial or strategic goals that were contemplated at the time of the transaction. We completed the Telx Acquisition in October 2015, the European Portfolio Acquisition in July 2016, the DFT Merger in September 2017 and the Interxion Combination in March 2020. Our ability to realize the anticipated benefits of these and other acquisitions depends, to a large extent, on our ability to integrate each of them with our business. The combination of two independent businesses can be a complex, costly and time-consuming process, which requires significant time and focus from our management team and may divert attention from the day-to-</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4" w:name="page35"/>
    <w:bookmarkEnd w:id="3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59"/>
        <w:spacing w:after="0" w:line="249" w:lineRule="auto"/>
        <w:rPr>
          <w:sz w:val="20"/>
          <w:szCs w:val="20"/>
          <w:color w:val="auto"/>
        </w:rPr>
      </w:pPr>
      <w:r>
        <w:rPr>
          <w:rFonts w:ascii="Times New Roman" w:cs="Times New Roman" w:eastAsia="Times New Roman" w:hAnsi="Times New Roman"/>
          <w:sz w:val="13"/>
          <w:szCs w:val="13"/>
          <w:color w:val="auto"/>
        </w:rPr>
        <w:t>day operations of our business. There can be no assurance that we will be able to successfully integrate acquired properties and businesses with our business or otherwise realize the expected benefits of these acquisitions. In addition, even if our operations are integrated successfully with the operations of our acquisitions, we may not realize the full benefits of the acquisitions, including the synergies, operating efficiencies, or sales or growth opportunities that are expected. These benefits may not be achieved within the anticipated time frame or at all. All of these factors could decrease or delay any potential accretive effect of the acquisitions and negatively impact the price of our common stock.</w:t>
      </w:r>
    </w:p>
    <w:p>
      <w:pPr>
        <w:spacing w:after="0" w:line="60" w:lineRule="exact"/>
        <w:rPr>
          <w:sz w:val="20"/>
          <w:szCs w:val="20"/>
          <w:color w:val="auto"/>
        </w:rPr>
      </w:pPr>
    </w:p>
    <w:p>
      <w:pPr>
        <w:ind w:left="20" w:right="99" w:firstLine="228"/>
        <w:spacing w:after="0" w:line="248" w:lineRule="auto"/>
        <w:rPr>
          <w:sz w:val="20"/>
          <w:szCs w:val="20"/>
          <w:color w:val="auto"/>
        </w:rPr>
      </w:pPr>
      <w:r>
        <w:rPr>
          <w:rFonts w:ascii="Times New Roman" w:cs="Times New Roman" w:eastAsia="Times New Roman" w:hAnsi="Times New Roman"/>
          <w:sz w:val="13"/>
          <w:szCs w:val="13"/>
          <w:color w:val="auto"/>
        </w:rPr>
        <w:t>In addition, the overall integration of the businesses may result in material unanticipated problems, expenses, liabilities, competitive responses and loss of customer relationships, among other potential adverse consequences. Actual integration costs may exceed those estimated and there may be further unanticipated costs and the assumption of known and unknown liabilities. While we have assumed that we will incur certain integration expenses, there are factors beyond our control that could affect the total amount or the timing of such expenses. Many of the expenses that will be incurred, by their nature, are difficult to estimate accurately. If we cannot integrate and operate acquired properties or businesses to meet our financial expectations, our financial condition, results of operations, cash flow, cash available for distribution and ability to satisfy our debt service obligations could be materially adversely affected.</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risks of combining businesses include, among others:</w:t>
      </w:r>
    </w:p>
    <w:p>
      <w:pPr>
        <w:spacing w:after="0" w:line="78" w:lineRule="exact"/>
        <w:rPr>
          <w:sz w:val="20"/>
          <w:szCs w:val="20"/>
          <w:color w:val="auto"/>
        </w:rPr>
      </w:pPr>
    </w:p>
    <w:p>
      <w:pPr>
        <w:ind w:left="720" w:hanging="220"/>
        <w:spacing w:after="0"/>
        <w:tabs>
          <w:tab w:leader="none" w:pos="7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have underestimated the costs to make any necessary improvements to the acquired properties;</w:t>
      </w:r>
    </w:p>
    <w:p>
      <w:pPr>
        <w:spacing w:after="0" w:line="15"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acquired properties may be subject to reassessment, which may result in higher than expected property tax payments;</w:t>
      </w:r>
    </w:p>
    <w:p>
      <w:pPr>
        <w:spacing w:after="0" w:line="2" w:lineRule="exact"/>
        <w:rPr>
          <w:rFonts w:ascii="Times New Roman" w:cs="Times New Roman" w:eastAsia="Times New Roman" w:hAnsi="Times New Roman"/>
          <w:sz w:val="13"/>
          <w:szCs w:val="13"/>
          <w:color w:val="auto"/>
        </w:rPr>
      </w:pPr>
    </w:p>
    <w:p>
      <w:pPr>
        <w:ind w:left="720" w:right="439" w:hanging="220"/>
        <w:spacing w:after="0" w:line="243" w:lineRule="auto"/>
        <w:tabs>
          <w:tab w:leader="none" w:pos="7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integrate new acquisitions quickly and efficiently, particularly acquisitions of operating businesses or portfolios of properties, into our existing operations;</w:t>
      </w:r>
    </w:p>
    <w:p>
      <w:pPr>
        <w:spacing w:after="0" w:line="1"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face difficulties in integrating employees and in retaining key personnel;</w:t>
      </w:r>
    </w:p>
    <w:p>
      <w:pPr>
        <w:spacing w:after="0" w:line="2"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face challenges in keeping existing customers, including key customers, which could adversely impact our revenue;</w:t>
      </w:r>
    </w:p>
    <w:p>
      <w:pPr>
        <w:spacing w:after="0" w:line="2"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effectively manage our expanded operations; and</w:t>
      </w:r>
    </w:p>
    <w:p>
      <w:pPr>
        <w:spacing w:after="0" w:line="2"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conditions may result in higher than expected vacancy rates and lower than expected rental rates on acquired properties.</w:t>
      </w:r>
    </w:p>
    <w:p>
      <w:pPr>
        <w:spacing w:after="0" w:line="141" w:lineRule="exact"/>
        <w:rPr>
          <w:sz w:val="20"/>
          <w:szCs w:val="20"/>
          <w:color w:val="auto"/>
        </w:rPr>
      </w:pPr>
    </w:p>
    <w:p>
      <w:pPr>
        <w:ind w:left="20" w:right="59" w:firstLine="228"/>
        <w:spacing w:after="0" w:line="268" w:lineRule="auto"/>
        <w:rPr>
          <w:sz w:val="20"/>
          <w:szCs w:val="20"/>
          <w:color w:val="auto"/>
        </w:rPr>
      </w:pPr>
      <w:r>
        <w:rPr>
          <w:rFonts w:ascii="Times New Roman" w:cs="Times New Roman" w:eastAsia="Times New Roman" w:hAnsi="Times New Roman"/>
          <w:sz w:val="13"/>
          <w:szCs w:val="13"/>
          <w:color w:val="auto"/>
        </w:rPr>
        <w:t>Any one of these risks could result in increased costs, decreases in the amount of expected revenue and diversion of our management’s time and energy, which could have a material adverse effect on our business, financial condition, results of operations and cash flows.</w:t>
      </w:r>
    </w:p>
    <w:p>
      <w:pPr>
        <w:spacing w:after="0" w:line="46" w:lineRule="exact"/>
        <w:rPr>
          <w:sz w:val="20"/>
          <w:szCs w:val="20"/>
          <w:color w:val="auto"/>
        </w:rPr>
      </w:pPr>
    </w:p>
    <w:p>
      <w:pPr>
        <w:ind w:left="20" w:right="199" w:firstLine="228"/>
        <w:spacing w:after="0" w:line="252" w:lineRule="auto"/>
        <w:rPr>
          <w:sz w:val="20"/>
          <w:szCs w:val="20"/>
          <w:color w:val="auto"/>
        </w:rPr>
      </w:pPr>
      <w:r>
        <w:rPr>
          <w:rFonts w:ascii="Times New Roman" w:cs="Times New Roman" w:eastAsia="Times New Roman" w:hAnsi="Times New Roman"/>
          <w:sz w:val="13"/>
          <w:szCs w:val="13"/>
          <w:color w:val="auto"/>
        </w:rPr>
        <w:t>Additionally, our portfolio consisted of 291 data centers at December 31, 2020, including 43 data centers held as investments in unconsolidated joint ventures. Several of our data centers, including the data centers which we have acquired in the past five years, have been under our management for a limited time. The data centers may have characteristics or deficiencies unknown to us that could affect their valuation or revenue potential. We cannot assure you that the operating performance of these data centers will not decline under our management.</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We may be subject to unknown or contingent liabilities related to our recent acquisitions, for which we may have no or limited recourse against the sellers.</w:t>
      </w:r>
    </w:p>
    <w:p>
      <w:pPr>
        <w:spacing w:after="0" w:line="80" w:lineRule="exact"/>
        <w:rPr>
          <w:sz w:val="20"/>
          <w:szCs w:val="20"/>
          <w:color w:val="auto"/>
        </w:rPr>
      </w:pPr>
    </w:p>
    <w:p>
      <w:pPr>
        <w:ind w:left="20" w:right="59" w:firstLine="228"/>
        <w:spacing w:after="0" w:line="248" w:lineRule="auto"/>
        <w:rPr>
          <w:sz w:val="20"/>
          <w:szCs w:val="20"/>
          <w:color w:val="auto"/>
        </w:rPr>
      </w:pPr>
      <w:r>
        <w:rPr>
          <w:rFonts w:ascii="Times New Roman" w:cs="Times New Roman" w:eastAsia="Times New Roman" w:hAnsi="Times New Roman"/>
          <w:sz w:val="13"/>
          <w:szCs w:val="13"/>
          <w:color w:val="auto"/>
        </w:rPr>
        <w:t>Our recent and future acquisitions may be subject to unknown or contingent liabilities for which we may have no or limited recourse against the sellers. Unknown or contingent liabilities might include liabilities for clean-up or remediation of environmental conditions, claims of customers, vendors or other persons dealing with the acquired entities or the former owners of acquired properties or businesses, tax liabilities, claims for indemnification by general partners, directors, officers and others indemnified by the former owners of acquired properties or businesses, and other liabilities whether incurred in the ordinary course of business or otherwise. In addition, the total amount of costs and expenses that we may incur with respect to liabilities associated with our acquisitions may exceed our expectations, which may adversely affect our business, financial condition and results of operations.</w:t>
      </w:r>
    </w:p>
    <w:p>
      <w:pPr>
        <w:spacing w:after="0" w:line="60" w:lineRule="exact"/>
        <w:rPr>
          <w:sz w:val="20"/>
          <w:szCs w:val="20"/>
          <w:color w:val="auto"/>
        </w:rPr>
      </w:pPr>
    </w:p>
    <w:p>
      <w:pPr>
        <w:ind w:left="20" w:right="159" w:firstLine="228"/>
        <w:spacing w:after="0" w:line="256" w:lineRule="auto"/>
        <w:rPr>
          <w:sz w:val="20"/>
          <w:szCs w:val="20"/>
          <w:color w:val="auto"/>
        </w:rPr>
      </w:pPr>
      <w:r>
        <w:rPr>
          <w:rFonts w:ascii="Times New Roman" w:cs="Times New Roman" w:eastAsia="Times New Roman" w:hAnsi="Times New Roman"/>
          <w:sz w:val="13"/>
          <w:szCs w:val="13"/>
          <w:color w:val="auto"/>
        </w:rPr>
        <w:t>Further, we have entered, and may in the future enter, into transactions with limited representations and warranties or with representations and warranties that do not survive the closing of such transactions, in which event we would have no or limited recourse against the sellers of such properties or businesses. While we usually require the sellers to</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5" w:name="page36"/>
    <w:bookmarkEnd w:id="3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159"/>
        <w:spacing w:after="0" w:line="250" w:lineRule="auto"/>
        <w:rPr>
          <w:sz w:val="20"/>
          <w:szCs w:val="20"/>
          <w:color w:val="auto"/>
        </w:rPr>
      </w:pPr>
      <w:r>
        <w:rPr>
          <w:rFonts w:ascii="Times New Roman" w:cs="Times New Roman" w:eastAsia="Times New Roman" w:hAnsi="Times New Roman"/>
          <w:sz w:val="13"/>
          <w:szCs w:val="13"/>
          <w:color w:val="auto"/>
        </w:rPr>
        <w:t>indemnify us with respect to breaches of representations and warranties that survive, such indemnification is often limited and subject to various materiality thresholds, a significant deductible or an aggregate cap on losses. We may obtain insurance policies providing for coverage for breaches of certain representations and warranties in certain transactions, subject to certain exclusions and a deductible, however, there can be no assurance that we would be able to recover any amounts with respect to losses due to breaches of any such representations and warranties. As a result, there is no guarantee that we will recover any amounts with respect to losses due to breaches by the sellers of their representations and warranties. Finally, indemnification agreements between us and the sellers typically provide that the sellers will retain certain specified liabilities relating to the properties or businesses acquired by us. While the sellers are generally contractually obligated to pay all losses and other expenses relating to such retained liabilities, there can be no guarantee that such arrangements will not require us to incur losses or other expenses as well.</w:t>
      </w:r>
    </w:p>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We may be unable to identify, including sourcing off-market deal flow, and complete acquisitions on favorable terms or at all.</w:t>
      </w:r>
    </w:p>
    <w:p>
      <w:pPr>
        <w:spacing w:after="0" w:line="80" w:lineRule="exact"/>
        <w:rPr>
          <w:sz w:val="20"/>
          <w:szCs w:val="20"/>
          <w:color w:val="auto"/>
        </w:rPr>
      </w:pPr>
    </w:p>
    <w:p>
      <w:pPr>
        <w:ind w:left="20" w:right="59" w:firstLine="228"/>
        <w:spacing w:after="0" w:line="249" w:lineRule="auto"/>
        <w:rPr>
          <w:sz w:val="20"/>
          <w:szCs w:val="20"/>
          <w:color w:val="auto"/>
        </w:rPr>
      </w:pPr>
      <w:r>
        <w:rPr>
          <w:rFonts w:ascii="Times New Roman" w:cs="Times New Roman" w:eastAsia="Times New Roman" w:hAnsi="Times New Roman"/>
          <w:sz w:val="13"/>
          <w:szCs w:val="13"/>
          <w:color w:val="auto"/>
        </w:rPr>
        <w:t>A component of our growth strategy is to continue to acquire additional data centers, and we continually evaluate the market of available properties and businesses and may acquire additional properties or businesses when opportunities exist. To date, a substantial portion of our acquisitions were completed before they were widely marketed by real estate brokers, or “off-market.” Properties that are acquired off-market are typically more attractive to us as a purchaser because of the absence of competitive bidding, which could potentially lead to higher prices. We obtain access to off-market deal flow from numerous sources. If we cannot obtain off-market deal flow in the future, our ability to identify and acquire additional properties at attractive prices could be adversely affected.</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Our ability to acquire properties or businesses on favorable terms may be subject to the following significant risks:</w:t>
      </w:r>
    </w:p>
    <w:p>
      <w:pPr>
        <w:spacing w:after="0" w:line="78" w:lineRule="exact"/>
        <w:rPr>
          <w:sz w:val="20"/>
          <w:szCs w:val="20"/>
          <w:color w:val="auto"/>
        </w:rPr>
      </w:pPr>
    </w:p>
    <w:p>
      <w:pPr>
        <w:ind w:left="720" w:right="59" w:hanging="220"/>
        <w:spacing w:after="0" w:line="254" w:lineRule="auto"/>
        <w:tabs>
          <w:tab w:leader="none" w:pos="7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acquire a desired property or business because of competition from other real estate investors with significant capital, including both publicly traded REITs and institutional investment funds;</w:t>
      </w:r>
    </w:p>
    <w:p>
      <w:pPr>
        <w:ind w:left="720" w:right="159" w:hanging="220"/>
        <w:spacing w:after="0" w:line="243" w:lineRule="auto"/>
        <w:tabs>
          <w:tab w:leader="none" w:pos="7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even if we are able to acquire a desired property or business, competition from other potential acquirers may significantly increase the purchase price or result in other less favorable terms;</w:t>
      </w:r>
    </w:p>
    <w:p>
      <w:pPr>
        <w:spacing w:after="0" w:line="1"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even if we enter into agreements for the acquisition of real estate or businesses, these agreements are subject to customary conditions to closing; and</w:t>
      </w:r>
    </w:p>
    <w:p>
      <w:pPr>
        <w:spacing w:after="0" w:line="2"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finance acquisitions on favorable terms or at all.</w:t>
      </w:r>
    </w:p>
    <w:p>
      <w:pPr>
        <w:spacing w:after="0" w:line="141" w:lineRule="exact"/>
        <w:rPr>
          <w:sz w:val="20"/>
          <w:szCs w:val="20"/>
          <w:color w:val="auto"/>
        </w:rPr>
      </w:pPr>
    </w:p>
    <w:p>
      <w:pPr>
        <w:ind w:left="20" w:right="119" w:firstLine="228"/>
        <w:spacing w:after="0" w:line="268" w:lineRule="auto"/>
        <w:rPr>
          <w:sz w:val="20"/>
          <w:szCs w:val="20"/>
          <w:color w:val="auto"/>
        </w:rPr>
      </w:pPr>
      <w:r>
        <w:rPr>
          <w:rFonts w:ascii="Times New Roman" w:cs="Times New Roman" w:eastAsia="Times New Roman" w:hAnsi="Times New Roman"/>
          <w:sz w:val="13"/>
          <w:szCs w:val="13"/>
          <w:color w:val="auto"/>
        </w:rPr>
        <w:t>If we cannot complete property or business acquisitions on favorable terms or at all, our financial condition, results of operations, cash flow, cash available for distribution and ability to satisfy our debt service obligations could be materially adversely affected.</w:t>
      </w:r>
    </w:p>
    <w:p>
      <w:pPr>
        <w:spacing w:after="0" w:line="44" w:lineRule="exact"/>
        <w:rPr>
          <w:sz w:val="20"/>
          <w:szCs w:val="20"/>
          <w:color w:val="auto"/>
        </w:rPr>
      </w:pPr>
    </w:p>
    <w:p>
      <w:pPr>
        <w:ind w:left="20" w:right="5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Joint venture (JV) investments could be adversely affected by our lack of sole decision-making authority, our reliance on our JV partners’ financial condition and disputes between us and our JV partners.</w:t>
      </w:r>
    </w:p>
    <w:p>
      <w:pPr>
        <w:spacing w:after="0" w:line="44" w:lineRule="exact"/>
        <w:rPr>
          <w:sz w:val="20"/>
          <w:szCs w:val="20"/>
          <w:color w:val="auto"/>
        </w:rPr>
      </w:pPr>
    </w:p>
    <w:p>
      <w:pPr>
        <w:ind w:left="20" w:right="39" w:firstLine="228"/>
        <w:spacing w:after="0" w:line="268" w:lineRule="auto"/>
        <w:rPr>
          <w:sz w:val="20"/>
          <w:szCs w:val="20"/>
          <w:color w:val="auto"/>
        </w:rPr>
      </w:pPr>
      <w:r>
        <w:rPr>
          <w:rFonts w:ascii="Times New Roman" w:cs="Times New Roman" w:eastAsia="Times New Roman" w:hAnsi="Times New Roman"/>
          <w:sz w:val="12"/>
          <w:szCs w:val="12"/>
          <w:color w:val="auto"/>
        </w:rPr>
        <w:t>We currently, and may in the future, co-invest with third parties through partnerships, joint ventures or other entities, acquiring non-controlling interests in or sharing responsibility for managing the affairs of a property or portfolio of properties, partnership, joint venture or other entity. In these events, we are not in a position to exercise sole decision-making authority regarding the properties, partnership, joint venture or other entity. Investments in partnerships, joint ventures, or other entities may, under certain circumstances, involve risks not present when a third party is not involved, including the possibility that partners might become bankrupt or fail to fund their share of required capital contributions. Partners may have economic, tax or other business interests or goals which are inconsistent with our business interests or goals, and may be in a position to take actions contrary to our policies or objectives. Our joint venture partners may take actions that are not within our control, which would require us to dispose of the joint venture asset or transfer it to a taxable REIT subsidiary in order for Digital Realty Trust, Inc. to maintain its status as a REIT. Such investments may also lead to impasses, for example, as to whether to sell a property, because neither we nor our partner would have full control over the partnership or joint venture. Disputes between us and our partners may result in litigation or arbitration that would increase our expenses and prevent our management from focusing their time and effort on our day-to-day business. Consequently, actions by or disputes with our partners may subject properties owned by the partnership or joint venture to additional risk. In addition, we may in certain circumstances be liable for the actions of our third-party partners. Each of these factors may result in returns on these investments being less than we expect or in losses and our</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6" w:name="page37"/>
    <w:bookmarkEnd w:id="3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financial and operating results may be adversely affected. In addition, we cannot assure you that we will be able to close joint ventures, on the anticipated schedule or at all.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Failure to complete any such joint venture could have a negative impact on our business and the trading price of our common stock.</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Brazilian political and economic conditions could adversely affect our investment in the Ascenty joint venture.</w:t>
      </w:r>
    </w:p>
    <w:p>
      <w:pPr>
        <w:spacing w:after="0" w:line="80" w:lineRule="exact"/>
        <w:rPr>
          <w:sz w:val="20"/>
          <w:szCs w:val="20"/>
          <w:color w:val="auto"/>
        </w:rPr>
      </w:pPr>
    </w:p>
    <w:p>
      <w:pPr>
        <w:ind w:left="20" w:right="79" w:firstLine="228"/>
        <w:spacing w:after="0" w:line="248" w:lineRule="auto"/>
        <w:rPr>
          <w:sz w:val="20"/>
          <w:szCs w:val="20"/>
          <w:color w:val="auto"/>
        </w:rPr>
      </w:pPr>
      <w:r>
        <w:rPr>
          <w:rFonts w:ascii="Times New Roman" w:cs="Times New Roman" w:eastAsia="Times New Roman" w:hAnsi="Times New Roman"/>
          <w:sz w:val="13"/>
          <w:szCs w:val="13"/>
          <w:color w:val="auto"/>
        </w:rPr>
        <w:t>Ascenty’s portfolio of data centers is concentrated in Brazil. The Brazilian government frequently intervenes in the Brazilian economy and occasionally makes significant changes in policy and regulations. The Brazilian government’s actions designed to control inflation, stimulate growth and other policies and regulations have often involved, among other measures, increases in interest rates, changes in tax policies, price controls, currency devaluations, capital controls and limits on imported goods and services. We cannot control or predict changes in policy or regulations that the Brazilian government might adopt in the future. Our investment in the Ascenty joint venture may be adversely affected by the economic and political conditions in Brazil as well as changes in policy or regulations at the federal, state or municipal levels involving or affecting factors such as economic or social factors or political instability.</w:t>
      </w:r>
    </w:p>
    <w:p>
      <w:pPr>
        <w:spacing w:after="0" w:line="58" w:lineRule="exact"/>
        <w:rPr>
          <w:sz w:val="20"/>
          <w:szCs w:val="20"/>
          <w:color w:val="auto"/>
        </w:rPr>
      </w:pPr>
    </w:p>
    <w:p>
      <w:pPr>
        <w:jc w:val="both"/>
        <w:ind w:left="20" w:right="7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Any delays or unexpected costs in the development of our existing space and developable land and new properties acquired for development may delay and harm our growth prospects, future operating results and financial condition.</w:t>
      </w:r>
    </w:p>
    <w:p>
      <w:pPr>
        <w:spacing w:after="0" w:line="44" w:lineRule="exact"/>
        <w:rPr>
          <w:sz w:val="20"/>
          <w:szCs w:val="20"/>
          <w:color w:val="auto"/>
        </w:rPr>
      </w:pPr>
    </w:p>
    <w:p>
      <w:pPr>
        <w:jc w:val="both"/>
        <w:ind w:left="20" w:right="79" w:firstLine="228"/>
        <w:spacing w:after="0" w:line="256" w:lineRule="auto"/>
        <w:rPr>
          <w:sz w:val="20"/>
          <w:szCs w:val="20"/>
          <w:color w:val="auto"/>
        </w:rPr>
      </w:pPr>
      <w:r>
        <w:rPr>
          <w:rFonts w:ascii="Times New Roman" w:cs="Times New Roman" w:eastAsia="Times New Roman" w:hAnsi="Times New Roman"/>
          <w:sz w:val="13"/>
          <w:szCs w:val="13"/>
          <w:color w:val="auto"/>
        </w:rPr>
        <w:t>At December 31, 2020, we had approximately 5.4 million square feet of space under active development and approximately 2.3 million square feet of space held for future development. We have built and may continue to build out a large portion of this space on a speculative basis at significant cost. Our successful development of these projects is subject to many risks, including those associated with:</w:t>
      </w:r>
    </w:p>
    <w:p>
      <w:pPr>
        <w:spacing w:after="0" w:line="53" w:lineRule="exact"/>
        <w:rPr>
          <w:sz w:val="20"/>
          <w:szCs w:val="20"/>
          <w:color w:val="auto"/>
        </w:rPr>
      </w:pPr>
    </w:p>
    <w:p>
      <w:pPr>
        <w:ind w:left="500" w:hanging="228"/>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delays in construction, or changes to the plans or specifications;</w:t>
      </w:r>
    </w:p>
    <w:p>
      <w:pPr>
        <w:spacing w:after="0" w:line="15" w:lineRule="exact"/>
        <w:rPr>
          <w:rFonts w:ascii="Times New Roman" w:cs="Times New Roman" w:eastAsia="Times New Roman" w:hAnsi="Times New Roman"/>
          <w:sz w:val="13"/>
          <w:szCs w:val="13"/>
          <w:color w:val="auto"/>
        </w:rPr>
      </w:pPr>
    </w:p>
    <w:p>
      <w:pPr>
        <w:ind w:left="500" w:right="59" w:hanging="228"/>
        <w:spacing w:after="0" w:line="243" w:lineRule="auto"/>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budget overruns, increased prices for raw materials or building supplies, or lack of availability and/or increased costs for specialized data center components, including long lead time items such as generators;</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construction site accidents and other casualties;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financing availability, including our ability to obtain construction financing and permanent financing, or increases in interest rates or credit spreads;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labor availability, costs, disputes and work stoppages with contractors, subcontractors or others that are constructing the project;</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of contractors to perform on a timely basis or at all, or other misconduct on the part of contractors;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access to sufficient power and related costs of providing such power to our customers;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environmental issues;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supply chain constraints;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fire, flooding, earthquakes and other natural disasters;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pandemics;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geological, construction, excavation and equipment problems; and</w:t>
      </w:r>
    </w:p>
    <w:p>
      <w:pPr>
        <w:spacing w:after="0" w:line="2" w:lineRule="exact"/>
        <w:rPr>
          <w:rFonts w:ascii="Times New Roman" w:cs="Times New Roman" w:eastAsia="Times New Roman" w:hAnsi="Times New Roman"/>
          <w:sz w:val="13"/>
          <w:szCs w:val="13"/>
          <w:color w:val="auto"/>
        </w:rPr>
      </w:pPr>
    </w:p>
    <w:p>
      <w:pPr>
        <w:ind w:left="260" w:right="59" w:firstLine="12"/>
        <w:spacing w:after="0" w:line="264" w:lineRule="auto"/>
        <w:tabs>
          <w:tab w:leader="none" w:pos="507"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or denials of entitlements or permits, including zoning and related permits, or other delays resulting from requirements of public agencies and utility companies. In addition, while we intend to develop data centers primarily in metropolitan areas we are familiar with, we may in the future develop data centers in new geographic</w:t>
      </w:r>
    </w:p>
    <w:p>
      <w:pPr>
        <w:ind w:left="20" w:right="99"/>
        <w:spacing w:after="0" w:line="288" w:lineRule="auto"/>
        <w:rPr>
          <w:sz w:val="20"/>
          <w:szCs w:val="20"/>
          <w:color w:val="auto"/>
        </w:rPr>
      </w:pPr>
      <w:r>
        <w:rPr>
          <w:rFonts w:ascii="Times New Roman" w:cs="Times New Roman" w:eastAsia="Times New Roman" w:hAnsi="Times New Roman"/>
          <w:sz w:val="12"/>
          <w:szCs w:val="12"/>
          <w:color w:val="auto"/>
        </w:rPr>
        <w:t>regions where we expect the development to result in favorable risk-adjusted returns on our investment. We may not possess the same level of familiarity with the development of data centers in other metropolitan areas, which could adversely affect our ability to develop such data centers successfully or at all or to achieve expected performance.</w:t>
      </w:r>
    </w:p>
    <w:p>
      <w:pPr>
        <w:spacing w:after="0" w:line="36" w:lineRule="exact"/>
        <w:rPr>
          <w:sz w:val="20"/>
          <w:szCs w:val="20"/>
          <w:color w:val="auto"/>
        </w:rPr>
      </w:pPr>
    </w:p>
    <w:p>
      <w:pPr>
        <w:ind w:left="20" w:right="139" w:firstLine="228"/>
        <w:spacing w:after="0" w:line="256" w:lineRule="auto"/>
        <w:rPr>
          <w:sz w:val="20"/>
          <w:szCs w:val="20"/>
          <w:color w:val="auto"/>
        </w:rPr>
      </w:pPr>
      <w:r>
        <w:rPr>
          <w:rFonts w:ascii="Times New Roman" w:cs="Times New Roman" w:eastAsia="Times New Roman" w:hAnsi="Times New Roman"/>
          <w:sz w:val="13"/>
          <w:szCs w:val="13"/>
          <w:color w:val="auto"/>
        </w:rPr>
        <w:t>Development activities, regardless of whether they are ultimately successful, also typically require a substantial portion of our management’s time and attention. This may distract our management from focusing on other operational activities of our business. If we are unable to complete development projects successfully, our business may be adversely affected.</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7" w:name="page38"/>
    <w:bookmarkEnd w:id="3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right="19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Discontinuation, reform or replacement of the London Interbank Offered Rate (LIBOR) and other benchmark rates, or uncertainty related to the potential for any of the foregoing, may adversely affect our business.</w:t>
      </w:r>
    </w:p>
    <w:p>
      <w:pPr>
        <w:spacing w:after="0" w:line="44" w:lineRule="exact"/>
        <w:rPr>
          <w:sz w:val="20"/>
          <w:szCs w:val="20"/>
          <w:color w:val="auto"/>
        </w:rPr>
      </w:pPr>
    </w:p>
    <w:p>
      <w:pPr>
        <w:ind w:left="20" w:right="119" w:firstLine="228"/>
        <w:spacing w:after="0" w:line="249" w:lineRule="auto"/>
        <w:rPr>
          <w:sz w:val="20"/>
          <w:szCs w:val="20"/>
          <w:color w:val="auto"/>
        </w:rPr>
      </w:pPr>
      <w:r>
        <w:rPr>
          <w:rFonts w:ascii="Times New Roman" w:cs="Times New Roman" w:eastAsia="Times New Roman" w:hAnsi="Times New Roman"/>
          <w:sz w:val="13"/>
          <w:szCs w:val="13"/>
          <w:color w:val="auto"/>
        </w:rPr>
        <w:t>Certain of our variable rate debt, including our global revolving credit facility, uses LIBOR as a benchmark for establishing the interest rate. The U.K. Financial Conduct Authority announced in 2017 that it intends to phase out LIBOR by the end of 2021. In addition, other regulators have suggested reforming or replacing other benchmark rates. Discontinuation, reform or replacement of LIBOR or any other benchmark rates may have an unpredictable impact on contractual mechanics in the credit markets or cause disruption to the broader financial markets. Uncertainty as to the nature of such potential discontinuation, reform or replacement may negatively impact the cost of our variable rate debt.</w:t>
      </w:r>
    </w:p>
    <w:p>
      <w:pPr>
        <w:spacing w:after="0" w:line="60" w:lineRule="exact"/>
        <w:rPr>
          <w:sz w:val="20"/>
          <w:szCs w:val="20"/>
          <w:color w:val="auto"/>
        </w:rPr>
      </w:pPr>
    </w:p>
    <w:p>
      <w:pPr>
        <w:ind w:left="20" w:right="99" w:firstLine="228"/>
        <w:spacing w:after="0" w:line="310" w:lineRule="auto"/>
        <w:rPr>
          <w:sz w:val="20"/>
          <w:szCs w:val="20"/>
          <w:color w:val="auto"/>
        </w:rPr>
      </w:pPr>
      <w:r>
        <w:rPr>
          <w:rFonts w:ascii="Times New Roman" w:cs="Times New Roman" w:eastAsia="Times New Roman" w:hAnsi="Times New Roman"/>
          <w:sz w:val="12"/>
          <w:szCs w:val="12"/>
          <w:color w:val="auto"/>
        </w:rPr>
        <w:t>We anticipate managing the transition to a preferred alternative rate using the language set out in our agreements and through potentially modifying our debt and derivative instruments. However, future market conditions may not allow immediate implementation of desired modifications and we may incur significant associated costs in doing so.</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We have substantial debt and face risks associated with the use of debt to fund our business activities, including refinancing and interest rate risks.</w:t>
      </w:r>
    </w:p>
    <w:p>
      <w:pPr>
        <w:spacing w:after="0" w:line="80" w:lineRule="exact"/>
        <w:rPr>
          <w:sz w:val="20"/>
          <w:szCs w:val="20"/>
          <w:color w:val="auto"/>
        </w:rPr>
      </w:pPr>
    </w:p>
    <w:p>
      <w:pPr>
        <w:ind w:left="20" w:right="79" w:firstLine="228"/>
        <w:spacing w:after="0" w:line="249" w:lineRule="auto"/>
        <w:rPr>
          <w:sz w:val="20"/>
          <w:szCs w:val="20"/>
          <w:color w:val="auto"/>
        </w:rPr>
      </w:pPr>
      <w:r>
        <w:rPr>
          <w:rFonts w:ascii="Times New Roman" w:cs="Times New Roman" w:eastAsia="Times New Roman" w:hAnsi="Times New Roman"/>
          <w:sz w:val="13"/>
          <w:szCs w:val="13"/>
          <w:color w:val="auto"/>
        </w:rPr>
        <w:t>Our total consolidated indebtedness at December 31, 2020 was approximately $13.3 billion, and we may incur significant additional debt to finance future acquisition, investment and development activities. As of December 31, 2020, we have a $2.35 billion global revolving credit facility. We have the ability from time to time to increase the size of the global revolving credit facility and the unsecured term loans (discussed below), in any combination, by up to $1.25 billion, subject to receipt of lender commitments and other conditions precedent. At December 31, 2020, approximately $1.8 billion was available under this facility, net of outstanding letters of credit. As of February 24, 2021, we had approximately $1.7 billion available under the global revolving credit facility, net of outstanding letters of credit.</w:t>
      </w:r>
    </w:p>
    <w:p>
      <w:pPr>
        <w:spacing w:after="0" w:line="60" w:lineRule="exact"/>
        <w:rPr>
          <w:sz w:val="20"/>
          <w:szCs w:val="20"/>
          <w:color w:val="auto"/>
        </w:rPr>
      </w:pPr>
    </w:p>
    <w:p>
      <w:pPr>
        <w:ind w:left="20" w:right="59" w:firstLine="228"/>
        <w:spacing w:after="0" w:line="249" w:lineRule="auto"/>
        <w:rPr>
          <w:sz w:val="20"/>
          <w:szCs w:val="20"/>
          <w:color w:val="auto"/>
        </w:rPr>
      </w:pPr>
      <w:r>
        <w:rPr>
          <w:rFonts w:ascii="Times New Roman" w:cs="Times New Roman" w:eastAsia="Times New Roman" w:hAnsi="Times New Roman"/>
          <w:sz w:val="13"/>
          <w:szCs w:val="13"/>
          <w:color w:val="auto"/>
        </w:rPr>
        <w:t>Our substantial indebtedness currently requires us to dedicate a significant portion of our cash flow from operations to debt service payments, which reduces the availability of our cash flow to fund working capital, capital expenditures, expansion efforts, distributions and other general corporate purposes. Additionally, it could: make it more difficult for us to satisfy our obligations with respect to our indebtedness; limit our ability in the future to undertake refinancings of our debt or obtain financing for expenditures, acquisitions, development or other general corporate purposes on terms and conditions acceptable to us, if at all; or affect adversely our ability to compete effectively or operate successfully under adverse economic conditions.</w:t>
      </w:r>
    </w:p>
    <w:p>
      <w:pPr>
        <w:spacing w:after="0" w:line="60" w:lineRule="exact"/>
        <w:rPr>
          <w:sz w:val="20"/>
          <w:szCs w:val="20"/>
          <w:color w:val="auto"/>
        </w:rPr>
      </w:pPr>
    </w:p>
    <w:p>
      <w:pPr>
        <w:ind w:left="20" w:right="119" w:firstLine="228"/>
        <w:spacing w:after="0" w:line="248" w:lineRule="auto"/>
        <w:rPr>
          <w:sz w:val="20"/>
          <w:szCs w:val="20"/>
          <w:color w:val="auto"/>
        </w:rPr>
      </w:pPr>
      <w:r>
        <w:rPr>
          <w:rFonts w:ascii="Times New Roman" w:cs="Times New Roman" w:eastAsia="Times New Roman" w:hAnsi="Times New Roman"/>
          <w:sz w:val="13"/>
          <w:szCs w:val="13"/>
          <w:color w:val="auto"/>
        </w:rPr>
        <w:t>In addition, we may violate restrictive covenants or fail to maintain financial ratios specified in our loan documents, which would entitle the lenders to accelerate our debt obligations, and our secured lenders or mortgagees may foreclose on our properties or our interests in the entities that own the properties that secure their loans and receive an assignment of rents and leases. Our default under any one of our loans could result in a cross-default on other indebtedness. A foreclosure on one or more of our properties could adversely affect our access to capital, financial condition, results of operations, cash flow and cash available for distribution. Further, foreclosures could create taxable income without accompanying cash proceeds, a circumstance which could hinder Digital Realty Trust, Inc.’s ability to meet the REIT distribution requirements imposed by the Internal Revenue Code of 1986, as amended, or the Code.</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Additional risks related to our indebtedness include the following:</w:t>
      </w:r>
    </w:p>
    <w:p>
      <w:pPr>
        <w:spacing w:after="0" w:line="76" w:lineRule="exact"/>
        <w:rPr>
          <w:sz w:val="20"/>
          <w:szCs w:val="20"/>
          <w:color w:val="auto"/>
        </w:rPr>
      </w:pPr>
    </w:p>
    <w:p>
      <w:pPr>
        <w:ind w:left="20" w:right="79" w:firstLine="228"/>
        <w:spacing w:after="0" w:line="250" w:lineRule="auto"/>
        <w:rPr>
          <w:sz w:val="20"/>
          <w:szCs w:val="20"/>
          <w:color w:val="auto"/>
        </w:rPr>
      </w:pPr>
      <w:r>
        <w:rPr>
          <w:rFonts w:ascii="Times New Roman" w:cs="Times New Roman" w:eastAsia="Times New Roman" w:hAnsi="Times New Roman"/>
          <w:sz w:val="13"/>
          <w:szCs w:val="13"/>
          <w:b w:val="1"/>
          <w:bCs w:val="1"/>
          <w:i w:val="1"/>
          <w:iCs w:val="1"/>
          <w:color w:val="auto"/>
        </w:rPr>
        <w:t xml:space="preserve">We may be unable to refinance our indebtedness at maturity or the refinancing terms may be less favorable than the terms of our original indebtedness. </w:t>
      </w:r>
      <w:r>
        <w:rPr>
          <w:rFonts w:ascii="Times New Roman" w:cs="Times New Roman" w:eastAsia="Times New Roman" w:hAnsi="Times New Roman"/>
          <w:sz w:val="13"/>
          <w:szCs w:val="13"/>
          <w:color w:val="auto"/>
        </w:rPr>
        <w:t>It is likely that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will need to refinance at least a portion of our outstanding debt as it matures. If we are unable to refinance or extend principal payments due at maturity or pay them with proceeds of other capital transactions, then our cash flow may not be sufficient in all years to repay all such maturing debt and to pay distributions. Further, if prevailing interest rates or other factors at the time of refinancing, such as the reluctance of lenders to make commercial real estate loans, result in higher interest rates upon refinancing, then the interest expense relating to that refinanced indebtedness would increase.</w:t>
      </w:r>
    </w:p>
    <w:p>
      <w:pPr>
        <w:spacing w:after="0" w:line="57" w:lineRule="exact"/>
        <w:rPr>
          <w:sz w:val="20"/>
          <w:szCs w:val="20"/>
          <w:color w:val="auto"/>
        </w:rPr>
      </w:pPr>
    </w:p>
    <w:p>
      <w:pPr>
        <w:ind w:left="20" w:right="99" w:firstLine="228"/>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Fluctuations in interest rates could materially affect our financial results and may increase the risk our counterparty defaults on our interest rate hedges</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Because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significant portion of our debt, including debt incurred under our global revolving credit facilities, bears interest at variable rates, increases in interest rates could materially increase our interest expense. If the United States Federal Reserve increases short-term interest rates, this would have a significant upward impact on shorter-term interest rates, including the interest rates that apply to our variable rate debt.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8" w:name="page39"/>
    <w:bookmarkEnd w:id="3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159"/>
        <w:spacing w:after="0" w:line="249" w:lineRule="auto"/>
        <w:rPr>
          <w:sz w:val="20"/>
          <w:szCs w:val="20"/>
          <w:color w:val="auto"/>
        </w:rPr>
      </w:pPr>
      <w:r>
        <w:rPr>
          <w:rFonts w:ascii="Times New Roman" w:cs="Times New Roman" w:eastAsia="Times New Roman" w:hAnsi="Times New Roman"/>
          <w:sz w:val="13"/>
          <w:szCs w:val="13"/>
          <w:color w:val="auto"/>
        </w:rPr>
        <w:t>Potential future increases in interest rates and credit spreads may increase our interest expense and therefore negatively affect our financial condition and results of operations, and reduce our access to capital markets. We have entered into interest rate swap agreements to fix a significant portion of our floating rate debt. Increased interest rates may increase the risk that the counterparties to our swap agreements will default on their obligations, which could further increase our exposure to interest rate fluctuations. Conversely, if interest rates are lower than our swapped fixed rates, we will be required to pay more for our debt than we would have had we not entered into the swap agreements.</w:t>
      </w:r>
    </w:p>
    <w:p>
      <w:pPr>
        <w:spacing w:after="0" w:line="58" w:lineRule="exact"/>
        <w:rPr>
          <w:sz w:val="20"/>
          <w:szCs w:val="20"/>
          <w:color w:val="auto"/>
        </w:rPr>
      </w:pPr>
    </w:p>
    <w:p>
      <w:pPr>
        <w:ind w:left="20" w:right="79" w:firstLine="228"/>
        <w:spacing w:after="0" w:line="247" w:lineRule="auto"/>
        <w:rPr>
          <w:sz w:val="20"/>
          <w:szCs w:val="20"/>
          <w:color w:val="auto"/>
        </w:rPr>
      </w:pPr>
      <w:r>
        <w:rPr>
          <w:rFonts w:ascii="Times New Roman" w:cs="Times New Roman" w:eastAsia="Times New Roman" w:hAnsi="Times New Roman"/>
          <w:sz w:val="13"/>
          <w:szCs w:val="13"/>
          <w:b w:val="1"/>
          <w:bCs w:val="1"/>
          <w:i w:val="1"/>
          <w:iCs w:val="1"/>
          <w:color w:val="auto"/>
        </w:rPr>
        <w:t xml:space="preserve">Adverse changes in our Company’s credit ratings could negatively affect our financing activity. </w:t>
      </w:r>
      <w:r>
        <w:rPr>
          <w:rFonts w:ascii="Times New Roman" w:cs="Times New Roman" w:eastAsia="Times New Roman" w:hAnsi="Times New Roman"/>
          <w:sz w:val="13"/>
          <w:szCs w:val="13"/>
          <w:color w:val="auto"/>
        </w:rPr>
        <w:t>The credit ratings of our senior unsecured long-term debt and Digital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Realty Trust, Inc.’s preferred stock are based on our Company’s operating performance, liquidity and leverage ratios, overall financial position and other factors employed by the credit rating agencies in their rating analyses of our Company. Our Company’s credit ratings can affect the amount of capital we can access, as well as the terms and pricing of any debt we may incur. We cannot assure you that we will be able to maintain our current credit ratings, and in the event our current credit ratings are downgraded, we would likely incur higher borrowing costs and may encounter difficulty in obtaining additional financing. Also, a downgrade in our credit ratings may trigger additional payments or other negative consequences under our current and future credit facilities and debt instruments. For example, if the credit ratings of our senior unsecured long-term debt are downgraded to below investment grade levels, we may not be able to obtain or maintain extensions on certain of our existing debt. Adverse changes in our credit ratings could negatively impact our refinancing and other capital market activities, our ability to manage our debt maturities, our future growth, our financial condition, the market price of Digital Realty Trust, Inc.’s stock, and our development and acquisition activity.</w:t>
      </w:r>
    </w:p>
    <w:p>
      <w:pPr>
        <w:spacing w:after="0" w:line="58" w:lineRule="exact"/>
        <w:rPr>
          <w:sz w:val="20"/>
          <w:szCs w:val="20"/>
          <w:color w:val="auto"/>
        </w:rPr>
      </w:pPr>
    </w:p>
    <w:p>
      <w:pPr>
        <w:ind w:left="20" w:right="119" w:firstLine="228"/>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Our global revolving credit facilities, unsecured term loan facility and senior notes restrict our ability to engage in some business activities</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global revolving credit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facilities and unsecured term loan facility contain negative covenants and other financial and operating covenants that, among other things, restrict our ability to: incur additional indebtedness; make certain investments; merge with another company; and create, incur or assume liens; and require us to maintain financial coverage ratios, including with respect to unencumbered assets.</w:t>
      </w:r>
    </w:p>
    <w:p>
      <w:pPr>
        <w:spacing w:after="0" w:line="55" w:lineRule="exact"/>
        <w:rPr>
          <w:sz w:val="20"/>
          <w:szCs w:val="20"/>
          <w:color w:val="auto"/>
        </w:rPr>
      </w:pPr>
    </w:p>
    <w:p>
      <w:pPr>
        <w:ind w:left="20" w:right="59" w:firstLine="228"/>
        <w:spacing w:after="0" w:line="256" w:lineRule="auto"/>
        <w:rPr>
          <w:sz w:val="20"/>
          <w:szCs w:val="20"/>
          <w:color w:val="auto"/>
        </w:rPr>
      </w:pPr>
      <w:r>
        <w:rPr>
          <w:rFonts w:ascii="Times New Roman" w:cs="Times New Roman" w:eastAsia="Times New Roman" w:hAnsi="Times New Roman"/>
          <w:sz w:val="13"/>
          <w:szCs w:val="13"/>
          <w:color w:val="auto"/>
        </w:rPr>
        <w:t>In addition, the global revolving credit facilities and the unsecured term loan facility restrict Digital Realty Trust, Inc. from making distributions to its stockholders, or redeeming or otherwise repurchasing shares of its capital stock, after the occurrence and during the continuance of an event of default, except in limited circumstances including as necessary to enable Digital Realty Trust, Inc. to maintain its qualification as a REIT and to avoid the payment of income or excise tax.</w:t>
      </w:r>
    </w:p>
    <w:p>
      <w:pPr>
        <w:spacing w:after="0" w:line="53" w:lineRule="exact"/>
        <w:rPr>
          <w:sz w:val="20"/>
          <w:szCs w:val="20"/>
          <w:color w:val="auto"/>
        </w:rPr>
      </w:pPr>
    </w:p>
    <w:p>
      <w:pPr>
        <w:ind w:left="20" w:right="139" w:firstLine="228"/>
        <w:spacing w:after="0" w:line="249" w:lineRule="auto"/>
        <w:rPr>
          <w:sz w:val="20"/>
          <w:szCs w:val="20"/>
          <w:color w:val="auto"/>
        </w:rPr>
      </w:pPr>
      <w:r>
        <w:rPr>
          <w:rFonts w:ascii="Times New Roman" w:cs="Times New Roman" w:eastAsia="Times New Roman" w:hAnsi="Times New Roman"/>
          <w:sz w:val="13"/>
          <w:szCs w:val="13"/>
          <w:color w:val="auto"/>
        </w:rPr>
        <w:t>In addition, our unsecured senior notes are governed by indentures, which contain various restrictive covenants, including limitations on our ability to incur indebtedness and requirements to maintain a pool of unencumbered assets. These restrictions, and the restrictions in our global revolving credit facilities and unsecured term loan facility, could cause us to default on our senior notes, global revolving credit facilities or unsecured term loan facility, as applicable, or negatively affect our operations or our ability to pay dividends to Digital Realty Trust, Inc.’s stockholders or distributions to Digital Realty Trust, L.P.’s unitholders, which could have a material adverse effect on the market value of Digital Realty Trust, Inc.’s common stock and preferred stock.</w:t>
      </w:r>
    </w:p>
    <w:p>
      <w:pPr>
        <w:spacing w:after="0" w:line="58" w:lineRule="exact"/>
        <w:rPr>
          <w:sz w:val="20"/>
          <w:szCs w:val="20"/>
          <w:color w:val="auto"/>
        </w:rPr>
      </w:pPr>
    </w:p>
    <w:p>
      <w:pPr>
        <w:ind w:left="20" w:right="139" w:firstLine="228"/>
        <w:spacing w:after="0" w:line="247" w:lineRule="auto"/>
        <w:rPr>
          <w:sz w:val="20"/>
          <w:szCs w:val="20"/>
          <w:color w:val="auto"/>
        </w:rPr>
      </w:pPr>
      <w:r>
        <w:rPr>
          <w:rFonts w:ascii="Times New Roman" w:cs="Times New Roman" w:eastAsia="Times New Roman" w:hAnsi="Times New Roman"/>
          <w:sz w:val="13"/>
          <w:szCs w:val="13"/>
          <w:b w:val="1"/>
          <w:bCs w:val="1"/>
          <w:i w:val="1"/>
          <w:iCs w:val="1"/>
          <w:color w:val="auto"/>
        </w:rPr>
        <w:t xml:space="preserve">Failure to hedge effectively against interest rate changes may adversely affect results of operations. </w:t>
      </w:r>
      <w:r>
        <w:rPr>
          <w:rFonts w:ascii="Times New Roman" w:cs="Times New Roman" w:eastAsia="Times New Roman" w:hAnsi="Times New Roman"/>
          <w:sz w:val="13"/>
          <w:szCs w:val="13"/>
          <w:color w:val="auto"/>
        </w:rPr>
        <w:t>We seek to manage our exposure to interest rate volatility by using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interest rate hedging arrangements, such as interest rate cap, forward or swap lock agreements. These agreements involve risks, such as the risk that counterparties may fail to honor their obligations under these arrangements, that these arrangements may not be effective in reducing our exposure to interest rate changes and that a court could rule that such an agreement is not legally enforceable. Our policy is to use these derivatives only to hedge interest rate risks related to our borrowings, not for speculative or trading purposes, and to enter into contracts only with major financial institutions based on their credit ratings and other factors. However, we may choose to change this policy in the future. Approximately 90% of our total indebtedness as of December 31, 2020 was subject to fixed interest rates or variable rates subject to interest rate swaps. We do not currently hedge our global revolving credit facilities and as our borrowings under our global revolving credit facilities increase, so will our percentage of indebtedness not subject to fixed rates and our exposure to interest rates increase. Hedging may reduce the overall returns on our investments. Failure to hedge effectively against interest rate changes may materially adversely affect our results of operations.</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Our growth depends on external sources of capital which are outside of our control.</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9" w:name="page40"/>
    <w:bookmarkEnd w:id="3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119" w:firstLine="228"/>
        <w:spacing w:after="0" w:line="248" w:lineRule="auto"/>
        <w:rPr>
          <w:sz w:val="20"/>
          <w:szCs w:val="20"/>
          <w:color w:val="auto"/>
        </w:rPr>
      </w:pPr>
      <w:r>
        <w:rPr>
          <w:rFonts w:ascii="Times New Roman" w:cs="Times New Roman" w:eastAsia="Times New Roman" w:hAnsi="Times New Roman"/>
          <w:sz w:val="13"/>
          <w:szCs w:val="13"/>
          <w:color w:val="auto"/>
        </w:rPr>
        <w:t>In order for Digital Realty Trust, Inc. to maintain its qualification as a REIT, it is required under the Code, to annually distribute at least 90% of its REIT taxable income determined without regard to the dividends paid deduction and excluding any net capital gain. In addition, Digital Realty Trust, Inc. will be subject to federal corporate income tax to the extent that it distributes less than 100% of its REIT taxable income, including any net capital gains. Digital Realty Trust, L.P. is required to make distributions to Digital Realty Trust, Inc. that will enable the latter to satisfy this distribution requirement and avoid income and excise tax liability. Because of these distribution requirements, we may not be able to fund future capital needs, including any necessary acquisition or development financing, from operating cash flow. Consequently, we may rely on third-party sources to fund our capital needs.</w:t>
      </w:r>
    </w:p>
    <w:p>
      <w:pPr>
        <w:spacing w:after="0" w:line="60" w:lineRule="exact"/>
        <w:rPr>
          <w:sz w:val="20"/>
          <w:szCs w:val="20"/>
          <w:color w:val="auto"/>
        </w:rPr>
      </w:pPr>
    </w:p>
    <w:p>
      <w:pPr>
        <w:ind w:left="20" w:right="119" w:firstLine="228"/>
        <w:spacing w:after="0" w:line="273" w:lineRule="auto"/>
        <w:rPr>
          <w:sz w:val="20"/>
          <w:szCs w:val="20"/>
          <w:color w:val="auto"/>
        </w:rPr>
      </w:pPr>
      <w:r>
        <w:rPr>
          <w:rFonts w:ascii="Times New Roman" w:cs="Times New Roman" w:eastAsia="Times New Roman" w:hAnsi="Times New Roman"/>
          <w:sz w:val="12"/>
          <w:szCs w:val="12"/>
          <w:color w:val="auto"/>
        </w:rPr>
        <w:t>Our access to third-party sources of capital depends on a number of factors, including general market conditions, the market’s perception of our business prospects and growth potential, our current and expected future earnings, funds from operations, our cash flow and cash distributions, and the market price per share of Digital Realty Trust, Inc.’s common stock. We cannot assure you that we will be able to obtain equity or debt financing at all or on terms favorable or acceptable to us. Any additional debt we incur will increase our leverage. Further, equity markets have experienced high volatility recently and we cannot assure you that we will be able to raise capital through the sale of equity securities at all or on favorable terms. Sales of equity on unfavorable terms could result in substantial dilution to Digital Realty Trust, Inc.’s common stockholders and Digital Realty Trust, L.P.’s unitholders. In addition, we may be forced to dispose of one or more of our properties, possibly on disadvantageous terms.</w:t>
      </w:r>
    </w:p>
    <w:p>
      <w:pPr>
        <w:spacing w:after="0" w:line="45" w:lineRule="exact"/>
        <w:rPr>
          <w:sz w:val="20"/>
          <w:szCs w:val="20"/>
          <w:color w:val="auto"/>
        </w:rPr>
      </w:pPr>
    </w:p>
    <w:p>
      <w:pPr>
        <w:ind w:left="20" w:right="399" w:firstLine="228"/>
        <w:spacing w:after="0" w:line="268" w:lineRule="auto"/>
        <w:rPr>
          <w:sz w:val="20"/>
          <w:szCs w:val="20"/>
          <w:color w:val="auto"/>
        </w:rPr>
      </w:pPr>
      <w:r>
        <w:rPr>
          <w:rFonts w:ascii="Times New Roman" w:cs="Times New Roman" w:eastAsia="Times New Roman" w:hAnsi="Times New Roman"/>
          <w:sz w:val="13"/>
          <w:szCs w:val="13"/>
          <w:color w:val="auto"/>
        </w:rPr>
        <w:t>If we cannot obtain capital from third-party sources, we may not be able to acquire or develop data centers when strategic opportunities exist, satisfy our debt service obligations, pay cash dividends to Digital Realty Trust, Inc.’s stockholders or make distributions to Digital Realty Trust, L.P.’s unitholders.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Declining real estate valuations, impairment charges and illiquidity of real estate investments could adversely affect our earnings and financial condition.</w:t>
      </w:r>
    </w:p>
    <w:p>
      <w:pPr>
        <w:spacing w:after="0" w:line="80" w:lineRule="exact"/>
        <w:rPr>
          <w:sz w:val="20"/>
          <w:szCs w:val="20"/>
          <w:color w:val="auto"/>
        </w:rPr>
      </w:pPr>
    </w:p>
    <w:p>
      <w:pPr>
        <w:ind w:left="20" w:right="99" w:firstLine="228"/>
        <w:spacing w:after="0" w:line="246" w:lineRule="auto"/>
        <w:rPr>
          <w:sz w:val="20"/>
          <w:szCs w:val="20"/>
          <w:color w:val="auto"/>
        </w:rPr>
      </w:pPr>
      <w:r>
        <w:rPr>
          <w:rFonts w:ascii="Times New Roman" w:cs="Times New Roman" w:eastAsia="Times New Roman" w:hAnsi="Times New Roman"/>
          <w:sz w:val="13"/>
          <w:szCs w:val="13"/>
          <w:color w:val="auto"/>
        </w:rPr>
        <w:t>We review each of our properties for indicators that its carrying amount may not be recoverable. Examples of such indicators may include a significant decrease in the market price, a significant adverse change in how the property is being used or expected to be used based on the underwriting at the time of acquisition, an accumulation of costs significantly in excess of the amount originally expected for the acquisition or development, a change in our intended holding period due to our intention to sell an asset, or a history of operating or cash flow losses. When such impairment indicators exist, we review an estimate of the future undiscounted net cash flows (excluding interest charges) expected to result from the real estate investment’s or group of properties that operate together as a group use and eventual disposition and compare it to the carrying value of the property or asset group. We consider factors such as future operating income, trends and prospects, as well as the effects of leasing demand, competition and other factors. If our future undiscounted net cash flow evaluation indicates that we are unable to recover the carrying value of a real estate investment, an impairment loss is recorded to the extent that the carrying value exceeds the estimated fair value of the property or asset group. These losses have a direct impact on our net income because recording an impairment loss results in an immediate negative adjustment to net income. The evaluation of anticipated cash flows is highly subjective and is based in part on assumptions regarding future occupancy, rental rates and capital requirements that could differ materially from actual results in future periods. A worsening real estate market may cause us to reevaluate the assumptions used in our impairment analysis. These impairment charges could be significant and could adversely affect our financial condition, results of operations and cash available for distribution.</w:t>
      </w:r>
    </w:p>
    <w:p>
      <w:pPr>
        <w:spacing w:after="0" w:line="60" w:lineRule="exact"/>
        <w:rPr>
          <w:sz w:val="20"/>
          <w:szCs w:val="20"/>
          <w:color w:val="auto"/>
        </w:rPr>
      </w:pPr>
    </w:p>
    <w:p>
      <w:pPr>
        <w:ind w:left="20" w:right="59" w:firstLine="228"/>
        <w:spacing w:after="0" w:line="247" w:lineRule="auto"/>
        <w:rPr>
          <w:sz w:val="20"/>
          <w:szCs w:val="20"/>
          <w:color w:val="auto"/>
        </w:rPr>
      </w:pPr>
      <w:r>
        <w:rPr>
          <w:rFonts w:ascii="Times New Roman" w:cs="Times New Roman" w:eastAsia="Times New Roman" w:hAnsi="Times New Roman"/>
          <w:sz w:val="13"/>
          <w:szCs w:val="13"/>
          <w:color w:val="auto"/>
        </w:rPr>
        <w:t>Because real estate investments are relatively illiquid and because there may be even fewer buyers for our specialized real estate, our ability to promptly sell properties in our portfolio in response to adverse changes in their performance may be limited, which may harm our financial condition. Further, Digital Realty Trust, Inc. is subject to provisions in the Code that limit a REIT’s ability to dispose of properties, which limitations are not applicable to other types of real estate companies. See “Risks Related to Our Organizational Structure—Digital Realty Trust, Inc.’s duty to its stockholders may conflict with the interests of Digital Realty Trust, L.P.’s unitholders—Tax consequences upon sale or refinancing.” While Digital Realty Trust, Inc. has exclusive authority under Digital Realty Trust, L.P.’s limited partnership agreement to determine whether, when, and on what terms to sell a property, such decisions may require the approval of Digital Realty Trust, Inc.’s Board of Directors. These limitations may affect our ability to sell properties.</w:t>
      </w:r>
    </w:p>
    <w:p>
      <w:pPr>
        <w:spacing w:after="0" w:line="62" w:lineRule="exact"/>
        <w:rPr>
          <w:sz w:val="20"/>
          <w:szCs w:val="20"/>
          <w:color w:val="auto"/>
        </w:rPr>
      </w:pPr>
    </w:p>
    <w:p>
      <w:pPr>
        <w:ind w:left="20" w:right="79" w:firstLine="228"/>
        <w:spacing w:after="0" w:line="268" w:lineRule="auto"/>
        <w:rPr>
          <w:sz w:val="20"/>
          <w:szCs w:val="20"/>
          <w:color w:val="auto"/>
        </w:rPr>
      </w:pPr>
      <w:r>
        <w:rPr>
          <w:rFonts w:ascii="Times New Roman" w:cs="Times New Roman" w:eastAsia="Times New Roman" w:hAnsi="Times New Roman"/>
          <w:sz w:val="13"/>
          <w:szCs w:val="13"/>
          <w:color w:val="auto"/>
        </w:rPr>
        <w:t>This lack of liquidity and the Code restrictions may limit our ability to adjust our portfolio promptly in response to changes in economic or other conditions and, as a result, could adversely affect our financial condition, results of</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0" w:name="page41"/>
    <w:bookmarkEnd w:id="4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operations, cash flow, cash available for distribution and ability to access capital necessary to meet our debt payments and other obligations.</w:t>
      </w:r>
    </w:p>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Our success depends on key personnel whose continued service is not guaranteed.</w:t>
      </w:r>
    </w:p>
    <w:p>
      <w:pPr>
        <w:spacing w:after="0" w:line="80" w:lineRule="exact"/>
        <w:rPr>
          <w:sz w:val="20"/>
          <w:szCs w:val="20"/>
          <w:color w:val="auto"/>
        </w:rPr>
      </w:pPr>
    </w:p>
    <w:p>
      <w:pPr>
        <w:ind w:left="20" w:right="39" w:firstLine="228"/>
        <w:spacing w:after="0" w:line="246" w:lineRule="auto"/>
        <w:rPr>
          <w:sz w:val="20"/>
          <w:szCs w:val="20"/>
          <w:color w:val="auto"/>
        </w:rPr>
      </w:pPr>
      <w:r>
        <w:rPr>
          <w:rFonts w:ascii="Times New Roman" w:cs="Times New Roman" w:eastAsia="Times New Roman" w:hAnsi="Times New Roman"/>
          <w:sz w:val="13"/>
          <w:szCs w:val="13"/>
          <w:color w:val="auto"/>
        </w:rPr>
        <w:t>We depend on the efforts of key personnel of our Company, particularly A. William Stein, our Chief Executive Officer, Andrew P. Power, our Chief Financial Officer, Gregory S. Wright, our Chief Investment Officer, Chris Sharp, our Chief Technology Officer, and Erich J. Sanchack, our Executive Vice President, Operations. They are important to our success for many reasons, including that each has a national or regional reputation in our industry and the investment community that attracts investors and business and investment opportunities and assists us in negotiations with investors, lenders, existing and potential customers and industry personnel. If we lost their services, our business and investment opportunities and our relationships with lenders and other capital markets participants, existing and prospective customers and industry personnel could suffer. Many of our Company’s other senior employees also have strong technology, finance and real estate industry reputations. As a result, we have greater access to potential acquisitions, financing, leasing and other opportunities, and are better able to negotiate with customers. As the number of our competitors increases, it becomes more likely that a competitor would attempt to hire certain of these individuals away from our Company. The loss of any of these key personnel would result in the loss of these and other benefits and could materially and adversely affect our results of operations.</w:t>
      </w:r>
    </w:p>
    <w:p>
      <w:pPr>
        <w:spacing w:after="0" w:line="64" w:lineRule="exact"/>
        <w:rPr>
          <w:sz w:val="20"/>
          <w:szCs w:val="20"/>
          <w:color w:val="auto"/>
        </w:rPr>
      </w:pPr>
    </w:p>
    <w:p>
      <w:pPr>
        <w:ind w:left="20" w:right="319" w:firstLine="228"/>
        <w:spacing w:after="0" w:line="256" w:lineRule="auto"/>
        <w:rPr>
          <w:sz w:val="20"/>
          <w:szCs w:val="20"/>
          <w:color w:val="auto"/>
        </w:rPr>
      </w:pPr>
      <w:r>
        <w:rPr>
          <w:rFonts w:ascii="Times New Roman" w:cs="Times New Roman" w:eastAsia="Times New Roman" w:hAnsi="Times New Roman"/>
          <w:sz w:val="13"/>
          <w:szCs w:val="13"/>
          <w:color w:val="auto"/>
        </w:rPr>
        <w:t>We also depend on the talents and efforts of highly skilled technical individuals. Our success depends on our continuing ability to identify, hire, develop, motivate, and retain highly skilled technical personnel for all areas of our organization. Competition in our industry for qualified technical employees is intense, and the availability of qualified technical personnel is not guaranteed.</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We may have difficulty managing our growth.</w:t>
      </w:r>
    </w:p>
    <w:p>
      <w:pPr>
        <w:spacing w:after="0" w:line="80" w:lineRule="exact"/>
        <w:rPr>
          <w:sz w:val="20"/>
          <w:szCs w:val="20"/>
          <w:color w:val="auto"/>
        </w:rPr>
      </w:pPr>
    </w:p>
    <w:p>
      <w:pPr>
        <w:ind w:left="20" w:right="119" w:firstLine="228"/>
        <w:spacing w:after="0" w:line="248" w:lineRule="auto"/>
        <w:rPr>
          <w:sz w:val="20"/>
          <w:szCs w:val="20"/>
          <w:color w:val="auto"/>
        </w:rPr>
      </w:pPr>
      <w:r>
        <w:rPr>
          <w:rFonts w:ascii="Times New Roman" w:cs="Times New Roman" w:eastAsia="Times New Roman" w:hAnsi="Times New Roman"/>
          <w:sz w:val="13"/>
          <w:szCs w:val="13"/>
          <w:color w:val="auto"/>
        </w:rPr>
        <w:t>We have significantly and rapidly expanded the size of our Company. Our growth may significantly strain our management, operational and financial resources and systems. In addition, as a reporting company, we are subject to the reporting requirements of the Securities Exchange Act of 1934 and the Sarbanes-Oxley Act of 2002, or the Sarbanes-Oxley Act. The requirements of these rules and regulations subject us to certain accounting, legal and financial compliance costs and may strain our management and financial, legal and operational resources and systems. An inability to manage our growth effectively or the increased strain on our management of our resources and systems could result in deficiencies in our disclosure controls and procedures or our internal control over financial reporting and could negatively impact financial condition, results of operations and our cash available for distribution.</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Potential losses may not be covered by insurance.</w:t>
      </w:r>
    </w:p>
    <w:p>
      <w:pPr>
        <w:spacing w:after="0" w:line="80" w:lineRule="exact"/>
        <w:rPr>
          <w:sz w:val="20"/>
          <w:szCs w:val="20"/>
          <w:color w:val="auto"/>
        </w:rPr>
      </w:pPr>
    </w:p>
    <w:p>
      <w:pPr>
        <w:ind w:left="20" w:right="39" w:firstLine="228"/>
        <w:spacing w:after="0" w:line="246" w:lineRule="auto"/>
        <w:rPr>
          <w:sz w:val="20"/>
          <w:szCs w:val="20"/>
          <w:color w:val="auto"/>
        </w:rPr>
      </w:pPr>
      <w:r>
        <w:rPr>
          <w:rFonts w:ascii="Times New Roman" w:cs="Times New Roman" w:eastAsia="Times New Roman" w:hAnsi="Times New Roman"/>
          <w:sz w:val="13"/>
          <w:szCs w:val="13"/>
          <w:color w:val="auto"/>
        </w:rPr>
        <w:t>We currently carry commercial general liability, property, business interruption, including loss of rental income, and other insurance policies to cover insurable risks to our Company. We select policy specifications, insured limits and deductibles which we believe to be appropriate and adequate given the relative risk of loss, the cost of the coverage and standard industry practices. Our insurance policies contain industry standard exclusions and we do not carry insurance for generally uninsurable perils, such as loss from war or nuclear reaction. A significant portion of our properties are located in seismically active zones such as California, which represents approximately 10% of our portfolio’s annualized rent as of December 31, 2020. One catastrophic event, for example, in California, could significantly impact multiple properties, the aggregate deductible amounts could be significant and the limits we purchase could prove to be insufficient, which could materially and adversely impact our business, financial condition and results of operations. Furthermore, a catastrophic regional event could also severely impact some of our insurers rendering them insolvent or unable to fully pay on claims despite their current financial strength. We may discontinue purchasing insurance against earthquake, flood or windstorm or other perils on some or all of our properties in the future if the cost of premiums for any of these policies exceeds, in our judgment, the value of the coverage relative to the risk of loss.</w:t>
      </w:r>
    </w:p>
    <w:p>
      <w:pPr>
        <w:spacing w:after="0" w:line="64" w:lineRule="exact"/>
        <w:rPr>
          <w:sz w:val="20"/>
          <w:szCs w:val="20"/>
          <w:color w:val="auto"/>
        </w:rPr>
      </w:pPr>
    </w:p>
    <w:p>
      <w:pPr>
        <w:ind w:left="20" w:right="39" w:firstLine="228"/>
        <w:spacing w:after="0" w:line="249" w:lineRule="auto"/>
        <w:rPr>
          <w:sz w:val="20"/>
          <w:szCs w:val="20"/>
          <w:color w:val="auto"/>
        </w:rPr>
      </w:pPr>
      <w:r>
        <w:rPr>
          <w:rFonts w:ascii="Times New Roman" w:cs="Times New Roman" w:eastAsia="Times New Roman" w:hAnsi="Times New Roman"/>
          <w:sz w:val="13"/>
          <w:szCs w:val="13"/>
          <w:color w:val="auto"/>
        </w:rPr>
        <w:t>In addition, many of our buildings contain extensive and highly valuable technology-related improvements. Under the terms of our agreements with customers, customers are obligated to maintain adequate insurance coverage applicable to such improvements and under most circumstances use their insurance proceeds to restore such improvements after a casualty event. In the event of a casualty or other loss involving one of our buildings with extensive installed tenant improvements, our customers may have the right to terminate their leases if we do not rebuild the base building within prescribed times. In such cases, the proceeds from customers’ insurance will not be available to us to restore the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1" w:name="page42"/>
    <w:bookmarkEnd w:id="4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39"/>
        <w:spacing w:after="0" w:line="249" w:lineRule="auto"/>
        <w:rPr>
          <w:sz w:val="20"/>
          <w:szCs w:val="20"/>
          <w:color w:val="auto"/>
        </w:rPr>
      </w:pPr>
      <w:r>
        <w:rPr>
          <w:rFonts w:ascii="Times New Roman" w:cs="Times New Roman" w:eastAsia="Times New Roman" w:hAnsi="Times New Roman"/>
          <w:sz w:val="13"/>
          <w:szCs w:val="13"/>
          <w:color w:val="auto"/>
        </w:rPr>
        <w:t>improvements, and our insurance coverage may be insufficient to replicate the technology-related improvements made by such customers. Furthermore, the terms of our mortgage indebtedness at certain of our properties may require us to pay insurance proceeds over to our lenders under certain circumstances, rather than use the proceeds to repair the property. If we or one or more of our customers experience a loss which is uninsured or which exceeds policy limits, we could lose the capital invested in the damaged properties as well as the anticipated future cash flows from those properties. In addition, if the damaged properties are subject to recourse indebtedness, we would continue to be liable for the indebtedness, even if these properties were irreparably damaged.</w:t>
      </w:r>
    </w:p>
    <w:p>
      <w:pPr>
        <w:spacing w:after="0" w:line="58" w:lineRule="exact"/>
        <w:rPr>
          <w:sz w:val="20"/>
          <w:szCs w:val="20"/>
          <w:color w:val="auto"/>
        </w:rPr>
      </w:pPr>
    </w:p>
    <w:p>
      <w:pPr>
        <w:ind w:left="20" w:right="5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We could incur significant costs related to environmental matters, including from government regulation, private litigation, and existing conditions at some of our properties.</w:t>
      </w:r>
    </w:p>
    <w:p>
      <w:pPr>
        <w:spacing w:after="0" w:line="44" w:lineRule="exact"/>
        <w:rPr>
          <w:sz w:val="20"/>
          <w:szCs w:val="20"/>
          <w:color w:val="auto"/>
        </w:rPr>
      </w:pPr>
    </w:p>
    <w:p>
      <w:pPr>
        <w:ind w:left="20" w:right="79" w:firstLine="228"/>
        <w:spacing w:after="0" w:line="245" w:lineRule="auto"/>
        <w:rPr>
          <w:sz w:val="20"/>
          <w:szCs w:val="20"/>
          <w:color w:val="auto"/>
        </w:rPr>
      </w:pPr>
      <w:r>
        <w:rPr>
          <w:rFonts w:ascii="Times New Roman" w:cs="Times New Roman" w:eastAsia="Times New Roman" w:hAnsi="Times New Roman"/>
          <w:sz w:val="13"/>
          <w:szCs w:val="13"/>
          <w:color w:val="auto"/>
        </w:rPr>
        <w:t>Under various laws relating to the protection of the environment in the United States, as well as in many jurisdictions in Europe, Asia and South America, a current or previous owner or operator of real estate may be liable for contamination resulting from the presence or discharge of hazardous or toxic substances at a property, and may be required to investigate and clean up such contamination at or emanating from a property. Such laws often impose liability without regard to whether the owner or operator knew of, or was responsible for, the presence of the contaminants, and the liability may be joint and several. In the United States, the Comprehensive Environmental Response, Compensation, and Liability Act of 1980, or CERCLA, established a regulatory and remedial program intended to provide for the investigation and clean-up of facilities where, or from which, a release of any hazardous substance into the environment has occurred or is threatened. CERCLA’s primary mechanism for remedying such problems is to impose strict joint and several liability for clean-up of facilities on current owners and operators of the site, former owners and operators of the site at the time of the disposal of the hazardous substances, any person who arranges for the transportation, disposal or treatment of the hazardous substances, and the transporters who select the disposal and treatment facilities, regardless of the care exercised by such persons. CERCLA also imposes liability for the cost of evaluating and remedying any damage to natural resources. The costs of CERCLA investigation and clean-up can be very substantial. CERCLA also authorizes the imposition of a lien in favor of the United States on all real property subject to, or affected by, a remedial action for all costs for which a party is liable. Subject to certain procedural restrictions, CERCLA gives a responsible party the right to bring a contribution action against other responsible parties for their allocable shares of investigative and remedial costs. Our ability to obtain reimbursement from others for their allocable shares of such costs would be limited by our ability to find other responsible parties and prove the extent of their responsibility, their financial resources, and other procedural requirements. Various state laws, as well as laws in Europe, Asia and South America, also impose in certain cases strict joint and several liability for investigation, clean-up and other damages associated with hazardous substance releases.</w:t>
      </w:r>
    </w:p>
    <w:p>
      <w:pPr>
        <w:spacing w:after="0" w:line="65" w:lineRule="exact"/>
        <w:rPr>
          <w:sz w:val="20"/>
          <w:szCs w:val="20"/>
          <w:color w:val="auto"/>
        </w:rPr>
      </w:pPr>
    </w:p>
    <w:p>
      <w:pPr>
        <w:ind w:left="20" w:right="139" w:firstLine="228"/>
        <w:spacing w:after="0" w:line="269" w:lineRule="auto"/>
        <w:rPr>
          <w:sz w:val="20"/>
          <w:szCs w:val="20"/>
          <w:color w:val="auto"/>
        </w:rPr>
      </w:pPr>
      <w:r>
        <w:rPr>
          <w:rFonts w:ascii="Times New Roman" w:cs="Times New Roman" w:eastAsia="Times New Roman" w:hAnsi="Times New Roman"/>
          <w:sz w:val="12"/>
          <w:szCs w:val="12"/>
          <w:color w:val="auto"/>
        </w:rPr>
        <w:t>Previous owners used some of our properties for industrial and manufacturing purposes, and those properties may contain some level of environmental contamination. Independent environmental consultants have conducted Phase I or similar environmental site assessments on a majority of the properties in our portfolio. Site assessments are intended to discover and evaluate information regarding the environmental condition of the surveyed property and surrounding properties. These assessments do not generally include soil samplings, subsurface investigations or an asbestos survey and the assessments may fail to reveal all environmental conditions, liabilities or compliance concerns. In addition, material environmental conditions, liabilities or compliance concerns may have arisen after these reviews were completed or may arise in the future. We could be held jointly and severally liable under CERCLA and various state, local and national laws for the investigation and remediation of environmental contamination on our properties caused by previous owners or operators. Further, fuel storage tanks are present at most of our properties, and if releases were to occur, we may be liable for the costs of cleaning any resulting contamination. The presence of contamination or the failure to remediate contamination at our properties may expose us to third-party liability or materially adversely affect our ability to sell, lease or develop the real estate or to borrow using the real estate as collateral.</w:t>
      </w:r>
    </w:p>
    <w:p>
      <w:pPr>
        <w:spacing w:after="0" w:line="51" w:lineRule="exact"/>
        <w:rPr>
          <w:sz w:val="20"/>
          <w:szCs w:val="20"/>
          <w:color w:val="auto"/>
        </w:rPr>
      </w:pPr>
    </w:p>
    <w:p>
      <w:pPr>
        <w:ind w:left="20" w:right="59" w:firstLine="228"/>
        <w:spacing w:after="0" w:line="249" w:lineRule="auto"/>
        <w:rPr>
          <w:sz w:val="20"/>
          <w:szCs w:val="20"/>
          <w:color w:val="auto"/>
        </w:rPr>
      </w:pPr>
      <w:r>
        <w:rPr>
          <w:rFonts w:ascii="Times New Roman" w:cs="Times New Roman" w:eastAsia="Times New Roman" w:hAnsi="Times New Roman"/>
          <w:sz w:val="13"/>
          <w:szCs w:val="13"/>
          <w:color w:val="auto"/>
        </w:rPr>
        <w:t>In addition, some of our customers, particularly those in the biotechnology and life sciences industry and those in the technology manufacturing industry, routinely handle hazardous substances and wastes as part of their operations at our properties. Environmental laws and regulations subject our customers, and potentially us, to liability resulting from these activities or from previous industrial or retail uses of those properties. We could be held jointly and severally liable under CERCLA and various state, local and national laws for the investigation and remediation of hazardous substances released by our customers on our properties. Environmental liabilities could also affect a customer’s ability to make rental payments to us. We cannot assure you that costs of investigation and remediation of environmental matters will</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2" w:name="page43"/>
    <w:bookmarkEnd w:id="4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99"/>
        <w:spacing w:after="0" w:line="268" w:lineRule="auto"/>
        <w:rPr>
          <w:sz w:val="20"/>
          <w:szCs w:val="20"/>
          <w:color w:val="auto"/>
        </w:rPr>
      </w:pPr>
      <w:r>
        <w:rPr>
          <w:rFonts w:ascii="Times New Roman" w:cs="Times New Roman" w:eastAsia="Times New Roman" w:hAnsi="Times New Roman"/>
          <w:sz w:val="13"/>
          <w:szCs w:val="13"/>
          <w:color w:val="auto"/>
        </w:rPr>
        <w:t>not affect our ability to pay dividends to Digital Realty Trust, Inc.’s stockholders and distributions to Digital Realty Trust, L.P.’s unitholders or that such costs or other remedial measures will not have a material adverse effect on our business, assets or results of operations.</w:t>
      </w:r>
    </w:p>
    <w:p>
      <w:pPr>
        <w:spacing w:after="0" w:line="46" w:lineRule="exact"/>
        <w:rPr>
          <w:sz w:val="20"/>
          <w:szCs w:val="20"/>
          <w:color w:val="auto"/>
        </w:rPr>
      </w:pPr>
    </w:p>
    <w:p>
      <w:pPr>
        <w:ind w:left="20" w:right="79" w:firstLine="228"/>
        <w:spacing w:after="0" w:line="256" w:lineRule="auto"/>
        <w:rPr>
          <w:sz w:val="20"/>
          <w:szCs w:val="20"/>
          <w:color w:val="auto"/>
        </w:rPr>
      </w:pPr>
      <w:r>
        <w:rPr>
          <w:rFonts w:ascii="Times New Roman" w:cs="Times New Roman" w:eastAsia="Times New Roman" w:hAnsi="Times New Roman"/>
          <w:sz w:val="13"/>
          <w:szCs w:val="13"/>
          <w:color w:val="auto"/>
        </w:rPr>
        <w:t>Some of our properties may contain asbestos-containing building materials and lead-based paint. Environmental laws require that asbestos-containing building materials be properly managed and maintained, and may impose fines and penalties on building owners or operators for failure to comply with these requirements. These laws may also allow third parties to seek recovery from owners or operators for personal injury associated with exposure to asbestos-containing building materials.</w:t>
      </w:r>
    </w:p>
    <w:p>
      <w:pPr>
        <w:spacing w:after="0" w:line="53" w:lineRule="exact"/>
        <w:rPr>
          <w:sz w:val="20"/>
          <w:szCs w:val="20"/>
          <w:color w:val="auto"/>
        </w:rPr>
      </w:pPr>
    </w:p>
    <w:p>
      <w:pPr>
        <w:ind w:left="20" w:right="159" w:firstLine="228"/>
        <w:spacing w:after="0" w:line="248" w:lineRule="auto"/>
        <w:rPr>
          <w:sz w:val="20"/>
          <w:szCs w:val="20"/>
          <w:color w:val="auto"/>
        </w:rPr>
      </w:pPr>
      <w:r>
        <w:rPr>
          <w:rFonts w:ascii="Times New Roman" w:cs="Times New Roman" w:eastAsia="Times New Roman" w:hAnsi="Times New Roman"/>
          <w:sz w:val="13"/>
          <w:szCs w:val="13"/>
          <w:color w:val="auto"/>
        </w:rPr>
        <w:t>Our properties and their uses often require permits and entitlements from various government agencies, including permits and entitlements related to zoning and land use. Certain permits from state or local environmental regulatory agencies, including regulators of air quality, are usually required to install and operate diesel-powered generators, which provide emergency back-up power at most of our facilities. These permits often set emissions limits for certain air pollutants, including oxides of nitrogen. In addition, various federal, state, and local environmental, health and safety requirements, such as fire requirements and treated and storm water discharge requirements, apply to some of our properties. Our ability to comply with, as well as changes to, applicable regulations, such as air quality regulations, or the permit requirements for equipment at our facilities, could hinder or prevent our construction or operation of data center facilities.</w:t>
      </w:r>
    </w:p>
    <w:p>
      <w:pPr>
        <w:spacing w:after="0" w:line="60" w:lineRule="exact"/>
        <w:rPr>
          <w:sz w:val="20"/>
          <w:szCs w:val="20"/>
          <w:color w:val="auto"/>
        </w:rPr>
      </w:pPr>
    </w:p>
    <w:p>
      <w:pPr>
        <w:ind w:left="20" w:right="199" w:firstLine="228"/>
        <w:spacing w:after="0" w:line="252" w:lineRule="auto"/>
        <w:rPr>
          <w:sz w:val="20"/>
          <w:szCs w:val="20"/>
          <w:color w:val="auto"/>
        </w:rPr>
      </w:pPr>
      <w:r>
        <w:rPr>
          <w:rFonts w:ascii="Times New Roman" w:cs="Times New Roman" w:eastAsia="Times New Roman" w:hAnsi="Times New Roman"/>
          <w:sz w:val="13"/>
          <w:szCs w:val="13"/>
          <w:color w:val="auto"/>
        </w:rPr>
        <w:t>Also, drought conditions in certain markets have resulted in water usage restrictions and proposals to further restrict water usage. Our data center facilities could face restrictions on water usage, water efficiency mandates, or higher water prices. Climate change could also limit water availability. In addition, sea level rise and more frequent and severe weather events caused or contributed to by climate change pose physical risks to our facilities. Additional risks related to our business and operations as a result of climate change include both physical and transition risks such as:</w:t>
      </w:r>
    </w:p>
    <w:p>
      <w:pPr>
        <w:spacing w:after="0" w:line="56" w:lineRule="exact"/>
        <w:rPr>
          <w:sz w:val="20"/>
          <w:szCs w:val="20"/>
          <w:color w:val="auto"/>
        </w:rPr>
      </w:pPr>
    </w:p>
    <w:p>
      <w:pPr>
        <w:ind w:left="500" w:hanging="228"/>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Higher energy costs (e.g., due to more extreme weather events, extreme temperatures or increased demand for limited resources);</w:t>
      </w:r>
    </w:p>
    <w:p>
      <w:pPr>
        <w:spacing w:after="0" w:line="15"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environmental regulations impacting the cost to develop, or the ability to develop in certain areas;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Higher costs of materials due to environmental impacts from extraction and processing of raw materials and production of finished goods;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Higher costs of supply chain services, with potential supply chain disruptions related to climate change; and</w:t>
      </w:r>
    </w:p>
    <w:p>
      <w:pPr>
        <w:spacing w:after="0" w:line="2" w:lineRule="exact"/>
        <w:rPr>
          <w:rFonts w:ascii="Times New Roman" w:cs="Times New Roman" w:eastAsia="Times New Roman" w:hAnsi="Times New Roman"/>
          <w:sz w:val="13"/>
          <w:szCs w:val="13"/>
          <w:color w:val="auto"/>
        </w:rPr>
      </w:pPr>
    </w:p>
    <w:p>
      <w:pPr>
        <w:ind w:left="500" w:right="339" w:hanging="228"/>
        <w:spacing w:after="0" w:line="243" w:lineRule="auto"/>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Lost revenue or higher expenses related to climate change events (e.g., higher insurance costs, uninsured losses, diminished customer retention in areas subject to extreme weather or resource availability constraints).</w:t>
      </w:r>
    </w:p>
    <w:p>
      <w:pPr>
        <w:spacing w:after="0" w:line="1" w:lineRule="exact"/>
        <w:rPr>
          <w:sz w:val="20"/>
          <w:szCs w:val="20"/>
          <w:color w:val="auto"/>
        </w:rPr>
      </w:pPr>
    </w:p>
    <w:p>
      <w:pPr>
        <w:ind w:left="20" w:right="39" w:firstLine="228"/>
        <w:spacing w:after="0" w:line="244" w:lineRule="auto"/>
        <w:rPr>
          <w:sz w:val="20"/>
          <w:szCs w:val="20"/>
          <w:color w:val="auto"/>
        </w:rPr>
      </w:pPr>
      <w:r>
        <w:rPr>
          <w:rFonts w:ascii="Times New Roman" w:cs="Times New Roman" w:eastAsia="Times New Roman" w:hAnsi="Times New Roman"/>
          <w:sz w:val="13"/>
          <w:szCs w:val="13"/>
          <w:color w:val="auto"/>
        </w:rPr>
        <w:t>The environmental laws and regulations to which our properties are subject may change in the future, and new laws and regulations may be created. Future laws, ordinances or regulations may impose additional material environmental liability. Such laws include those directly regulating our climate change impacts and those which regulate the climate change impacts of companies with which we do business, such as utilities providing our facilities with electricity. See “Management’s Discussion and Analysis of Financial Condition and Results of Operations—Factors Which May Influence Future Results of Operations—Climate change legislation.” We do not know if or how the requirements will change, but changes may require that we make significant unanticipated expenditures, and such expenditures may materially adversely impact our financial condition, cash flow, results of operations, cash available for distributions, Digital Realty Trust, Inc.’s common stock’s per share trading price, our competitive position and ability to satisfy our debt service obligations.</w:t>
      </w:r>
    </w:p>
    <w:p>
      <w:pPr>
        <w:spacing w:after="0" w:line="60" w:lineRule="exact"/>
        <w:rPr>
          <w:sz w:val="20"/>
          <w:szCs w:val="20"/>
          <w:color w:val="auto"/>
        </w:rPr>
      </w:pPr>
    </w:p>
    <w:p>
      <w:pPr>
        <w:ind w:left="20" w:right="21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Our properties may contain or develop harmful mold or suffer from other air quality issues, which could lead to liability for adverse health effects and costs to remedy the problem.</w:t>
      </w:r>
    </w:p>
    <w:p>
      <w:pPr>
        <w:spacing w:after="0" w:line="44" w:lineRule="exact"/>
        <w:rPr>
          <w:sz w:val="20"/>
          <w:szCs w:val="20"/>
          <w:color w:val="auto"/>
        </w:rPr>
      </w:pPr>
    </w:p>
    <w:p>
      <w:pPr>
        <w:ind w:left="20" w:right="99" w:firstLine="228"/>
        <w:spacing w:after="0" w:line="249" w:lineRule="auto"/>
        <w:rPr>
          <w:sz w:val="20"/>
          <w:szCs w:val="20"/>
          <w:color w:val="auto"/>
        </w:rPr>
      </w:pPr>
      <w:r>
        <w:rPr>
          <w:rFonts w:ascii="Times New Roman" w:cs="Times New Roman" w:eastAsia="Times New Roman" w:hAnsi="Times New Roman"/>
          <w:sz w:val="13"/>
          <w:szCs w:val="13"/>
          <w:color w:val="auto"/>
        </w:rPr>
        <w:t>When excessive moisture accumulates in buildings or on building materials, mold may grow, particularly if the moisture problem remains undiscovered or is not addressed over a period of time. Some molds may produce airborne toxins or irritants. Indoor air quality issues can also stem from inadequate ventilation, chemical contamination from indoor or outdoor sources and other biological contaminants such as pollen, viruses and bacteria. Indoor exposure to airborne toxins or irritants above certain levels can be alleged to cause a variety of adverse health effects and symptoms, including allergic or other reactions. As a result, the presence of significant mold or other airborne contaminants, such as Legionella, at any of our properties could require us to undertake a costly remediation program to contain or remove the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3" w:name="page44"/>
    <w:bookmarkEnd w:id="4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59"/>
        <w:spacing w:after="0" w:line="268" w:lineRule="auto"/>
        <w:rPr>
          <w:sz w:val="20"/>
          <w:szCs w:val="20"/>
          <w:color w:val="auto"/>
        </w:rPr>
      </w:pPr>
      <w:r>
        <w:rPr>
          <w:rFonts w:ascii="Times New Roman" w:cs="Times New Roman" w:eastAsia="Times New Roman" w:hAnsi="Times New Roman"/>
          <w:sz w:val="13"/>
          <w:szCs w:val="13"/>
          <w:color w:val="auto"/>
        </w:rPr>
        <w:t>mold or other airborne contaminants from the affected property or increase indoor ventilation. In addition, the presence of significant mold or other airborne contaminants could expose us to liability from our customers, their employees, our employees and others if property damage or health concerns arise.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We may incur significant costs complying with applicable laws and governmental regulations, including the Americans with Disabilities Act.</w:t>
      </w:r>
    </w:p>
    <w:p>
      <w:pPr>
        <w:spacing w:after="0" w:line="80" w:lineRule="exact"/>
        <w:rPr>
          <w:sz w:val="20"/>
          <w:szCs w:val="20"/>
          <w:color w:val="auto"/>
        </w:rPr>
      </w:pPr>
    </w:p>
    <w:p>
      <w:pPr>
        <w:ind w:left="20" w:right="119" w:firstLine="228"/>
        <w:spacing w:after="0" w:line="252" w:lineRule="auto"/>
        <w:rPr>
          <w:sz w:val="20"/>
          <w:szCs w:val="20"/>
          <w:color w:val="auto"/>
        </w:rPr>
      </w:pPr>
      <w:r>
        <w:rPr>
          <w:rFonts w:ascii="Times New Roman" w:cs="Times New Roman" w:eastAsia="Times New Roman" w:hAnsi="Times New Roman"/>
          <w:sz w:val="13"/>
          <w:szCs w:val="13"/>
          <w:color w:val="auto"/>
        </w:rPr>
        <w:t>Our business is subject to regulation under a wide variety of U.S. federal, state and local laws, regulations and policies, including those imposed by the SEC, the Sarbanes-Oxley Act of 2002, the Dodd-Frank Wall Street Reform and Consumer Protection Act and the NYSE, as well as applicable local, state, and national labor laws. Although we have policies and procedures designed to comply with applicable laws and regulations, failure to comply with the various laws and regulations may result in civil and criminal liability, fines and penalties and increased costs of compliance.</w:t>
      </w:r>
    </w:p>
    <w:p>
      <w:pPr>
        <w:spacing w:after="0" w:line="56" w:lineRule="exact"/>
        <w:rPr>
          <w:sz w:val="20"/>
          <w:szCs w:val="20"/>
          <w:color w:val="auto"/>
        </w:rPr>
      </w:pPr>
    </w:p>
    <w:p>
      <w:pPr>
        <w:ind w:left="20" w:right="79" w:firstLine="228"/>
        <w:spacing w:after="0" w:line="247" w:lineRule="auto"/>
        <w:rPr>
          <w:sz w:val="20"/>
          <w:szCs w:val="20"/>
          <w:color w:val="auto"/>
        </w:rPr>
      </w:pPr>
      <w:r>
        <w:rPr>
          <w:rFonts w:ascii="Times New Roman" w:cs="Times New Roman" w:eastAsia="Times New Roman" w:hAnsi="Times New Roman"/>
          <w:sz w:val="13"/>
          <w:szCs w:val="13"/>
          <w:color w:val="auto"/>
        </w:rPr>
        <w:t>Under the Americans with Disabilities Act of 1990, or the ADA, all public accommodations must meet federal requirements related to access and use by disabled persons. We have not conducted an audit or investigation of all of our properties to determine our compliance with the ADA or similar laws of other jurisdictions in which we operate. If one or more of the properties in our portfolio does not comply with the ADA or such other laws, then we would be required to incur additional costs to bring the property into compliance. Additional federal, state and local laws also may require modifications to our properties, or restrict our ability to renovate our properties. We cannot predict the ultimate cost of compliance with the ADA or other laws. If we incur substantial costs to comply with the ADA and any other similar legislation or are subject to awards of damages to private litigants, our financial condition, results of operations, cash flow, cash available for distribution and ability to satisfy our debt service obligations could be materially adversely affected.</w:t>
      </w:r>
    </w:p>
    <w:p>
      <w:pPr>
        <w:spacing w:after="0" w:line="62" w:lineRule="exact"/>
        <w:rPr>
          <w:sz w:val="20"/>
          <w:szCs w:val="20"/>
          <w:color w:val="auto"/>
        </w:rPr>
      </w:pPr>
    </w:p>
    <w:p>
      <w:pPr>
        <w:ind w:left="20" w:right="199" w:firstLine="228"/>
        <w:spacing w:after="0" w:line="252" w:lineRule="auto"/>
        <w:rPr>
          <w:sz w:val="20"/>
          <w:szCs w:val="20"/>
          <w:color w:val="auto"/>
        </w:rPr>
      </w:pPr>
      <w:r>
        <w:rPr>
          <w:rFonts w:ascii="Times New Roman" w:cs="Times New Roman" w:eastAsia="Times New Roman" w:hAnsi="Times New Roman"/>
          <w:sz w:val="13"/>
          <w:szCs w:val="13"/>
          <w:color w:val="auto"/>
        </w:rPr>
        <w:t>The properties in our portfolio are subject to various federal, state and local regulations, such as state and local fire and life safety regulations. If we fail to comply with these various regulations, we may have to pay fines or damage awards to private litigants. In addition, we do not know whether existing regulations will change or whether future regulations will require us to make significant unanticipated expenditures that will materially adversely impact our financial condition, results of operations, cash flow, cash available for distribution and ability to satisfy our debt service obligations.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Our business could be adversely impacted if there are deficiencies in our disclosure controls and procedures or internal control over financial reporting.</w:t>
      </w:r>
    </w:p>
    <w:p>
      <w:pPr>
        <w:spacing w:after="0" w:line="80" w:lineRule="exact"/>
        <w:rPr>
          <w:sz w:val="20"/>
          <w:szCs w:val="20"/>
          <w:color w:val="auto"/>
        </w:rPr>
      </w:pPr>
    </w:p>
    <w:p>
      <w:pPr>
        <w:ind w:left="20" w:right="39" w:firstLine="228"/>
        <w:spacing w:after="0" w:line="248" w:lineRule="auto"/>
        <w:rPr>
          <w:sz w:val="20"/>
          <w:szCs w:val="20"/>
          <w:color w:val="auto"/>
        </w:rPr>
      </w:pPr>
      <w:r>
        <w:rPr>
          <w:rFonts w:ascii="Times New Roman" w:cs="Times New Roman" w:eastAsia="Times New Roman" w:hAnsi="Times New Roman"/>
          <w:sz w:val="13"/>
          <w:szCs w:val="13"/>
          <w:color w:val="auto"/>
        </w:rPr>
        <w:t>The design and effectiveness of our disclosure controls and procedures and internal control over financial reporting may not prevent all errors, misstatements or misrepresentations. While management will continue to review the effectiveness of our disclosure controls and procedures and internal control over financial reporting, there can be no guarantee that our internal control over financial reporting will be effective in accomplishing all control objectives all of the time. Furthermore, our disclosure controls and procedures and internal control over financial reporting with respect to entities that we do not control or manage may be substantially more limited than those we maintain with respect to the subsidiaries that we have controlled or managed over the course of time. Deficiencies, including any material weakness, in our internal control over financial reporting which may occur in the future could result in misstatements of our results of operations, restatements of our financial statements, a decline in Digital Realty Trust, Inc.’s stock price, or otherwise materially adversely affect our business, reputation, results of operations, financial condition or liquidity</w:t>
      </w:r>
      <w:r>
        <w:rPr>
          <w:rFonts w:ascii="Times New Roman" w:cs="Times New Roman" w:eastAsia="Times New Roman" w:hAnsi="Times New Roman"/>
          <w:sz w:val="15"/>
          <w:szCs w:val="15"/>
          <w:color w:val="auto"/>
        </w:rPr>
        <w:t>.</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Risks Related to Our Organizational Structure</w:t>
      </w:r>
    </w:p>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Digital Realty Trust, Inc.’s duty to its stockholders may conflict with the interests of Digital Realty Trust, L.P.’s unitholders.</w:t>
      </w:r>
    </w:p>
    <w:p>
      <w:pPr>
        <w:spacing w:after="0" w:line="80" w:lineRule="exact"/>
        <w:rPr>
          <w:sz w:val="20"/>
          <w:szCs w:val="20"/>
          <w:color w:val="auto"/>
        </w:rPr>
      </w:pPr>
    </w:p>
    <w:p>
      <w:pPr>
        <w:ind w:left="20" w:right="79" w:firstLine="285"/>
        <w:spacing w:after="0" w:line="249" w:lineRule="auto"/>
        <w:rPr>
          <w:sz w:val="20"/>
          <w:szCs w:val="20"/>
          <w:color w:val="auto"/>
        </w:rPr>
      </w:pPr>
      <w:r>
        <w:rPr>
          <w:rFonts w:ascii="Times New Roman" w:cs="Times New Roman" w:eastAsia="Times New Roman" w:hAnsi="Times New Roman"/>
          <w:sz w:val="13"/>
          <w:szCs w:val="13"/>
          <w:color w:val="auto"/>
        </w:rPr>
        <w:t>Conflicts of interest may exist or could arise in the future as a result of the relationships between Digital Realty Trust, Inc. and its stockholders, on the one hand, and Digital Realty Trust, L.P. and its partners, on the other. Digital Realty Trust, Inc.’s directors and officers have duties to Digital Realty Trust, Inc. and its stockholders under Maryland law in connection with their management of our Company. At the same time, Digital Realty Trust, Inc., as general partner, has fiduciary duties under Maryland law to Digital Realty Trust, L.P. and to the limited partners in connection with the management of our Operating Partnership. Digital Realty Trust, Inc.’s duties as general partner to Digital Realty Trust, L.P. and its partners may come into conflict with the duties of Digital Realty Trust, Inc.’s directors and officers to</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4" w:name="page45"/>
    <w:bookmarkEnd w:id="4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139"/>
        <w:spacing w:after="0" w:line="279" w:lineRule="auto"/>
        <w:rPr>
          <w:sz w:val="20"/>
          <w:szCs w:val="20"/>
          <w:color w:val="auto"/>
        </w:rPr>
      </w:pPr>
      <w:r>
        <w:rPr>
          <w:rFonts w:ascii="Times New Roman" w:cs="Times New Roman" w:eastAsia="Times New Roman" w:hAnsi="Times New Roman"/>
          <w:sz w:val="12"/>
          <w:szCs w:val="12"/>
          <w:color w:val="auto"/>
        </w:rPr>
        <w:t>Digital Realty Trust, Inc. and its stockholders. Under Maryland law, a general partner of a Maryland limited partnership owes its limited partners the duties of loyalty and care, which must be discharged consistently with the obligation of good faith and fair dealing, unless the partnership agreement provides otherwise. The partnership agreement of Digital Realty Trust, L.P. provides that for so long as Digital Realty Trust, Inc. owns a controlling interest in Digital Realty Trust, L.P., any conflict that cannot be resolved in a manner not adverse to either Digital Realty Trust, Inc.’s stockholders or the limited partners will be resolved in favor of Digital Realty Trust, Inc.’s stockholders.</w:t>
      </w:r>
    </w:p>
    <w:p>
      <w:pPr>
        <w:spacing w:after="0" w:line="42" w:lineRule="exact"/>
        <w:rPr>
          <w:sz w:val="20"/>
          <w:szCs w:val="20"/>
          <w:color w:val="auto"/>
        </w:rPr>
      </w:pPr>
    </w:p>
    <w:p>
      <w:pPr>
        <w:ind w:left="20" w:right="59" w:firstLine="228"/>
        <w:spacing w:after="0" w:line="256" w:lineRule="auto"/>
        <w:rPr>
          <w:sz w:val="20"/>
          <w:szCs w:val="20"/>
          <w:color w:val="auto"/>
        </w:rPr>
      </w:pPr>
      <w:r>
        <w:rPr>
          <w:rFonts w:ascii="Times New Roman" w:cs="Times New Roman" w:eastAsia="Times New Roman" w:hAnsi="Times New Roman"/>
          <w:sz w:val="13"/>
          <w:szCs w:val="13"/>
          <w:color w:val="auto"/>
        </w:rPr>
        <w:t>The provisions of Maryland law that allow the fiduciary duties of a general partner to be modified by a partnership agreement have not been tested in a court of law, and we have not obtained an opinion of counsel covering the provisions set forth in the partnership agreement that purport to waive or restrict Digital Realty Trust, Inc.’s fiduciary duties.</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Digital Realty Trust, Inc.’s stockholders and Digital Realty Trust, L.P.’s unitholders are also subject to the following additional conflict of interest:</w:t>
      </w:r>
    </w:p>
    <w:p>
      <w:pPr>
        <w:spacing w:after="0" w:line="76" w:lineRule="exact"/>
        <w:rPr>
          <w:sz w:val="20"/>
          <w:szCs w:val="20"/>
          <w:color w:val="auto"/>
        </w:rPr>
      </w:pPr>
    </w:p>
    <w:p>
      <w:pPr>
        <w:ind w:left="20" w:right="39" w:firstLine="228"/>
        <w:spacing w:after="0" w:line="247" w:lineRule="auto"/>
        <w:rPr>
          <w:sz w:val="20"/>
          <w:szCs w:val="20"/>
          <w:color w:val="auto"/>
        </w:rPr>
      </w:pPr>
      <w:r>
        <w:rPr>
          <w:rFonts w:ascii="Times New Roman" w:cs="Times New Roman" w:eastAsia="Times New Roman" w:hAnsi="Times New Roman"/>
          <w:sz w:val="13"/>
          <w:szCs w:val="13"/>
          <w:b w:val="1"/>
          <w:bCs w:val="1"/>
          <w:i w:val="1"/>
          <w:iCs w:val="1"/>
          <w:color w:val="auto"/>
        </w:rPr>
        <w:t xml:space="preserve">Tax consequences upon sale or refinancing. </w:t>
      </w:r>
      <w:r>
        <w:rPr>
          <w:rFonts w:ascii="Times New Roman" w:cs="Times New Roman" w:eastAsia="Times New Roman" w:hAnsi="Times New Roman"/>
          <w:sz w:val="13"/>
          <w:szCs w:val="13"/>
          <w:color w:val="auto"/>
        </w:rPr>
        <w:t>Sales of properties and repayment of certain indebtedness will affect holders of common units in Digital Realty Trust, L.P.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Digital Realty Trust, Inc.’s stockholders differently. Consequently, these holders of common units in Digital Realty Trust, L.P. may have different objectives regarding the appropriate pricing and timing of any such sale or repayment of debt. While Digital Realty Trust, Inc. has exclusive authority under the partnership agreement of Digital Realty Trust, L.P. to determine when to refinance or repay debt or whether, when, and on what terms to sell a property, such decisions may require the approval of Digital Realty Trust, Inc.’s Board of Directors and Digital Realty Trust, Inc.’s ability to take such actions, to the extent that they may reduce the liabilities of Digital Realty Trust, L.P., may be limited pursuant to the tax protection agreement that Digital Realty Trust, Inc. and Digital Realty Trust, L.P. entered into upon completion of the DFT Merger. Certain of Digital Realty Trust, Inc.’s directors and executive officers could exercise their influence in a manner inconsistent with the interests of some, or a majority, of Digital Realty Trust, L.P.’s unitholders, including in a manner which could prevent completion of a sale of a property or the repayment of indebtedness.</w:t>
      </w:r>
    </w:p>
    <w:p>
      <w:pPr>
        <w:spacing w:after="0" w:line="60" w:lineRule="exact"/>
        <w:rPr>
          <w:sz w:val="20"/>
          <w:szCs w:val="20"/>
          <w:color w:val="auto"/>
        </w:rPr>
      </w:pPr>
    </w:p>
    <w:p>
      <w:pPr>
        <w:ind w:left="20" w:right="23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Digital Realty Trust, Inc.’s charter, Digital Realty Trust, L.P.’s partnership agreement and Maryland law contain provisions that may delay, defer or prevent a change of control transaction.</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These provisions include the following:</w:t>
      </w:r>
    </w:p>
    <w:p>
      <w:pPr>
        <w:spacing w:after="0" w:line="76" w:lineRule="exact"/>
        <w:rPr>
          <w:sz w:val="20"/>
          <w:szCs w:val="20"/>
          <w:color w:val="auto"/>
        </w:rPr>
      </w:pPr>
    </w:p>
    <w:p>
      <w:pPr>
        <w:ind w:left="20" w:right="59" w:firstLine="228"/>
        <w:spacing w:after="0" w:line="246" w:lineRule="auto"/>
        <w:rPr>
          <w:sz w:val="20"/>
          <w:szCs w:val="20"/>
          <w:color w:val="auto"/>
        </w:rPr>
      </w:pPr>
      <w:r>
        <w:rPr>
          <w:rFonts w:ascii="Times New Roman" w:cs="Times New Roman" w:eastAsia="Times New Roman" w:hAnsi="Times New Roman"/>
          <w:sz w:val="13"/>
          <w:szCs w:val="13"/>
          <w:b w:val="1"/>
          <w:bCs w:val="1"/>
          <w:i w:val="1"/>
          <w:iCs w:val="1"/>
          <w:color w:val="auto"/>
        </w:rPr>
        <w:t xml:space="preserve">Digital Realty Trust, Inc.’s charter and the articles supplementary governing its preferred stock contain 9.8% ownership limits. </w:t>
      </w:r>
      <w:r>
        <w:rPr>
          <w:rFonts w:ascii="Times New Roman" w:cs="Times New Roman" w:eastAsia="Times New Roman" w:hAnsi="Times New Roman"/>
          <w:sz w:val="13"/>
          <w:szCs w:val="13"/>
          <w:color w:val="auto"/>
        </w:rPr>
        <w:t>Digital Realty Trust, Inc.’s charter,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subject to certain exceptions, authorizes Digital Realty Trust, Inc.’s Board of Directors to take such actions as are necessary and desirable to preserve Digital Realty Trust, Inc.’s qualification as a REIT and to limit any person to actual or constructive ownership of no more than 9.8% (by value or by number of shares, whichever is more restrictive) of the outstanding shares of Digital Realty Trust, Inc.’s common stock, 9.8% (by value or by number of shares, whichever is more restrictive) of the outstanding shares of any series of Digital Realty Trust, Inc.’s preferred stock and 9.8% of the value of Digital Realty Trust, Inc.’s outstanding capital stock. Digital Realty Trust, Inc.’s Board of Directors, in its sole discretion, may exempt (prospectively or retroactively) a proposed transferee from the ownership limit. However, Digital Realty Trust, Inc.’s Board of Directors may not grant an exemption from the ownership limit to any proposed transferee whose direct or indirect ownership of more than 9.8% of the outstanding shares of Digital Realty Trust, Inc.’s common stock, more than 9.8% of the outstanding shares of any series of Digital Realty Trust, Inc.’s preferred stock or more than 9.8% of the value of Digital Realty Trust, Inc.’s outstanding capital stock could jeopardize Digital Realty Trust, Inc.’s status as a REIT. These restrictions on transferability and ownership will not apply if Digital Realty Trust, Inc.’s Board of Directors determines that it is no longer in Digital Realty Trust, Inc.’s best interests to attempt to qualify, or to continue to qualify, as a REIT or that compliance is no longer required for REIT qualification. The ownership limit may delay, defer or prevent a transaction or a change of control that might be in the best interest of Digital Realty Trust, Inc.’s stockholders and Digital Realty Trust, L.P.’s unitholders.</w:t>
      </w:r>
    </w:p>
    <w:p>
      <w:pPr>
        <w:spacing w:after="0" w:line="60" w:lineRule="exact"/>
        <w:rPr>
          <w:sz w:val="20"/>
          <w:szCs w:val="20"/>
          <w:color w:val="auto"/>
        </w:rPr>
      </w:pPr>
    </w:p>
    <w:p>
      <w:pPr>
        <w:ind w:left="20" w:right="179" w:firstLine="228"/>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Digital Realty Trust, L.P.’s partnership agreement contains provisions that may delay, defer or prevent a change of control transaction. </w:t>
      </w:r>
      <w:r>
        <w:rPr>
          <w:rFonts w:ascii="Times New Roman" w:cs="Times New Roman" w:eastAsia="Times New Roman" w:hAnsi="Times New Roman"/>
          <w:sz w:val="13"/>
          <w:szCs w:val="13"/>
          <w:color w:val="auto"/>
        </w:rPr>
        <w:t>Digital Realty Trust, L.P.’s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partnership agreement provides that Digital Realty Trust, Inc. may not engage in any merger, consolidation or other combination with or into another person, any sale of all or substantially all of its assets or any reclassification, recapitalization or change of its outstanding equity interests unless the transaction</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5" w:name="page46"/>
    <w:bookmarkEnd w:id="4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259"/>
        <w:spacing w:after="0" w:line="268" w:lineRule="auto"/>
        <w:rPr>
          <w:sz w:val="20"/>
          <w:szCs w:val="20"/>
          <w:color w:val="auto"/>
        </w:rPr>
      </w:pPr>
      <w:r>
        <w:rPr>
          <w:rFonts w:ascii="Times New Roman" w:cs="Times New Roman" w:eastAsia="Times New Roman" w:hAnsi="Times New Roman"/>
          <w:sz w:val="13"/>
          <w:szCs w:val="13"/>
          <w:color w:val="auto"/>
        </w:rPr>
        <w:t>is approved by the holders of common units and long-term incentive units representing at least 35% of the aggregate percentage interests of all holders of common units and long-term incentive units and either:</w:t>
      </w:r>
    </w:p>
    <w:p>
      <w:pPr>
        <w:spacing w:after="0" w:line="46" w:lineRule="exact"/>
        <w:rPr>
          <w:sz w:val="20"/>
          <w:szCs w:val="20"/>
          <w:color w:val="auto"/>
        </w:rPr>
      </w:pPr>
    </w:p>
    <w:p>
      <w:pPr>
        <w:ind w:left="720" w:right="59" w:hanging="220"/>
        <w:spacing w:after="0" w:line="246" w:lineRule="auto"/>
        <w:tabs>
          <w:tab w:leader="none" w:pos="7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limited partners will receive, or have the right to elect to receive, for each common unit an amount of cash, securities or other property equal to the product of the number of shares of Digital Realty Trust, Inc. common stock into which a common unit is then exchangeable and the greatest amount of cash, securities or other property paid in consideration of each share of Digital Realty Trust, Inc. common stock in connection with the transaction (provided that, if, in connection with the transaction, a purchase, tender or exchange offer is made to and accepted by the holders of more than 50% of the shares of Digital Realty Trust, Inc. common stock, each holder of common units will receive, or have the right to elect to receive, the greatest amount of cash, securities or other property which such holder would have received if it exercised its right to redemption and received shares of Digital Realty Trust, Inc. common stock in exchange for its common units immediately prior to the expiration of such purchase, tender or exchange offer and thereupon accepted such purchase, tender or exchange offer and the transaction was then consummated); or</w:t>
      </w:r>
    </w:p>
    <w:p>
      <w:pPr>
        <w:spacing w:after="0" w:line="2"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conditions are met:</w:t>
      </w:r>
    </w:p>
    <w:p>
      <w:pPr>
        <w:spacing w:after="0" w:line="1" w:lineRule="exact"/>
        <w:rPr>
          <w:sz w:val="20"/>
          <w:szCs w:val="20"/>
          <w:color w:val="auto"/>
        </w:rPr>
      </w:pPr>
    </w:p>
    <w:p>
      <w:pPr>
        <w:ind w:left="1180" w:right="139" w:hanging="225"/>
        <w:spacing w:after="0" w:line="238" w:lineRule="auto"/>
        <w:tabs>
          <w:tab w:leader="none" w:pos="1180" w:val="left"/>
        </w:tabs>
        <w:numPr>
          <w:ilvl w:val="0"/>
          <w:numId w:val="25"/>
        </w:numPr>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substantially all of the assets directly or indirectly owned by the surviving entity in the transaction are held directly or indirectly by Digital Realty Trust, L.P. or another limited partnership or limited liability company which is the survivor of a merger, consolidation or combination of assets with Digital Realty Trust, L.P., which we refer to as the surviving partnership;</w:t>
      </w:r>
    </w:p>
    <w:p>
      <w:pPr>
        <w:spacing w:after="0" w:line="1" w:lineRule="exact"/>
        <w:rPr>
          <w:rFonts w:ascii="Courier New" w:cs="Courier New" w:eastAsia="Courier New" w:hAnsi="Courier New"/>
          <w:sz w:val="13"/>
          <w:szCs w:val="13"/>
          <w:color w:val="auto"/>
        </w:rPr>
      </w:pPr>
    </w:p>
    <w:p>
      <w:pPr>
        <w:jc w:val="both"/>
        <w:ind w:left="1180" w:right="139" w:hanging="225"/>
        <w:spacing w:after="0" w:line="254" w:lineRule="auto"/>
        <w:tabs>
          <w:tab w:leader="none" w:pos="1180" w:val="left"/>
        </w:tabs>
        <w:numPr>
          <w:ilvl w:val="0"/>
          <w:numId w:val="25"/>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the holders of common units and long-term incentive units own a percentage interest of the surviving partnership based on the relative fair market value of Digital Realty Trust, L.P.’s net assets and the other net assets of the surviving partnership immediately prior to the consummation of such transaction;</w:t>
      </w:r>
    </w:p>
    <w:p>
      <w:pPr>
        <w:spacing w:after="0" w:line="1" w:lineRule="exact"/>
        <w:rPr>
          <w:rFonts w:ascii="Courier New" w:cs="Courier New" w:eastAsia="Courier New" w:hAnsi="Courier New"/>
          <w:sz w:val="12"/>
          <w:szCs w:val="12"/>
          <w:color w:val="auto"/>
        </w:rPr>
      </w:pPr>
    </w:p>
    <w:p>
      <w:pPr>
        <w:ind w:left="1180" w:right="59" w:hanging="225"/>
        <w:spacing w:after="0" w:line="254" w:lineRule="auto"/>
        <w:tabs>
          <w:tab w:leader="none" w:pos="1180" w:val="left"/>
        </w:tabs>
        <w:numPr>
          <w:ilvl w:val="0"/>
          <w:numId w:val="25"/>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the rights, preferences and privileges of the holders of interests in the surviving partnership are at least as favorable as those in effect immediately prior to the consummation of such transaction and as those applicable to any other limited partners or non-managing members of the surviving partnership; and</w:t>
      </w:r>
    </w:p>
    <w:p>
      <w:pPr>
        <w:spacing w:after="0" w:line="1" w:lineRule="exact"/>
        <w:rPr>
          <w:rFonts w:ascii="Courier New" w:cs="Courier New" w:eastAsia="Courier New" w:hAnsi="Courier New"/>
          <w:sz w:val="12"/>
          <w:szCs w:val="12"/>
          <w:color w:val="auto"/>
        </w:rPr>
      </w:pPr>
    </w:p>
    <w:p>
      <w:pPr>
        <w:ind w:left="1180" w:right="79" w:hanging="225"/>
        <w:spacing w:after="0" w:line="260" w:lineRule="auto"/>
        <w:tabs>
          <w:tab w:leader="none" w:pos="1180" w:val="left"/>
        </w:tabs>
        <w:numPr>
          <w:ilvl w:val="0"/>
          <w:numId w:val="25"/>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the rights of the limited partners or non-managing members of the surviving partnership include at least one of the following: (i) the right to redeem their interests in the surviving partnership for the consideration available to such persons pursuant to Digital Realty Trust, L.P.’s partnership agreement; or (ii) the right to redeem their interests for cash on terms equivalent to those in effect with respect to their common units immediately prior to the consummation of such transaction (or, if the ultimate controlling person of the surviving partnership has publicly traded common equity securities, for such common equity securities, with an exchange ratio based on the determination of relative fair market value of such securities and the shares of</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3"/>
          <w:szCs w:val="13"/>
          <w:color w:val="auto"/>
        </w:rPr>
        <w:t>Digital Realty Trust, Inc. common stock).</w:t>
      </w:r>
    </w:p>
    <w:p>
      <w:pPr>
        <w:spacing w:after="0" w:line="2" w:lineRule="exact"/>
        <w:rPr>
          <w:sz w:val="20"/>
          <w:szCs w:val="20"/>
          <w:color w:val="auto"/>
        </w:rPr>
      </w:pPr>
    </w:p>
    <w:p>
      <w:pPr>
        <w:ind w:left="20" w:right="319" w:firstLine="228"/>
        <w:spacing w:after="0" w:line="247" w:lineRule="auto"/>
        <w:rPr>
          <w:sz w:val="20"/>
          <w:szCs w:val="20"/>
          <w:color w:val="auto"/>
        </w:rPr>
      </w:pPr>
      <w:r>
        <w:rPr>
          <w:rFonts w:ascii="Times New Roman" w:cs="Times New Roman" w:eastAsia="Times New Roman" w:hAnsi="Times New Roman"/>
          <w:sz w:val="13"/>
          <w:szCs w:val="13"/>
          <w:color w:val="auto"/>
        </w:rPr>
        <w:t>These provisions may discourage others from trying to acquire control of Digital Realty Trust, Inc. and may delay, defer or prevent a change of control transaction that might be beneficial to Digital Realty Trust, Inc.’s stockholders and Digital Realty Trust, L.P.’s unitholders.</w:t>
      </w:r>
    </w:p>
    <w:p>
      <w:pPr>
        <w:spacing w:after="0" w:line="57" w:lineRule="exact"/>
        <w:rPr>
          <w:sz w:val="20"/>
          <w:szCs w:val="20"/>
          <w:color w:val="auto"/>
        </w:rPr>
      </w:pPr>
    </w:p>
    <w:p>
      <w:pPr>
        <w:ind w:left="20" w:right="79" w:firstLine="228"/>
        <w:spacing w:after="0" w:line="247" w:lineRule="auto"/>
        <w:rPr>
          <w:sz w:val="20"/>
          <w:szCs w:val="20"/>
          <w:color w:val="auto"/>
        </w:rPr>
      </w:pPr>
      <w:r>
        <w:rPr>
          <w:rFonts w:ascii="Times New Roman" w:cs="Times New Roman" w:eastAsia="Times New Roman" w:hAnsi="Times New Roman"/>
          <w:sz w:val="13"/>
          <w:szCs w:val="13"/>
          <w:b w:val="1"/>
          <w:bCs w:val="1"/>
          <w:i w:val="1"/>
          <w:iCs w:val="1"/>
          <w:color w:val="auto"/>
        </w:rPr>
        <w:t xml:space="preserve">The change of control conversion features of Digital Realty Trust, Inc.’s preferred stock may make it more difficult for a party to take over our Company or discourage a party from taking over our Company. </w:t>
      </w:r>
      <w:r>
        <w:rPr>
          <w:rFonts w:ascii="Times New Roman" w:cs="Times New Roman" w:eastAsia="Times New Roman" w:hAnsi="Times New Roman"/>
          <w:sz w:val="13"/>
          <w:szCs w:val="13"/>
          <w:color w:val="auto"/>
        </w:rPr>
        <w:t>Upon the occurrence of specified change of control transactions, holders of our series C preferred stock, series J preferred stock, series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K preferred stock and series L preferred stock will have the right (unless, prior to the change of control conversion date, we have provided or provide notice of our election to redeem such preferred stock) to convert some or all of their series C preferred stock, series J preferred stock, series K preferred stock or series L preferred stock, as applicable, into shares of our common stock (or equivalent value of alternative consideration), subject to caps set forth in the articles supplementary governing the applicable series of preferred stock. The change of control conversion features of the series C preferred stock, series J preferred stock, series K preferred stock and series L preferred stock may have the effect of discouraging a third party from making an acquisition proposal for our Company or of delaying, deferring or preventing certain change of control transactions of our Company under circumstances that otherwise could provide the holders of</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6" w:name="page47"/>
    <w:bookmarkEnd w:id="4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279"/>
        <w:spacing w:after="0" w:line="268" w:lineRule="auto"/>
        <w:rPr>
          <w:sz w:val="20"/>
          <w:szCs w:val="20"/>
          <w:color w:val="auto"/>
        </w:rPr>
      </w:pPr>
      <w:r>
        <w:rPr>
          <w:rFonts w:ascii="Times New Roman" w:cs="Times New Roman" w:eastAsia="Times New Roman" w:hAnsi="Times New Roman"/>
          <w:sz w:val="13"/>
          <w:szCs w:val="13"/>
          <w:color w:val="auto"/>
        </w:rPr>
        <w:t>our common stock, series C preferred stock, series J preferred stock, series K preferred stock and series L preferred stock with the opportunity to realize a premium over the then-current market price or that stockholders may otherwise believe is in their best interests.</w:t>
      </w:r>
    </w:p>
    <w:p>
      <w:pPr>
        <w:spacing w:after="0" w:line="44" w:lineRule="exact"/>
        <w:rPr>
          <w:sz w:val="20"/>
          <w:szCs w:val="20"/>
          <w:color w:val="auto"/>
        </w:rPr>
      </w:pPr>
    </w:p>
    <w:p>
      <w:pPr>
        <w:ind w:left="20" w:right="79" w:firstLine="228"/>
        <w:spacing w:after="0" w:line="247" w:lineRule="auto"/>
        <w:rPr>
          <w:sz w:val="20"/>
          <w:szCs w:val="20"/>
          <w:color w:val="auto"/>
        </w:rPr>
      </w:pPr>
      <w:r>
        <w:rPr>
          <w:rFonts w:ascii="Times New Roman" w:cs="Times New Roman" w:eastAsia="Times New Roman" w:hAnsi="Times New Roman"/>
          <w:sz w:val="13"/>
          <w:szCs w:val="13"/>
          <w:b w:val="1"/>
          <w:bCs w:val="1"/>
          <w:i w:val="1"/>
          <w:iCs w:val="1"/>
          <w:color w:val="auto"/>
        </w:rPr>
        <w:t xml:space="preserve">Digital Realty Trust, Inc. could increase or decrease the number of authorized shares of stock and issue stock without stockholder approval. </w:t>
      </w:r>
      <w:r>
        <w:rPr>
          <w:rFonts w:ascii="Times New Roman" w:cs="Times New Roman" w:eastAsia="Times New Roman" w:hAnsi="Times New Roman"/>
          <w:sz w:val="13"/>
          <w:szCs w:val="13"/>
          <w:color w:val="auto"/>
        </w:rPr>
        <w:t>Digital Realty Trust, Inc.’s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charter authorizes Digital Realty Trust, Inc.’s Board of Directors, without stockholder approval, to amend the charter from time to time to increase or decrease the aggregate number of authorized shares of stock or the number of authorized shares of stock of any class or series, to issue authorized but unissued shares of the Digital Realty Trust, Inc.’s common stock or preferred stock and, subject to the voting rights of holders of preferred stock, to classify or reclassify any unissued shares of Digital Realty Trust, Inc.’s common stock or preferred stock into other classes of series of stock and to set the preferences, rights and other terms of such classified or reclassified shares. Although Digital Realty Trust, Inc.’s Board of Directors has no such intention at the present time, it could establish an additional class or series of preferred stock that could, depending on the terms of such class or series, delay, defer or prevent a transaction or a change of control that might be in the best interest of Digital Realty Trust, Inc.’s stockholders and Digital Realty Trust, L.P.’s unitholders.</w:t>
      </w:r>
    </w:p>
    <w:p>
      <w:pPr>
        <w:spacing w:after="0" w:line="60" w:lineRule="exact"/>
        <w:rPr>
          <w:sz w:val="20"/>
          <w:szCs w:val="20"/>
          <w:color w:val="auto"/>
        </w:rPr>
      </w:pPr>
    </w:p>
    <w:p>
      <w:pPr>
        <w:ind w:left="20" w:right="179" w:firstLine="228"/>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Certain provisions of Maryland law could inhibit changes in control. </w:t>
      </w:r>
      <w:r>
        <w:rPr>
          <w:rFonts w:ascii="Times New Roman" w:cs="Times New Roman" w:eastAsia="Times New Roman" w:hAnsi="Times New Roman"/>
          <w:sz w:val="13"/>
          <w:szCs w:val="13"/>
          <w:color w:val="auto"/>
        </w:rPr>
        <w:t>Certain provisions of the Maryland General Corporation Law, or MGCL, may have the effect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impeding a third party from making a proposal to acquire Digital Realty Trust, Inc. or of impeding a change of control under circumstances that otherwise could be in the best interests of Digital Realty Trust, Inc.’s stockholders and Digital Realty Trust, L.P.’s unitholders, including:</w:t>
      </w:r>
    </w:p>
    <w:p>
      <w:pPr>
        <w:spacing w:after="0" w:line="53" w:lineRule="exact"/>
        <w:rPr>
          <w:sz w:val="20"/>
          <w:szCs w:val="20"/>
          <w:color w:val="auto"/>
        </w:rPr>
      </w:pPr>
    </w:p>
    <w:p>
      <w:pPr>
        <w:ind w:left="20" w:right="159" w:firstLine="461"/>
        <w:spacing w:after="0" w:line="248" w:lineRule="auto"/>
        <w:tabs>
          <w:tab w:leader="none" w:pos="931"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combination” provisions that, subject to limitations, prohibit certain business combinations between Digital Realty Trust, Inc. and an “interested stockholder” (defined generally as any person who beneficially owns, directly or indirectly, 10% or more of the voting power of Digital Realty Trust, Inc.’s outstanding shares of voting stock or an affiliate or associate of Digital Realty Trust, Inc. who, at any time within the two-year period prior to the date in question, was the beneficial owner, directly or indirectly, of 10% or more of the voting power of Digital Realty Trust, Inc.’s then outstanding shares of stock) or an affiliate thereof for five years after the most recent date on which the stockholder becomes an interested stockholder, and thereafter impose special appraisal rights and supermajority voting requirements on these combinations; and</w:t>
      </w:r>
    </w:p>
    <w:p>
      <w:pPr>
        <w:spacing w:after="0" w:line="60" w:lineRule="exact"/>
        <w:rPr>
          <w:rFonts w:ascii="Times New Roman" w:cs="Times New Roman" w:eastAsia="Times New Roman" w:hAnsi="Times New Roman"/>
          <w:sz w:val="13"/>
          <w:szCs w:val="13"/>
          <w:color w:val="auto"/>
        </w:rPr>
      </w:pPr>
    </w:p>
    <w:p>
      <w:pPr>
        <w:ind w:left="20" w:right="319" w:firstLine="461"/>
        <w:spacing w:after="0" w:line="249" w:lineRule="auto"/>
        <w:tabs>
          <w:tab w:leader="none" w:pos="931"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 share” provisions that provide that “control shares” of Digital Realty Trust, Inc. (defined as shares which, when aggregated with other shares controlled by the stockholder (except solely by virtue of a revocable proxy), entitle the stockholder to exercise one of three increasing ranges of voting power in electing directors) acquired in a “control share acquisition” (defined as the direct or indirect acquisition of ownership or control of issued and outstanding “control shares”) have no voting rights except to the extent approved by Digital Realty Trust, Inc.’s stockholders by the affirmative vote of at least two-thirds of all the votes entitled to be cast on the matter, excluding all interested shares.</w:t>
      </w:r>
    </w:p>
    <w:p>
      <w:pPr>
        <w:spacing w:after="0" w:line="60" w:lineRule="exact"/>
        <w:rPr>
          <w:sz w:val="20"/>
          <w:szCs w:val="20"/>
          <w:color w:val="auto"/>
        </w:rPr>
      </w:pPr>
    </w:p>
    <w:p>
      <w:pPr>
        <w:ind w:left="20" w:right="239" w:firstLine="228"/>
        <w:spacing w:after="0" w:line="252" w:lineRule="auto"/>
        <w:rPr>
          <w:sz w:val="20"/>
          <w:szCs w:val="20"/>
          <w:color w:val="auto"/>
        </w:rPr>
      </w:pPr>
      <w:r>
        <w:rPr>
          <w:rFonts w:ascii="Times New Roman" w:cs="Times New Roman" w:eastAsia="Times New Roman" w:hAnsi="Times New Roman"/>
          <w:sz w:val="13"/>
          <w:szCs w:val="13"/>
          <w:color w:val="auto"/>
        </w:rPr>
        <w:t>Digital Realty Trust, Inc. has opted out of these provisions of the MGCL, in the case of the business combination provisions of the MGCL by resolution of its Board of Directors, and in the case of the control share provisions of the MGCL pursuant to a provision in its bylaws. However, Digital Realty Trust, Inc.’s Board of Directors may by resolution elect to opt in to the business combination provisions of the MGCL and Digital Realty Trust, Inc. may, by amendment to its bylaws, opt in to the control share provisions of the MGCL in the future.</w:t>
      </w:r>
    </w:p>
    <w:p>
      <w:pPr>
        <w:spacing w:after="0" w:line="56" w:lineRule="exact"/>
        <w:rPr>
          <w:sz w:val="20"/>
          <w:szCs w:val="20"/>
          <w:color w:val="auto"/>
        </w:rPr>
      </w:pPr>
    </w:p>
    <w:p>
      <w:pPr>
        <w:ind w:left="20" w:right="39" w:firstLine="228"/>
        <w:spacing w:after="0" w:line="249" w:lineRule="auto"/>
        <w:rPr>
          <w:sz w:val="20"/>
          <w:szCs w:val="20"/>
          <w:color w:val="auto"/>
        </w:rPr>
      </w:pPr>
      <w:r>
        <w:rPr>
          <w:rFonts w:ascii="Times New Roman" w:cs="Times New Roman" w:eastAsia="Times New Roman" w:hAnsi="Times New Roman"/>
          <w:sz w:val="13"/>
          <w:szCs w:val="13"/>
          <w:color w:val="auto"/>
        </w:rPr>
        <w:t>The provisions of Digital Realty Trust, Inc.’s charter governing removal of directors and the advance notice provisions of Digital Realty Trust, Inc.’s bylaws could delay, defer or prevent a change of control or other transaction that might be in the best interests of Digital Realty Trust, Inc.’s stockholders and Digital Realty Trust, L.P.’s unitholders. Likewise, if Digital Realty Trust, Inc.’s board of directors were to opt in to the business combination provisions of the MGCL or the provisions of Title 3, Subtitle 8 of the MGCL not currently applicable to Digital Realty Trust, Inc., or if the provision in Digital Realty Trust, Inc.’s bylaws opting out of the control share acquisition provisions of the MGCL were rescinded, these provisions of the MGCL could have similar anti-takeover effects.</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The conversion rights of Digital Realty Trust, Inc.’s preferred stock may be detrimental to holders of Digital Realty Trust, Inc.’s common stock.</w:t>
      </w:r>
    </w:p>
    <w:p>
      <w:pPr>
        <w:spacing w:after="0" w:line="80" w:lineRule="exact"/>
        <w:rPr>
          <w:sz w:val="20"/>
          <w:szCs w:val="20"/>
          <w:color w:val="auto"/>
        </w:rPr>
      </w:pPr>
    </w:p>
    <w:p>
      <w:pPr>
        <w:ind w:left="20" w:right="339" w:firstLine="228"/>
        <w:spacing w:after="0" w:line="268" w:lineRule="auto"/>
        <w:rPr>
          <w:sz w:val="20"/>
          <w:szCs w:val="20"/>
          <w:color w:val="auto"/>
        </w:rPr>
      </w:pPr>
      <w:r>
        <w:rPr>
          <w:rFonts w:ascii="Times New Roman" w:cs="Times New Roman" w:eastAsia="Times New Roman" w:hAnsi="Times New Roman"/>
          <w:sz w:val="13"/>
          <w:szCs w:val="13"/>
          <w:color w:val="auto"/>
        </w:rPr>
        <w:t>Digital Realty Trust, Inc. currently has 8,050,000 shares of 6.625% series C cumulative redeemable perpetual preferred stock outstanding, 8,000,000 shares of 5.250% series J cumulative redeemable preferred stock outstanding,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7" w:name="page48"/>
    <w:bookmarkEnd w:id="47"/>
    <w:p>
      <w:pPr>
        <w:ind w:left="2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20" w:right="39"/>
        <w:spacing w:after="0" w:line="249" w:lineRule="auto"/>
        <w:rPr>
          <w:sz w:val="20"/>
          <w:szCs w:val="20"/>
          <w:color w:val="auto"/>
        </w:rPr>
      </w:pPr>
      <w:r>
        <w:rPr>
          <w:rFonts w:ascii="Times New Roman" w:cs="Times New Roman" w:eastAsia="Times New Roman" w:hAnsi="Times New Roman"/>
          <w:sz w:val="13"/>
          <w:szCs w:val="13"/>
          <w:color w:val="auto"/>
        </w:rPr>
        <w:t>8,400,000 shares of 5.850% series K cumulative redeemable preferred stock outstanding and 13,800,000 shares of 5.200% series L cumulative redeemable preferred stock outstanding which may be converted into Digital Realty Trust, Inc. common stock upon the occurrence of limited specified change in control transactions. The conversion of the series C preferred stock, series J preferred stock, series K preferred stock or series L preferred stock for Digital Realty Trust, Inc. common stock would dilute stockholder ownership in Digital Realty Trust, Inc. and unitholder ownership in Digital Realty Trust, L.P., and could adversely affect the market price of Digital Realty Trust, Inc. common stock and could impair our ability to raise capital through the sale of additional equity securities.</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Digital Realty Trust, Inc.’s rights and the rights of its stockholders to take action against its directors and officers are limited.</w:t>
      </w:r>
    </w:p>
    <w:p>
      <w:pPr>
        <w:spacing w:after="0" w:line="80" w:lineRule="exact"/>
        <w:rPr>
          <w:sz w:val="20"/>
          <w:szCs w:val="20"/>
          <w:color w:val="auto"/>
        </w:rPr>
      </w:pPr>
    </w:p>
    <w:p>
      <w:pPr>
        <w:ind w:left="220" w:right="139" w:firstLine="228"/>
        <w:spacing w:after="0" w:line="252" w:lineRule="auto"/>
        <w:rPr>
          <w:sz w:val="20"/>
          <w:szCs w:val="20"/>
          <w:color w:val="auto"/>
        </w:rPr>
      </w:pPr>
      <w:r>
        <w:rPr>
          <w:rFonts w:ascii="Times New Roman" w:cs="Times New Roman" w:eastAsia="Times New Roman" w:hAnsi="Times New Roman"/>
          <w:sz w:val="13"/>
          <w:szCs w:val="13"/>
          <w:color w:val="auto"/>
        </w:rPr>
        <w:t>Maryland law provides that Digital Realty Trust, Inc.’s directors have no liability in their capacities as directors if they perform their duties in good faith, in a manner they reasonably believe to be in the Company’s best interests and with the care that an ordinarily prudent person in a like position would use under similar circumstances. As permitted by the MGCL, Digital Realty Trust, Inc.’s charter limits the liability of Digital Realty Trust, Inc.’s directors and officers to the Company and its stockholders for money damages, except for liability resulting from:</w:t>
      </w:r>
    </w:p>
    <w:p>
      <w:pPr>
        <w:spacing w:after="0" w:line="56" w:lineRule="exact"/>
        <w:rPr>
          <w:sz w:val="20"/>
          <w:szCs w:val="20"/>
          <w:color w:val="auto"/>
        </w:rPr>
      </w:pPr>
    </w:p>
    <w:p>
      <w:pPr>
        <w:ind w:left="1140" w:hanging="459"/>
        <w:spacing w:after="0"/>
        <w:tabs>
          <w:tab w:leader="none" w:pos="114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receipt of an improper benefit or profit in money, property or services; or</w:t>
      </w:r>
    </w:p>
    <w:p>
      <w:pPr>
        <w:spacing w:after="0" w:line="78" w:lineRule="exact"/>
        <w:rPr>
          <w:rFonts w:ascii="Times New Roman" w:cs="Times New Roman" w:eastAsia="Times New Roman" w:hAnsi="Times New Roman"/>
          <w:sz w:val="13"/>
          <w:szCs w:val="13"/>
          <w:color w:val="auto"/>
        </w:rPr>
      </w:pPr>
    </w:p>
    <w:p>
      <w:pPr>
        <w:ind w:left="1140" w:hanging="459"/>
        <w:spacing w:after="0"/>
        <w:tabs>
          <w:tab w:leader="none" w:pos="114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final judgment based upon a finding of active and deliberate dishonesty by the director or officer that was material to the cause of action adjudicated.</w:t>
      </w:r>
    </w:p>
    <w:p>
      <w:pPr>
        <w:spacing w:after="0" w:line="306" w:lineRule="exact"/>
        <w:rPr>
          <w:sz w:val="20"/>
          <w:szCs w:val="20"/>
          <w:color w:val="auto"/>
        </w:rPr>
      </w:pPr>
    </w:p>
    <w:p>
      <w:pPr>
        <w:ind w:left="220" w:right="79" w:firstLine="228"/>
        <w:spacing w:after="0" w:line="248" w:lineRule="auto"/>
        <w:rPr>
          <w:sz w:val="20"/>
          <w:szCs w:val="20"/>
          <w:color w:val="auto"/>
        </w:rPr>
      </w:pPr>
      <w:r>
        <w:rPr>
          <w:rFonts w:ascii="Times New Roman" w:cs="Times New Roman" w:eastAsia="Times New Roman" w:hAnsi="Times New Roman"/>
          <w:sz w:val="13"/>
          <w:szCs w:val="13"/>
          <w:color w:val="auto"/>
        </w:rPr>
        <w:t>In addition, Digital Realty Trust, Inc.’s charter authorizes Digital Realty Trust, Inc. to obligate itself, and Digital Realty Trust, Inc.’s bylaws require it, to indemnify Digital Realty Trust, Inc.’s directors and officers for actions taken by them in those capacities and to pay or reimburse their reasonable expenses in advance of final disposition of a proceeding to the maximum extent permitted by Maryland law. Further, Digital Realty Trust, Inc. has entered into indemnification agreements with its directors and officers. As a result, Digital Realty Trust, Inc. and its stockholders may have more limited rights against its directors and officers than might otherwise exist under common law. Accordingly, in the event that actions taken in good faith by any of Digital Realty Trust, Inc.’s directors or officers impede the performance of the Company, the Company’s stockholders’ ability to recover damages from that director or officer will be limited.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Risks Related to Taxes and Digital Realty Trust, Inc.’s Status as a REIT</w:t>
      </w:r>
    </w:p>
    <w:p>
      <w:pPr>
        <w:spacing w:after="0" w:line="78" w:lineRule="exact"/>
        <w:rPr>
          <w:sz w:val="20"/>
          <w:szCs w:val="20"/>
          <w:color w:val="auto"/>
        </w:rPr>
      </w:pPr>
    </w:p>
    <w:p>
      <w:pPr>
        <w:ind w:left="220" w:right="3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Failure to qualify as a REIT would have significant adverse consequences to Digital Realty Trust, Inc. and its stockholders and to Digital Realty Trust, L.P. and its unitholders.</w:t>
      </w:r>
    </w:p>
    <w:p>
      <w:pPr>
        <w:spacing w:after="0" w:line="44" w:lineRule="exact"/>
        <w:rPr>
          <w:sz w:val="20"/>
          <w:szCs w:val="20"/>
          <w:color w:val="auto"/>
        </w:rPr>
      </w:pPr>
    </w:p>
    <w:p>
      <w:pPr>
        <w:ind w:left="220" w:right="59" w:firstLine="228"/>
        <w:spacing w:after="0" w:line="270" w:lineRule="auto"/>
        <w:rPr>
          <w:sz w:val="20"/>
          <w:szCs w:val="20"/>
          <w:color w:val="auto"/>
        </w:rPr>
      </w:pPr>
      <w:r>
        <w:rPr>
          <w:rFonts w:ascii="Times New Roman" w:cs="Times New Roman" w:eastAsia="Times New Roman" w:hAnsi="Times New Roman"/>
          <w:sz w:val="12"/>
          <w:szCs w:val="12"/>
          <w:color w:val="auto"/>
        </w:rPr>
        <w:t>Digital Realty Trust, Inc. has operated and intends to continue operating in a manner that it believes will allow it to qualify as a REIT for federal income tax purposes under the Code. Digital Realty Trust, Inc. has not requested and does not plan to request a ruling from the Internal Revenue Service, or the IRS, that it qualifies as a REIT. Qualification as a REIT involves the application of highly technical and complex Code provisions for which there are only limited judicial and administrative interpretations. The complexity of these provisions and of the applicable Treasury regulations promulgated under the Code, or Treasury Regulations, is greater in the case of a REIT that, like Digital Realty Trust, Inc., holds its assets through a partnership. The determination of various factual matters and circumstances not entirely within Digital Realty Trust, Inc.’s control may affect its ability to qualify as a REIT. In order to qualify as a REIT, Digital Realty Trust, Inc. must satisfy a number of requirements, including requirements regarding the ownership of its stock, requirements regarding the composition of its assets and requirements regarding the source of its income. Also, Digital Realty Trust, Inc. must make distributions to stockholders aggregating annually at least 90% of its REIT taxable income, excluding any net capital gains.</w:t>
      </w:r>
    </w:p>
    <w:p>
      <w:pPr>
        <w:spacing w:after="0" w:line="49" w:lineRule="exact"/>
        <w:rPr>
          <w:sz w:val="20"/>
          <w:szCs w:val="20"/>
          <w:color w:val="auto"/>
        </w:rPr>
      </w:pPr>
    </w:p>
    <w:p>
      <w:pPr>
        <w:ind w:left="220" w:right="319" w:firstLine="228"/>
        <w:spacing w:after="0" w:line="268" w:lineRule="auto"/>
        <w:rPr>
          <w:sz w:val="20"/>
          <w:szCs w:val="20"/>
          <w:color w:val="auto"/>
        </w:rPr>
      </w:pPr>
      <w:r>
        <w:rPr>
          <w:rFonts w:ascii="Times New Roman" w:cs="Times New Roman" w:eastAsia="Times New Roman" w:hAnsi="Times New Roman"/>
          <w:sz w:val="13"/>
          <w:szCs w:val="13"/>
          <w:color w:val="auto"/>
        </w:rPr>
        <w:t>If Digital Realty Trust, Inc. loses its REIT status, it will face serious tax consequences that would substantially reduce its cash available for distribution, including cash available to pay dividends to its stockholders, for each of the years involved because:</w:t>
      </w:r>
    </w:p>
    <w:p>
      <w:pPr>
        <w:spacing w:after="0" w:line="27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250825</wp:posOffset>
            </wp:positionV>
            <wp:extent cx="5690235" cy="12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219"/>
          </w:cols>
          <w:pgMar w:left="1240" w:top="402" w:right="1440" w:bottom="1440" w:gutter="0" w:footer="0" w:header="0"/>
        </w:sectPr>
      </w:pPr>
    </w:p>
    <w:bookmarkStart w:id="48" w:name="page49"/>
    <w:bookmarkEnd w:id="4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480" w:right="59" w:firstLine="1"/>
        <w:spacing w:after="0" w:line="268" w:lineRule="auto"/>
        <w:tabs>
          <w:tab w:leader="none" w:pos="936"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Digital Realty Trust, Inc. would not be allowed a deduction for dividends paid to stockholders in computing its taxable income and would be subject to federal corporate income tax on its taxable income;</w:t>
      </w:r>
    </w:p>
    <w:p>
      <w:pPr>
        <w:spacing w:after="0" w:line="45" w:lineRule="exact"/>
        <w:rPr>
          <w:rFonts w:ascii="Times New Roman" w:cs="Times New Roman" w:eastAsia="Times New Roman" w:hAnsi="Times New Roman"/>
          <w:sz w:val="13"/>
          <w:szCs w:val="13"/>
          <w:color w:val="auto"/>
        </w:rPr>
      </w:pPr>
    </w:p>
    <w:p>
      <w:pPr>
        <w:ind w:left="480" w:right="259" w:firstLine="1"/>
        <w:spacing w:after="0" w:line="268" w:lineRule="auto"/>
        <w:tabs>
          <w:tab w:leader="none" w:pos="936"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Digital Realty Trust, Inc. also could be subject to the federal alternative minimum tax for taxable years prior to 2018 and possibly increased state and local taxes; and</w:t>
      </w:r>
    </w:p>
    <w:p>
      <w:pPr>
        <w:spacing w:after="0" w:line="45" w:lineRule="exact"/>
        <w:rPr>
          <w:rFonts w:ascii="Times New Roman" w:cs="Times New Roman" w:eastAsia="Times New Roman" w:hAnsi="Times New Roman"/>
          <w:sz w:val="13"/>
          <w:szCs w:val="13"/>
          <w:color w:val="auto"/>
        </w:rPr>
      </w:pPr>
    </w:p>
    <w:p>
      <w:pPr>
        <w:ind w:left="480" w:right="459" w:firstLine="1"/>
        <w:spacing w:after="0" w:line="268" w:lineRule="auto"/>
        <w:tabs>
          <w:tab w:leader="none" w:pos="936"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Digital Realty Trust, Inc. is entitled to relief under applicable statutory provisions, it could not elect to be taxed as a REIT for four taxable years following the year during which it was disqualified.</w:t>
      </w:r>
    </w:p>
    <w:p>
      <w:pPr>
        <w:spacing w:after="0" w:line="46" w:lineRule="exact"/>
        <w:rPr>
          <w:sz w:val="20"/>
          <w:szCs w:val="20"/>
          <w:color w:val="auto"/>
        </w:rPr>
      </w:pPr>
    </w:p>
    <w:p>
      <w:pPr>
        <w:ind w:left="20" w:right="39" w:firstLine="228"/>
        <w:spacing w:after="0" w:line="287" w:lineRule="auto"/>
        <w:rPr>
          <w:sz w:val="20"/>
          <w:szCs w:val="20"/>
          <w:color w:val="auto"/>
        </w:rPr>
      </w:pPr>
      <w:r>
        <w:rPr>
          <w:rFonts w:ascii="Times New Roman" w:cs="Times New Roman" w:eastAsia="Times New Roman" w:hAnsi="Times New Roman"/>
          <w:sz w:val="12"/>
          <w:szCs w:val="12"/>
          <w:color w:val="auto"/>
        </w:rPr>
        <w:t>In addition, if Digital Realty Trust, Inc. fails to qualify as a REIT, it will not be required to make distributions to common stockholders, and accordingly, distributions Digital Realty Trust, L.P. makes to its unitholders could be similarly reduced. As a result of all these factors, Digital Realty Trust, Inc.’s failure to qualify as a REIT could impair our ability to expand our business and raise capital, and could materially adversely affect the value of Digital Realty Trust, Inc.’s stock and Digital Realty Trust, L.P.’s units.</w:t>
      </w:r>
    </w:p>
    <w:p>
      <w:pPr>
        <w:spacing w:after="0" w:line="35" w:lineRule="exact"/>
        <w:rPr>
          <w:sz w:val="20"/>
          <w:szCs w:val="20"/>
          <w:color w:val="auto"/>
        </w:rPr>
      </w:pPr>
    </w:p>
    <w:p>
      <w:pPr>
        <w:ind w:left="20" w:right="15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In certain circumstances, Digital Realty Trust, Inc. may be subject to federal and state taxes as a REIT, which would reduce its cash available for distribution to its stockholders.</w:t>
      </w:r>
    </w:p>
    <w:p>
      <w:pPr>
        <w:spacing w:after="0" w:line="44" w:lineRule="exact"/>
        <w:rPr>
          <w:sz w:val="20"/>
          <w:szCs w:val="20"/>
          <w:color w:val="auto"/>
        </w:rPr>
      </w:pPr>
    </w:p>
    <w:p>
      <w:pPr>
        <w:ind w:left="20" w:right="59" w:firstLine="228"/>
        <w:spacing w:after="0" w:line="248" w:lineRule="auto"/>
        <w:rPr>
          <w:sz w:val="20"/>
          <w:szCs w:val="20"/>
          <w:color w:val="auto"/>
        </w:rPr>
      </w:pPr>
      <w:r>
        <w:rPr>
          <w:rFonts w:ascii="Times New Roman" w:cs="Times New Roman" w:eastAsia="Times New Roman" w:hAnsi="Times New Roman"/>
          <w:sz w:val="13"/>
          <w:szCs w:val="13"/>
          <w:color w:val="auto"/>
        </w:rPr>
        <w:t>Even if Digital Realty Trust, Inc. qualifies as a REIT for federal income tax purposes, it may be subject to some federal, state and local taxes on its income or property and, in certain cases, a 100% penalty tax, in the event it sells property as a dealer. In addition, our domestic corporate subsidiary, Digital Services, Inc., which is a taxable REIT subsidiary of Digital Realty Trust, Inc., could be subject to federal, state and local taxes, and our foreign properties and companies are subject to tax in the jurisdictions in which they operate and are located. A domestic taxable REIT subsidiary is subject to U.S. federal income tax as a regular C corporation. In addition, a 100% excise tax will be imposed on certain transactions between a taxable REIT subsidiary and its parent REIT that are not conducted on an arm’s length basis. Any federal, state or foreign taxes Digital Realty Trust, Inc. pays will reduce its cash available for distribution to stockholders.</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To maintain Digital Realty Trust, Inc.’s REIT status, we may be forced to borrow funds during unfavorable market conditions.</w:t>
      </w:r>
    </w:p>
    <w:p>
      <w:pPr>
        <w:spacing w:after="0" w:line="80" w:lineRule="exact"/>
        <w:rPr>
          <w:sz w:val="20"/>
          <w:szCs w:val="20"/>
          <w:color w:val="auto"/>
        </w:rPr>
      </w:pPr>
    </w:p>
    <w:p>
      <w:pPr>
        <w:ind w:left="20" w:right="179" w:firstLine="228"/>
        <w:spacing w:after="0" w:line="246" w:lineRule="auto"/>
        <w:rPr>
          <w:sz w:val="20"/>
          <w:szCs w:val="20"/>
          <w:color w:val="auto"/>
        </w:rPr>
      </w:pPr>
      <w:r>
        <w:rPr>
          <w:rFonts w:ascii="Times New Roman" w:cs="Times New Roman" w:eastAsia="Times New Roman" w:hAnsi="Times New Roman"/>
          <w:sz w:val="13"/>
          <w:szCs w:val="13"/>
          <w:color w:val="auto"/>
        </w:rPr>
        <w:t>To qualify as a REIT for federal income tax purposes, Digital Realty Trust, Inc. generally must distribute to its stockholders at least 90% of its REIT taxable income each year, excluding capital gains, and Digital Realty Trust, Inc. will be subject to regular corporate income taxes to the extent that it distributes less than 100% of its REIT taxable income each year. In addition, Digital Realty Trust, Inc. will be subject to a 4% nondeductible excise tax on the amount, if any, by which distributions paid by Digital Realty Trust, Inc. in any calendar year are less than the sum of 85% of its ordinary income, 95% of its capital gain net income and 100% of its undistributed income from prior years. While historically Digital Realty Trust, Inc. has satisfied these distribution requirements by making cash distributions to its stockholders, a REIT is permitted to satisfy these requirements by making distributions of cash or other property. We may need to borrow funds for Digital Realty Trust, Inc. to meet the REIT distribution requirements even if the then prevailing market conditions are not favorable for these borrowings. These borrowing needs could result from differences in timing between the actual receipt of cash and inclusion of income for federal income tax purposes, or the effect of non-deductible capital expenditures, the creation of reserves or required debt or amortization payments.</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Dividends payable by REITs do not qualify for the reduced tax rates available for some dividends.</w:t>
      </w:r>
    </w:p>
    <w:p>
      <w:pPr>
        <w:spacing w:after="0" w:line="80" w:lineRule="exact"/>
        <w:rPr>
          <w:sz w:val="20"/>
          <w:szCs w:val="20"/>
          <w:color w:val="auto"/>
        </w:rPr>
      </w:pPr>
    </w:p>
    <w:p>
      <w:pPr>
        <w:ind w:left="20" w:right="119" w:firstLine="228"/>
        <w:spacing w:after="0" w:line="271" w:lineRule="auto"/>
        <w:rPr>
          <w:sz w:val="20"/>
          <w:szCs w:val="20"/>
          <w:color w:val="auto"/>
        </w:rPr>
      </w:pPr>
      <w:r>
        <w:rPr>
          <w:rFonts w:ascii="Times New Roman" w:cs="Times New Roman" w:eastAsia="Times New Roman" w:hAnsi="Times New Roman"/>
          <w:sz w:val="12"/>
          <w:szCs w:val="12"/>
          <w:color w:val="auto"/>
        </w:rPr>
        <w:t>The maximum tax rate applicable to “qualified dividend income” payable to U.S. stockholders that are individuals, trusts and estates is 20%. Dividends payable by REITs, however, generally are not eligible for these reduced rates. U.S. stockholders that are individuals, trusts and estates generally may deduct up to 20% of the ordinary dividends (i.e., dividends not designated as capital gain dividends or qualified dividend income) received from a REIT for taxable years before January 1, 2026. Although this deduction reduces the effective tax rate applicable to certain dividends paid by REITs (generally to 29.6% assuming the shareholder is subject to the 37% maximum rate), such tax rate is still higher than the tax rate applicable to corporate dividends that constitute qualified dividend income. Accordingly, investors who are individuals, trusts and estates may perceive investments in REITs to be relatively less attractive than investments in the stocks of non-REIT corporations that pay dividends treated as qualified dividend income, which could materially and adversely affect the value of the shares of REITs, including the per share trading price of Digital Realty Trust, Inc.’s capital stock.</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9" w:name="page50"/>
    <w:bookmarkEnd w:id="4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right="41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The tax imposed on REITs engaging in “prohibited transactions” may limit our ability to engage in transactions which would be treated as sales for federal income tax purposes.</w:t>
      </w:r>
    </w:p>
    <w:p>
      <w:pPr>
        <w:spacing w:after="0" w:line="44" w:lineRule="exact"/>
        <w:rPr>
          <w:sz w:val="20"/>
          <w:szCs w:val="20"/>
          <w:color w:val="auto"/>
        </w:rPr>
      </w:pPr>
    </w:p>
    <w:p>
      <w:pPr>
        <w:ind w:left="20" w:right="39" w:firstLine="228"/>
        <w:spacing w:after="0" w:line="249" w:lineRule="auto"/>
        <w:rPr>
          <w:sz w:val="20"/>
          <w:szCs w:val="20"/>
          <w:color w:val="auto"/>
        </w:rPr>
      </w:pPr>
      <w:r>
        <w:rPr>
          <w:rFonts w:ascii="Times New Roman" w:cs="Times New Roman" w:eastAsia="Times New Roman" w:hAnsi="Times New Roman"/>
          <w:sz w:val="13"/>
          <w:szCs w:val="13"/>
          <w:color w:val="auto"/>
        </w:rPr>
        <w:t>A REIT’s net income from prohibited transactions is subject to a 100% penalty tax. In general, prohibited transactions are sales or other dispositions of property, other than foreclosure property, held primarily for sale to customers in the ordinary course of business. Although we do not intend to hold any properties that would be characterized as held for sale to customers in the ordinary course of our business, unless a sale or disposition qualifies under certain statutory safe harbors, such characterization is a factual determination and no guarantee can be given that the IRS would agree with our characterization of our properties or that we will always be able to make use of the available safe harbors.</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Complying with REIT requirements may cause us to forgo otherwise attractive opportunities or liquidate otherwise attractive investments.</w:t>
      </w:r>
    </w:p>
    <w:p>
      <w:pPr>
        <w:spacing w:after="0" w:line="80" w:lineRule="exact"/>
        <w:rPr>
          <w:sz w:val="20"/>
          <w:szCs w:val="20"/>
          <w:color w:val="auto"/>
        </w:rPr>
      </w:pPr>
    </w:p>
    <w:p>
      <w:pPr>
        <w:ind w:left="20" w:right="39" w:firstLine="228"/>
        <w:spacing w:after="0" w:line="247" w:lineRule="auto"/>
        <w:rPr>
          <w:sz w:val="20"/>
          <w:szCs w:val="20"/>
          <w:color w:val="auto"/>
        </w:rPr>
      </w:pPr>
      <w:r>
        <w:rPr>
          <w:rFonts w:ascii="Times New Roman" w:cs="Times New Roman" w:eastAsia="Times New Roman" w:hAnsi="Times New Roman"/>
          <w:sz w:val="13"/>
          <w:szCs w:val="13"/>
          <w:color w:val="auto"/>
        </w:rPr>
        <w:t>To qualify as a REIT for federal income tax purposes, Digital Realty Trust, Inc. must continually satisfy tests concerning, among other things, its sources of income, the nature and diversification of its assets (including its proportionate share of Digital Realty Trust, L.P.’s assets), the amounts it distributes to its stockholders and the ownership of its capital stock. If Digital Realty Trust, Inc. were to fail to comply with one or more of the asset tests at the end of any calendar quarter, it would need to correct the failure within 30 days after the end of the calendar quarter or qualify for certain statutory relief provisions to avoid losing its REIT qualification and suffering adverse tax consequences. In order to meet these tests, we may be required to forgo investments we might otherwise make or to liquidate otherwise attractive investments. Thus, compliance with the REIT requirements may hinder our performance and reduce amounts available for distribution to Digital Realty Trust, Inc.’s stockholders and Digital Realty Trust, L.P.’s unitholders.</w:t>
      </w:r>
    </w:p>
    <w:p>
      <w:pPr>
        <w:spacing w:after="0" w:line="60" w:lineRule="exact"/>
        <w:rPr>
          <w:sz w:val="20"/>
          <w:szCs w:val="20"/>
          <w:color w:val="auto"/>
        </w:rPr>
      </w:pPr>
    </w:p>
    <w:p>
      <w:pPr>
        <w:ind w:left="20" w:right="9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The power of Digital Realty Trust, Inc.’s Board of Directors to revoke Digital Realty Trust, Inc.’s REIT election without stockholder approval may cause adverse consequences to Digital Realty Trust, Inc.’s stockholders and Digital Realty Trust, L.P.’s unitholders.</w:t>
      </w:r>
    </w:p>
    <w:p>
      <w:pPr>
        <w:spacing w:after="0" w:line="44" w:lineRule="exact"/>
        <w:rPr>
          <w:sz w:val="20"/>
          <w:szCs w:val="20"/>
          <w:color w:val="auto"/>
        </w:rPr>
      </w:pPr>
    </w:p>
    <w:p>
      <w:pPr>
        <w:ind w:left="20" w:right="139" w:firstLine="228"/>
        <w:spacing w:after="0" w:line="252" w:lineRule="auto"/>
        <w:rPr>
          <w:sz w:val="20"/>
          <w:szCs w:val="20"/>
          <w:color w:val="auto"/>
        </w:rPr>
      </w:pPr>
      <w:r>
        <w:rPr>
          <w:rFonts w:ascii="Times New Roman" w:cs="Times New Roman" w:eastAsia="Times New Roman" w:hAnsi="Times New Roman"/>
          <w:sz w:val="13"/>
          <w:szCs w:val="13"/>
          <w:color w:val="auto"/>
        </w:rPr>
        <w:t>Digital Realty Trust, Inc.’s charter provides that its board of directors may revoke or otherwise terminate its REIT election, without the approval of its stockholders, if the board determines that it is no longer in Digital Realty Trust, Inc.’s best interests to continue to qualify as a REIT. If Digital Realty Trust, Inc. ceases to qualify as a REIT, it would become subject to U.S. federal corporate income tax on its taxable income and it would no longer be required to distribute most of its taxable income to its stockholders and, accordingly, distributions Digital Realty Trust, L.P. makes to its unitholders could be similarly reduced.</w:t>
      </w:r>
    </w:p>
    <w:p>
      <w:pPr>
        <w:spacing w:after="0" w:line="54" w:lineRule="exact"/>
        <w:rPr>
          <w:sz w:val="20"/>
          <w:szCs w:val="20"/>
          <w:color w:val="auto"/>
        </w:rPr>
      </w:pPr>
    </w:p>
    <w:p>
      <w:pPr>
        <w:ind w:left="20" w:right="15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If Digital Realty Trust L.P. were to fail to qualify as a partnership for federal income tax purposes, Digital Realty Trust, Inc. would fail to qualify as a REIT and suffer other adverse consequences.</w:t>
      </w:r>
    </w:p>
    <w:p>
      <w:pPr>
        <w:spacing w:after="0" w:line="44" w:lineRule="exact"/>
        <w:rPr>
          <w:sz w:val="20"/>
          <w:szCs w:val="20"/>
          <w:color w:val="auto"/>
        </w:rPr>
      </w:pPr>
    </w:p>
    <w:p>
      <w:pPr>
        <w:ind w:left="20" w:right="39" w:firstLine="228"/>
        <w:spacing w:after="0" w:line="246" w:lineRule="auto"/>
        <w:rPr>
          <w:sz w:val="20"/>
          <w:szCs w:val="20"/>
          <w:color w:val="auto"/>
        </w:rPr>
      </w:pPr>
      <w:r>
        <w:rPr>
          <w:rFonts w:ascii="Times New Roman" w:cs="Times New Roman" w:eastAsia="Times New Roman" w:hAnsi="Times New Roman"/>
          <w:sz w:val="13"/>
          <w:szCs w:val="13"/>
          <w:color w:val="auto"/>
        </w:rPr>
        <w:t>We believe that Digital Realty Trust, L.P. has been organized and operated in a manner that will allow it to be treated as a partnership, and not an association or publicly traded partnership taxable as a corporation, for federal income tax purposes. As a partnership, Digital Realty Trust, L.P. is not subject to federal income tax on its income. Instead, each of its partners, including Digital Realty Trust, Inc., is allocated, and may be required to pay tax with respect to, that partner’s share of Digital Realty Trust, L.P.’s income. No assurance can be provided, however, that the IRS will not challenge Digital Realty Trust, L.P.’s status as a partnership for federal income tax purposes or that a court would not sustain such a challenge. If the IRS were successful in treating Digital Realty Trust, L.P. as an association or publicly traded partnership taxable as a corporation for federal income tax purposes, Digital Realty Trust, Inc. would fail to meet the gross income tests and certain of the asset tests applicable to REITs and, accordingly, would cease to qualify as a REIT. Such REIT qualification failure could impair our ability to expand our business and raise capital, and would materially adversely affect the value of Digital Realty Trust, Inc.’s stock and Digital Realty Trust, L.P.’s units. Also, the failure of Digital Realty Trust, L.P. to qualify as a partnership would cause it to become subject to federal corporate income tax, which would reduce significantly the amount of its cash available for debt service and for distribution to its partners, including Digital Realty Trust, Inc.</w:t>
      </w:r>
    </w:p>
    <w:p>
      <w:pPr>
        <w:spacing w:after="0" w:line="61" w:lineRule="exact"/>
        <w:rPr>
          <w:sz w:val="20"/>
          <w:szCs w:val="20"/>
          <w:color w:val="auto"/>
        </w:rPr>
      </w:pPr>
    </w:p>
    <w:p>
      <w:pPr>
        <w:ind w:left="20" w:right="51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Our tax protection agreement may require the Operating Partnership to maintain certain debt levels that otherwise would not be required to operate our business.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0" w:name="page51"/>
    <w:bookmarkEnd w:id="5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99" w:firstLine="228"/>
        <w:spacing w:after="0" w:line="247" w:lineRule="auto"/>
        <w:rPr>
          <w:sz w:val="20"/>
          <w:szCs w:val="20"/>
          <w:color w:val="auto"/>
        </w:rPr>
      </w:pPr>
      <w:r>
        <w:rPr>
          <w:rFonts w:ascii="Times New Roman" w:cs="Times New Roman" w:eastAsia="Times New Roman" w:hAnsi="Times New Roman"/>
          <w:sz w:val="13"/>
          <w:szCs w:val="13"/>
          <w:color w:val="auto"/>
        </w:rPr>
        <w:t>In connection with the DFT Merger, we entered into a tax protection agreement with a number of limited partners of DuPont Fabros Technology, L.P., or the Protected Partners, all of whom became limited partners of the Operating Partnership. Pursuant to this tax protection agreement, the Protected Partners entered into a guarantee of certain debt of a subsidiary of the Operating Partnership. The Operating Partnership is required to offer the Protected Partners a new guarantee opportunity in the event any guaranteed debt is repaid prior to March 1, 2023. If the Operating Partnership fails to offer the guarantee opportunity or to allocate guaranteed debt to a Protected Partner as required under the tax protection agreement, the Operating Partnership generally would be required to indemnify each Protected Partner for the tax liability resulting from such failure, as determined under the tax protection agreement. These obligations may require the Operating Partnership to maintain more or different indebtedness than we would otherwise require for our business.</w:t>
      </w:r>
    </w:p>
    <w:p>
      <w:pPr>
        <w:spacing w:after="0" w:line="60" w:lineRule="exact"/>
        <w:rPr>
          <w:sz w:val="20"/>
          <w:szCs w:val="20"/>
          <w:color w:val="auto"/>
        </w:rPr>
      </w:pPr>
    </w:p>
    <w:p>
      <w:pPr>
        <w:ind w:left="20" w:right="239" w:firstLine="228"/>
        <w:spacing w:after="0" w:line="271" w:lineRule="auto"/>
        <w:rPr>
          <w:sz w:val="20"/>
          <w:szCs w:val="20"/>
          <w:color w:val="auto"/>
        </w:rPr>
      </w:pPr>
      <w:r>
        <w:rPr>
          <w:rFonts w:ascii="Times New Roman" w:cs="Times New Roman" w:eastAsia="Times New Roman" w:hAnsi="Times New Roman"/>
          <w:sz w:val="13"/>
          <w:szCs w:val="13"/>
          <w:b w:val="1"/>
          <w:bCs w:val="1"/>
          <w:color w:val="auto"/>
        </w:rPr>
        <w:t>Changes in U.S. or foreign tax laws and regulations, including changes to tax rates, legislation and other actions may adversely affect our results of operations, our stockholders, Digital Realty Trust, L.P.’s unitholders and us.</w:t>
      </w:r>
    </w:p>
    <w:p>
      <w:pPr>
        <w:spacing w:after="0" w:line="44" w:lineRule="exact"/>
        <w:rPr>
          <w:sz w:val="20"/>
          <w:szCs w:val="20"/>
          <w:color w:val="auto"/>
        </w:rPr>
      </w:pPr>
    </w:p>
    <w:p>
      <w:pPr>
        <w:ind w:left="20" w:right="139" w:firstLine="228"/>
        <w:spacing w:after="0" w:line="248" w:lineRule="auto"/>
        <w:rPr>
          <w:sz w:val="20"/>
          <w:szCs w:val="20"/>
          <w:color w:val="auto"/>
        </w:rPr>
      </w:pPr>
      <w:r>
        <w:rPr>
          <w:rFonts w:ascii="Times New Roman" w:cs="Times New Roman" w:eastAsia="Times New Roman" w:hAnsi="Times New Roman"/>
          <w:sz w:val="13"/>
          <w:szCs w:val="13"/>
          <w:color w:val="auto"/>
        </w:rPr>
        <w:t>We are headquartered in the United States with subsidiaries and operations globally and are subject to income taxes in these jurisdictions. Significant judgment is required in determining our provision for income taxes. Although we believe that we have adequately assessed and accounted for our potential tax liabilities, and that our tax estimates are reasonable, there can be no assurance that additional taxes will not be due upon audit of our tax returns or as a result of changes to applicable tax laws. The governments of many of the countries in which we operate may enact changes to the tax laws of such countries, including changes to the corporate recognition and taxation of worldwide income. The nature and timing of any changes to each jurisdiction’s tax laws and the impact on our future tax liabilities cannot be predicted with any accuracy but could materially and adversely impact our results of operations and cash flows.</w:t>
      </w:r>
    </w:p>
    <w:p>
      <w:pPr>
        <w:spacing w:after="0" w:line="60" w:lineRule="exact"/>
        <w:rPr>
          <w:sz w:val="20"/>
          <w:szCs w:val="20"/>
          <w:color w:val="auto"/>
        </w:rPr>
      </w:pPr>
    </w:p>
    <w:p>
      <w:pPr>
        <w:ind w:left="20" w:right="159" w:firstLine="228"/>
        <w:spacing w:after="0" w:line="310" w:lineRule="auto"/>
        <w:rPr>
          <w:sz w:val="20"/>
          <w:szCs w:val="20"/>
          <w:color w:val="auto"/>
        </w:rPr>
      </w:pPr>
      <w:r>
        <w:rPr>
          <w:rFonts w:ascii="Times New Roman" w:cs="Times New Roman" w:eastAsia="Times New Roman" w:hAnsi="Times New Roman"/>
          <w:sz w:val="12"/>
          <w:szCs w:val="12"/>
          <w:color w:val="auto"/>
        </w:rPr>
        <w:t>Additionally, each of our properties is subject to real property and personal property taxes. These taxes may increase as tax rates change and as the properties are assessed or reassessed by taxing authorities. Any increase in property taxes on our properties could have a material adverse effect on our revenues and results of operations.</w:t>
      </w:r>
    </w:p>
    <w:p>
      <w:pPr>
        <w:spacing w:after="0" w:line="23" w:lineRule="exact"/>
        <w:rPr>
          <w:sz w:val="20"/>
          <w:szCs w:val="20"/>
          <w:color w:val="auto"/>
        </w:rPr>
      </w:pPr>
    </w:p>
    <w:p>
      <w:pPr>
        <w:ind w:left="20" w:right="39" w:firstLine="228"/>
        <w:spacing w:after="0" w:line="248" w:lineRule="auto"/>
        <w:rPr>
          <w:sz w:val="20"/>
          <w:szCs w:val="20"/>
          <w:color w:val="auto"/>
        </w:rPr>
      </w:pPr>
      <w:r>
        <w:rPr>
          <w:rFonts w:ascii="Times New Roman" w:cs="Times New Roman" w:eastAsia="Times New Roman" w:hAnsi="Times New Roman"/>
          <w:sz w:val="13"/>
          <w:szCs w:val="13"/>
          <w:color w:val="auto"/>
        </w:rPr>
        <w:t>Further, the rules dealing with federal income taxation are constantly under review by persons involved in the legislative process and by the IRS and the U.S. Department of the Treasury. Changes to the tax laws, with or without retroactive application, could materially and adversely affect Digital Realty Trust, Inc.’s stockholders, Digital Realty Trust, L.P.’s unitholders and us. We cannot predict how changes in the tax laws might affect our investors and us. New legislation, Treasury Regulations, administrative interpretations or court decisions could significantly and negatively affect Digital Realty Trust, Inc.’s ability to qualify as a REIT, the federal income tax consequences of such qualification, or the federal income tax consequences of an investment in us. Moreover, the law relating to the tax treatment of other entities, or an investment in other entities, could change, making an investment in such other entities more attractive relative to an investment in a REIT.</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Tax liabilities and attributes inherited in connection with acquisitions may adversely impact our business.</w:t>
      </w:r>
    </w:p>
    <w:p>
      <w:pPr>
        <w:spacing w:after="0" w:line="80" w:lineRule="exact"/>
        <w:rPr>
          <w:sz w:val="20"/>
          <w:szCs w:val="20"/>
          <w:color w:val="auto"/>
        </w:rPr>
      </w:pPr>
    </w:p>
    <w:p>
      <w:pPr>
        <w:ind w:left="20" w:right="59" w:firstLine="228"/>
        <w:spacing w:after="0" w:line="248" w:lineRule="auto"/>
        <w:rPr>
          <w:sz w:val="20"/>
          <w:szCs w:val="20"/>
          <w:color w:val="auto"/>
        </w:rPr>
      </w:pPr>
      <w:r>
        <w:rPr>
          <w:rFonts w:ascii="Times New Roman" w:cs="Times New Roman" w:eastAsia="Times New Roman" w:hAnsi="Times New Roman"/>
          <w:sz w:val="13"/>
          <w:szCs w:val="13"/>
          <w:color w:val="auto"/>
        </w:rPr>
        <w:t>From time to time we may acquire other corporations or entities and, in connection with such acquisitions, we may succeed to the historic tax attributes and liabilities of such entities. For example, if we acquire a C corporation and subsequently dispose of its assets within five years of the acquisition, we could be required to pay tax on any built-in gain attributable to such assets determined as of the date on which we acquired the assets. In addition, in order to qualify as a REIT, at the end of any taxable year, we must not have any earnings and profits accumulated in a non-REIT year. As a result, if we acquire a C corporation, we must distribute the corporation’s earnings and profits accumulated prior to the acquisition before the end of the taxable year in which we acquire the corporation. We also could be required to pay the acquired entity’s unpaid taxes even though such liabilities arose prior to the time we acquired the entity.</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56" w:lineRule="exact"/>
        <w:rPr>
          <w:sz w:val="20"/>
          <w:szCs w:val="20"/>
          <w:color w:val="auto"/>
        </w:rPr>
      </w:pPr>
    </w:p>
    <w:p>
      <w:pPr>
        <w:ind w:left="20" w:right="199" w:firstLine="228"/>
        <w:spacing w:after="0" w:line="249" w:lineRule="auto"/>
        <w:rPr>
          <w:sz w:val="20"/>
          <w:szCs w:val="20"/>
          <w:color w:val="auto"/>
        </w:rPr>
      </w:pPr>
      <w:r>
        <w:rPr>
          <w:rFonts w:ascii="Times New Roman" w:cs="Times New Roman" w:eastAsia="Times New Roman" w:hAnsi="Times New Roman"/>
          <w:sz w:val="13"/>
          <w:szCs w:val="13"/>
          <w:color w:val="auto"/>
        </w:rPr>
        <w:t>We make statements in this report that are forward-looking statements within the meaning of the federal securities laws. In particular, statements pertaining to our capital resources, portfolio performance, our ability to lease vacant space and space under development, leverage policy and acquisition and capital expenditure plans, as well as our discussion of “Factors Which May Influence Future Results of Operations,” contain forward-looking statements. Likewise, all of our statements regarding anticipated market conditions, demographics and results of operations are forward-looking statements. You can identify forward-looking statements by the use of forward-looking terminology such as “believes,”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1" w:name="page52"/>
    <w:bookmarkEnd w:id="5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59"/>
        <w:spacing w:after="0" w:line="256" w:lineRule="auto"/>
        <w:rPr>
          <w:sz w:val="20"/>
          <w:szCs w:val="20"/>
          <w:color w:val="auto"/>
        </w:rPr>
      </w:pPr>
      <w:r>
        <w:rPr>
          <w:rFonts w:ascii="Times New Roman" w:cs="Times New Roman" w:eastAsia="Times New Roman" w:hAnsi="Times New Roman"/>
          <w:sz w:val="13"/>
          <w:szCs w:val="13"/>
          <w:color w:val="auto"/>
        </w:rPr>
        <w:t>“expects,” “may,” “will,” “should,” “seeks,” “approximately,” “intends,” “plans,” “pro forma,” “estimates” or “anticipates”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29" w:lineRule="exact"/>
        <w:rPr>
          <w:sz w:val="20"/>
          <w:szCs w:val="20"/>
          <w:color w:val="auto"/>
        </w:rPr>
      </w:pPr>
    </w:p>
    <w:p>
      <w:pPr>
        <w:ind w:left="20" w:right="59" w:firstLine="228"/>
        <w:spacing w:after="0" w:line="252" w:lineRule="auto"/>
        <w:rPr>
          <w:sz w:val="20"/>
          <w:szCs w:val="20"/>
          <w:color w:val="auto"/>
        </w:rPr>
      </w:pPr>
      <w:r>
        <w:rPr>
          <w:rFonts w:ascii="Times New Roman" w:cs="Times New Roman" w:eastAsia="Times New Roman" w:hAnsi="Times New Roman"/>
          <w:sz w:val="13"/>
          <w:szCs w:val="13"/>
          <w:color w:val="auto"/>
        </w:rPr>
        <w:t>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132" w:lineRule="exact"/>
        <w:rPr>
          <w:sz w:val="20"/>
          <w:szCs w:val="20"/>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demand for data centers or decreases in information technology spending;</w:t>
      </w:r>
    </w:p>
    <w:p>
      <w:pPr>
        <w:spacing w:after="0" w:line="15"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competition or available supply of data center space;</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decreased rental rates, increased operating costs or increased vacancy rates;</w:t>
      </w:r>
    </w:p>
    <w:p>
      <w:pPr>
        <w:spacing w:after="0" w:line="2" w:lineRule="exact"/>
        <w:rPr>
          <w:rFonts w:ascii="Times New Roman" w:cs="Times New Roman" w:eastAsia="Times New Roman" w:hAnsi="Times New Roman"/>
          <w:sz w:val="13"/>
          <w:szCs w:val="13"/>
          <w:color w:val="auto"/>
        </w:rPr>
      </w:pPr>
    </w:p>
    <w:p>
      <w:pPr>
        <w:ind w:left="500" w:right="239" w:hanging="228"/>
        <w:spacing w:after="0" w:line="243" w:lineRule="auto"/>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suitability of our data centers and data center infrastructure, delays or disruptions in connectivity or availability of power, or failures or breaches of our physical and information security infrastructure or services;</w:t>
      </w:r>
    </w:p>
    <w:p>
      <w:pPr>
        <w:spacing w:after="0" w:line="1" w:lineRule="exact"/>
        <w:rPr>
          <w:rFonts w:ascii="Times New Roman" w:cs="Times New Roman" w:eastAsia="Times New Roman" w:hAnsi="Times New Roman"/>
          <w:sz w:val="13"/>
          <w:szCs w:val="13"/>
          <w:color w:val="auto"/>
        </w:rPr>
      </w:pPr>
    </w:p>
    <w:p>
      <w:pPr>
        <w:ind w:left="500" w:right="79" w:hanging="228"/>
        <w:spacing w:after="0" w:line="243" w:lineRule="auto"/>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dependence upon significant customers, bankruptcy or insolvency of a major customer or a significant number of smaller customers, or defaults on or non-renewal of leases by customers;</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breaches of our obligations or restrictions under our contracts with our customers;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inability to successfully develop and lease new properties and development space, and delays or unexpected costs in development of properties;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current global and local economic, credit and market conditions;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global supply chain or procurement disruptions, or increased supply chain costs;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inability to retain data center space that we lease or sublease from third parties;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security and data privacy breaches;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managing an international business and acquiring or operating properties in foreign jurisdictions and unfamiliar metropolitan areas;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failure to realize the intended benefits from, or disruptions to our plans and operations or unknown or contingent liabilities related to, our recent acquisitions;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failure to successfully integrate and operate acquired or developed properties or businesses;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in identifying properties to acquire and completing acquisitions;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joint venture investments, including as a result of our lack of control of such investments;</w:t>
      </w:r>
    </w:p>
    <w:p>
      <w:pPr>
        <w:spacing w:after="0" w:line="2" w:lineRule="exact"/>
        <w:rPr>
          <w:rFonts w:ascii="Times New Roman" w:cs="Times New Roman" w:eastAsia="Times New Roman" w:hAnsi="Times New Roman"/>
          <w:sz w:val="13"/>
          <w:szCs w:val="13"/>
          <w:color w:val="auto"/>
        </w:rPr>
      </w:pPr>
    </w:p>
    <w:p>
      <w:pPr>
        <w:ind w:left="500" w:right="39" w:hanging="228"/>
        <w:spacing w:after="0" w:line="243" w:lineRule="auto"/>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using debt to fund our business activities, including re-financing and interest rate risks, our failure to repay debt when due, adverse changes in our credit ratings or our breach of covenants or other terms contained in our loan facilities and agreements;</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failure to obtain necessary debt and equity financing, and our dependence on external sources of capital;</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market fluctuations and changes in foreign currency exchange rates;</w:t>
      </w:r>
    </w:p>
    <w:p>
      <w:pPr>
        <w:spacing w:after="0" w:line="2" w:lineRule="exact"/>
        <w:rPr>
          <w:rFonts w:ascii="Times New Roman" w:cs="Times New Roman" w:eastAsia="Times New Roman" w:hAnsi="Times New Roman"/>
          <w:sz w:val="13"/>
          <w:szCs w:val="13"/>
          <w:color w:val="auto"/>
        </w:rPr>
      </w:pPr>
    </w:p>
    <w:p>
      <w:pPr>
        <w:ind w:left="500" w:right="299" w:hanging="228"/>
        <w:spacing w:after="0" w:line="243" w:lineRule="auto"/>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economic or real estate developments in our industry or the industry sectors that we sell to, including risks relating to decreasing real estate valuations and impairment charges and goodwill and other intangible asset impairment charges;</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inability to manage our growth effectively;</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losses in excess of our insurance coverage;</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inability to attract and retain talent;</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impact on our operations and on the operations of our customers, suppliers and business partners during a pandemic, such as COVID-19;</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environmental liabilities, risks related to natural disasters and our inability to achieve our sustainability goals;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inability to comply with rules and regulations applicable to our Company;</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Digital Realty Trust, Inc.’s failure to maintain its status as a REIT for federal income tax purposes;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Digital Realty Trust, L.P.’s failure to qualify as a partnership for federal income tax purposes;</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restrictions on our ability to engage in certain business activities;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2" w:name="page53"/>
    <w:bookmarkEnd w:id="5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500" w:right="79" w:hanging="228"/>
        <w:spacing w:after="0" w:line="254" w:lineRule="auto"/>
        <w:tabs>
          <w:tab w:leader="none" w:pos="5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local, state, federal and international laws and regulations, including related to taxation, real estate and zoning laws, and increases in real property tax rates; and</w:t>
      </w:r>
    </w:p>
    <w:p>
      <w:pPr>
        <w:ind w:left="500" w:hanging="228"/>
        <w:spacing w:after="0"/>
        <w:tabs>
          <w:tab w:leader="none" w:pos="5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any financial, accounting, legal or regulatory issues or litigation that may affect us.</w:t>
      </w:r>
    </w:p>
    <w:p>
      <w:pPr>
        <w:spacing w:after="0" w:line="141" w:lineRule="exact"/>
        <w:rPr>
          <w:sz w:val="20"/>
          <w:szCs w:val="20"/>
          <w:color w:val="auto"/>
        </w:rPr>
      </w:pPr>
    </w:p>
    <w:p>
      <w:pPr>
        <w:ind w:left="20" w:right="39" w:firstLine="228"/>
        <w:spacing w:after="0" w:line="248" w:lineRule="auto"/>
        <w:rPr>
          <w:sz w:val="20"/>
          <w:szCs w:val="20"/>
          <w:color w:val="auto"/>
        </w:rPr>
      </w:pPr>
      <w:r>
        <w:rPr>
          <w:rFonts w:ascii="Times New Roman" w:cs="Times New Roman" w:eastAsia="Times New Roman" w:hAnsi="Times New Roman"/>
          <w:sz w:val="13"/>
          <w:szCs w:val="13"/>
          <w:color w:val="auto"/>
        </w:rPr>
        <w:t>The risks included here are not exhaustive, and additional factors could adversely affect our business and financial performance, including factors and risks included in other sections of this report, including under Part I, Item 1A, Risk Factors. Moreover, we operate in a very competitive and rapidly changing environment. New risk factors emerge from time to time and it is not possible for management to identify all such risk factors, nor can we assess the impact of all such risk factors on the business or the extent to which any factor, or combination of factors, may cause actual results to differ materially from those contained in any forward-looking statements. While forward-looking statements reflect our good faith beliefs, they are not guaranties of future performance. We disclaim any obligation to publicly update or revise any forward-looking statement to reflect changes in underlying assumptions or factors, new information, data or methods, future events or other changes.</w:t>
      </w:r>
    </w:p>
    <w:p>
      <w:pPr>
        <w:spacing w:after="0" w:line="134"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3"/>
          <w:szCs w:val="13"/>
          <w:b w:val="1"/>
          <w:bCs w:val="1"/>
          <w:color w:val="auto"/>
        </w:rPr>
        <w:t>ITEM 1B.</w:t>
      </w:r>
      <w:r>
        <w:rPr>
          <w:sz w:val="20"/>
          <w:szCs w:val="20"/>
          <w:color w:val="auto"/>
        </w:rPr>
        <w:tab/>
      </w:r>
      <w:r>
        <w:rPr>
          <w:rFonts w:ascii="Times New Roman" w:cs="Times New Roman" w:eastAsia="Times New Roman" w:hAnsi="Times New Roman"/>
          <w:sz w:val="12"/>
          <w:szCs w:val="12"/>
          <w:b w:val="1"/>
          <w:bCs w:val="1"/>
          <w:color w:val="auto"/>
        </w:rPr>
        <w:t>UNRESOLVED STAFF COMMENTS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None.</w:t>
      </w:r>
    </w:p>
    <w:p>
      <w:pPr>
        <w:spacing w:after="0" w:line="152"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2"/>
          <w:szCs w:val="12"/>
          <w:b w:val="1"/>
          <w:bCs w:val="1"/>
          <w:color w:val="auto"/>
        </w:rPr>
        <w:t>PROPERTIES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56" w:lineRule="exact"/>
        <w:rPr>
          <w:sz w:val="20"/>
          <w:szCs w:val="20"/>
          <w:color w:val="auto"/>
        </w:rPr>
      </w:pPr>
    </w:p>
    <w:p>
      <w:pPr>
        <w:ind w:left="20" w:right="559" w:firstLine="228"/>
        <w:spacing w:after="0" w:line="268" w:lineRule="auto"/>
        <w:rPr>
          <w:sz w:val="20"/>
          <w:szCs w:val="20"/>
          <w:color w:val="auto"/>
        </w:rPr>
      </w:pPr>
      <w:r>
        <w:rPr>
          <w:rFonts w:ascii="Times New Roman" w:cs="Times New Roman" w:eastAsia="Times New Roman" w:hAnsi="Times New Roman"/>
          <w:sz w:val="13"/>
          <w:szCs w:val="13"/>
          <w:color w:val="auto"/>
        </w:rPr>
        <w:t>In addition to the information in this Item 2, certain information regarding our portfolio is contained in Schedule III (Financial Statement Schedule) under Part IV, Item 15(a) (2) and which is included in Part II, Item 8.</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Our Portfolio</w:t>
      </w:r>
    </w:p>
    <w:p>
      <w:pPr>
        <w:spacing w:after="0" w:line="156" w:lineRule="exact"/>
        <w:rPr>
          <w:sz w:val="20"/>
          <w:szCs w:val="20"/>
          <w:color w:val="auto"/>
        </w:rPr>
      </w:pPr>
    </w:p>
    <w:p>
      <w:pPr>
        <w:jc w:val="both"/>
        <w:ind w:left="20" w:right="79" w:firstLine="228"/>
        <w:spacing w:after="0" w:line="249" w:lineRule="auto"/>
        <w:rPr>
          <w:sz w:val="20"/>
          <w:szCs w:val="20"/>
          <w:color w:val="auto"/>
        </w:rPr>
      </w:pPr>
      <w:r>
        <w:rPr>
          <w:rFonts w:ascii="Times New Roman" w:cs="Times New Roman" w:eastAsia="Times New Roman" w:hAnsi="Times New Roman"/>
          <w:sz w:val="13"/>
          <w:szCs w:val="13"/>
          <w:color w:val="auto"/>
        </w:rPr>
        <w:t>As of December 31, 2020, our portfolio consisted of 291 data centers, including 43 data centers held as investments in unconsolidated joint ventures, and contain a total of approximately 43.6 million rentable square feet, including 5.4 million square feet of space under active development and 2.3 million square feet of space held for development. The following table presents an overview of our portfolio of properties, including the 43 data centers held as investments in unconsolidated joint ventures and developable land, based on information as of December 31, 2020 (dollar amounts in thousands). All data centers are held in fee simple except as otherwise indicated. Please refer to Note 8 in the Notes to</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3" w:name="page54"/>
    <w:bookmarkEnd w:id="5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1079"/>
        <w:spacing w:after="0" w:line="268" w:lineRule="auto"/>
        <w:rPr>
          <w:sz w:val="20"/>
          <w:szCs w:val="20"/>
          <w:color w:val="auto"/>
        </w:rPr>
      </w:pPr>
      <w:r>
        <w:rPr>
          <w:rFonts w:ascii="Times New Roman" w:cs="Times New Roman" w:eastAsia="Times New Roman" w:hAnsi="Times New Roman"/>
          <w:sz w:val="13"/>
          <w:szCs w:val="13"/>
          <w:color w:val="auto"/>
        </w:rPr>
        <w:t>the Consolidated Financial Statements included in Part II, Item 8 of this Annual Report on Form 10-K for a description of all applicable encumbrances as of December 31, 2020.</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7"/>
              </w:rPr>
              <w:t>Space Under</w:t>
            </w: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gridSpan w:val="2"/>
          </w:tcPr>
          <w:p>
            <w:pPr>
              <w:jc w:val="center"/>
              <w:ind w:right="180"/>
              <w:spacing w:after="0" w:line="89" w:lineRule="exact"/>
              <w:rPr>
                <w:sz w:val="20"/>
                <w:szCs w:val="20"/>
                <w:color w:val="auto"/>
              </w:rPr>
            </w:pPr>
            <w:r>
              <w:rPr>
                <w:rFonts w:ascii="Times New Roman" w:cs="Times New Roman" w:eastAsia="Times New Roman" w:hAnsi="Times New Roman"/>
                <w:sz w:val="9"/>
                <w:szCs w:val="9"/>
                <w:b w:val="1"/>
                <w:bCs w:val="1"/>
                <w:color w:val="auto"/>
                <w:w w:val="97"/>
              </w:rPr>
              <w:t>Data Center</w:t>
            </w:r>
          </w:p>
        </w:tc>
        <w:tc>
          <w:tcPr>
            <w:tcW w:w="1060" w:type="dxa"/>
            <w:vAlign w:val="bottom"/>
            <w:gridSpan w:val="2"/>
          </w:tcPr>
          <w:p>
            <w:pPr>
              <w:jc w:val="center"/>
              <w:ind w:right="200"/>
              <w:spacing w:after="0" w:line="89" w:lineRule="exact"/>
              <w:rPr>
                <w:sz w:val="20"/>
                <w:szCs w:val="20"/>
                <w:color w:val="auto"/>
              </w:rPr>
            </w:pPr>
            <w:r>
              <w:rPr>
                <w:rFonts w:ascii="Times New Roman" w:cs="Times New Roman" w:eastAsia="Times New Roman" w:hAnsi="Times New Roman"/>
                <w:sz w:val="9"/>
                <w:szCs w:val="9"/>
                <w:b w:val="1"/>
                <w:bCs w:val="1"/>
                <w:color w:val="auto"/>
                <w:w w:val="99"/>
              </w:rPr>
              <w:t>Net Rentable</w:t>
            </w:r>
          </w:p>
        </w:tc>
        <w:tc>
          <w:tcPr>
            <w:tcW w:w="1040" w:type="dxa"/>
            <w:vAlign w:val="bottom"/>
            <w:gridSpan w:val="2"/>
          </w:tcPr>
          <w:p>
            <w:pPr>
              <w:jc w:val="center"/>
              <w:ind w:right="200"/>
              <w:spacing w:after="0" w:line="89" w:lineRule="exact"/>
              <w:rPr>
                <w:sz w:val="20"/>
                <w:szCs w:val="20"/>
                <w:color w:val="auto"/>
              </w:rPr>
            </w:pPr>
            <w:r>
              <w:rPr>
                <w:rFonts w:ascii="Times New Roman" w:cs="Times New Roman" w:eastAsia="Times New Roman" w:hAnsi="Times New Roman"/>
                <w:sz w:val="9"/>
                <w:szCs w:val="9"/>
                <w:b w:val="1"/>
                <w:bCs w:val="1"/>
                <w:color w:val="auto"/>
                <w:w w:val="97"/>
              </w:rPr>
              <w:t>Active</w:t>
            </w:r>
          </w:p>
        </w:tc>
        <w:tc>
          <w:tcPr>
            <w:tcW w:w="880" w:type="dxa"/>
            <w:vAlign w:val="bottom"/>
          </w:tcPr>
          <w:p>
            <w:pPr>
              <w:jc w:val="right"/>
              <w:ind w:right="136"/>
              <w:spacing w:after="0" w:line="89" w:lineRule="exact"/>
              <w:rPr>
                <w:sz w:val="20"/>
                <w:szCs w:val="20"/>
                <w:color w:val="auto"/>
              </w:rPr>
            </w:pPr>
            <w:r>
              <w:rPr>
                <w:rFonts w:ascii="Times New Roman" w:cs="Times New Roman" w:eastAsia="Times New Roman" w:hAnsi="Times New Roman"/>
                <w:sz w:val="9"/>
                <w:szCs w:val="9"/>
                <w:b w:val="1"/>
                <w:bCs w:val="1"/>
                <w:color w:val="auto"/>
              </w:rPr>
              <w:t>Space Held for</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tcPr>
          <w:p>
            <w:pPr>
              <w:jc w:val="center"/>
              <w:ind w:right="300"/>
              <w:spacing w:after="0" w:line="89" w:lineRule="exact"/>
              <w:rPr>
                <w:sz w:val="20"/>
                <w:szCs w:val="20"/>
                <w:color w:val="auto"/>
              </w:rPr>
            </w:pPr>
            <w:r>
              <w:rPr>
                <w:rFonts w:ascii="Times New Roman" w:cs="Times New Roman" w:eastAsia="Times New Roman" w:hAnsi="Times New Roman"/>
                <w:sz w:val="9"/>
                <w:szCs w:val="9"/>
                <w:b w:val="1"/>
                <w:bCs w:val="1"/>
                <w:color w:val="auto"/>
                <w:w w:val="99"/>
              </w:rPr>
              <w:t>Annualized</w:t>
            </w:r>
          </w:p>
        </w:tc>
        <w:tc>
          <w:tcPr>
            <w:tcW w:w="860" w:type="dxa"/>
            <w:vAlign w:val="bottom"/>
          </w:tcPr>
          <w:p>
            <w:pPr>
              <w:jc w:val="right"/>
              <w:ind w:right="176"/>
              <w:spacing w:after="0" w:line="89" w:lineRule="exact"/>
              <w:rPr>
                <w:sz w:val="20"/>
                <w:szCs w:val="20"/>
                <w:color w:val="auto"/>
              </w:rPr>
            </w:pPr>
            <w:r>
              <w:rPr>
                <w:rFonts w:ascii="Times New Roman" w:cs="Times New Roman" w:eastAsia="Times New Roman" w:hAnsi="Times New Roman"/>
                <w:sz w:val="9"/>
                <w:szCs w:val="9"/>
                <w:b w:val="1"/>
                <w:bCs w:val="1"/>
                <w:color w:val="auto"/>
              </w:rPr>
              <w:t>Occupancy</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960" w:type="dxa"/>
            <w:vAlign w:val="bottom"/>
            <w:gridSpan w:val="6"/>
          </w:tcPr>
          <w:p>
            <w:pPr>
              <w:spacing w:after="0"/>
              <w:rPr>
                <w:sz w:val="20"/>
                <w:szCs w:val="20"/>
                <w:color w:val="auto"/>
              </w:rPr>
            </w:pPr>
            <w:r>
              <w:rPr>
                <w:rFonts w:ascii="Times New Roman" w:cs="Times New Roman" w:eastAsia="Times New Roman" w:hAnsi="Times New Roman"/>
                <w:sz w:val="9"/>
                <w:szCs w:val="9"/>
                <w:b w:val="1"/>
                <w:bCs w:val="1"/>
                <w:color w:val="auto"/>
              </w:rPr>
              <w:t>Metropolitan Area</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8"/>
              </w:rPr>
              <w:t>Buildings</w:t>
            </w:r>
          </w:p>
        </w:tc>
        <w:tc>
          <w:tcPr>
            <w:tcW w:w="1060" w:type="dxa"/>
            <w:vAlign w:val="bottom"/>
            <w:gridSpan w:val="2"/>
          </w:tcPr>
          <w:p>
            <w:pPr>
              <w:jc w:val="center"/>
              <w:ind w:right="180"/>
              <w:spacing w:after="0" w:line="114" w:lineRule="exact"/>
              <w:rPr>
                <w:sz w:val="20"/>
                <w:szCs w:val="20"/>
                <w:color w:val="auto"/>
              </w:rPr>
            </w:pPr>
            <w:r>
              <w:rPr>
                <w:rFonts w:ascii="Times New Roman" w:cs="Times New Roman" w:eastAsia="Times New Roman" w:hAnsi="Times New Roman"/>
                <w:sz w:val="9"/>
                <w:szCs w:val="9"/>
                <w:b w:val="1"/>
                <w:bCs w:val="1"/>
                <w:color w:val="auto"/>
                <w:w w:val="95"/>
              </w:rPr>
              <w:t xml:space="preserve">Square Feet </w:t>
            </w:r>
            <w:r>
              <w:rPr>
                <w:rFonts w:ascii="Times New Roman" w:cs="Times New Roman" w:eastAsia="Times New Roman" w:hAnsi="Times New Roman"/>
                <w:sz w:val="13"/>
                <w:szCs w:val="13"/>
                <w:b w:val="1"/>
                <w:bCs w:val="1"/>
                <w:color w:val="auto"/>
                <w:w w:val="95"/>
                <w:vertAlign w:val="superscript"/>
              </w:rPr>
              <w:t>(1)</w:t>
            </w:r>
          </w:p>
        </w:tc>
        <w:tc>
          <w:tcPr>
            <w:tcW w:w="104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9"/>
                <w:szCs w:val="9"/>
                <w:b w:val="1"/>
                <w:bCs w:val="1"/>
                <w:color w:val="auto"/>
                <w:w w:val="95"/>
              </w:rPr>
              <w:t xml:space="preserve">Development </w:t>
            </w:r>
            <w:r>
              <w:rPr>
                <w:rFonts w:ascii="Times New Roman" w:cs="Times New Roman" w:eastAsia="Times New Roman" w:hAnsi="Times New Roman"/>
                <w:sz w:val="13"/>
                <w:szCs w:val="13"/>
                <w:b w:val="1"/>
                <w:bCs w:val="1"/>
                <w:color w:val="auto"/>
                <w:w w:val="95"/>
                <w:vertAlign w:val="superscript"/>
              </w:rPr>
              <w:t>(2)</w:t>
            </w:r>
          </w:p>
        </w:tc>
        <w:tc>
          <w:tcPr>
            <w:tcW w:w="880" w:type="dxa"/>
            <w:vAlign w:val="bottom"/>
          </w:tcPr>
          <w:p>
            <w:pPr>
              <w:jc w:val="right"/>
              <w:ind w:right="116"/>
              <w:spacing w:after="0" w:line="114" w:lineRule="exact"/>
              <w:rPr>
                <w:sz w:val="20"/>
                <w:szCs w:val="20"/>
                <w:color w:val="auto"/>
              </w:rPr>
            </w:pPr>
            <w:r>
              <w:rPr>
                <w:rFonts w:ascii="Times New Roman" w:cs="Times New Roman" w:eastAsia="Times New Roman" w:hAnsi="Times New Roman"/>
                <w:sz w:val="9"/>
                <w:szCs w:val="9"/>
                <w:b w:val="1"/>
                <w:bCs w:val="1"/>
                <w:color w:val="auto"/>
              </w:rPr>
              <w:t xml:space="preserve">Development </w:t>
            </w:r>
            <w:r>
              <w:rPr>
                <w:rFonts w:ascii="Times New Roman" w:cs="Times New Roman" w:eastAsia="Times New Roman" w:hAnsi="Times New Roman"/>
                <w:sz w:val="13"/>
                <w:szCs w:val="13"/>
                <w:b w:val="1"/>
                <w:bCs w:val="1"/>
                <w:color w:val="auto"/>
                <w:vertAlign w:val="superscript"/>
              </w:rPr>
              <w:t>(3)</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9"/>
                <w:szCs w:val="9"/>
                <w:b w:val="1"/>
                <w:bCs w:val="1"/>
                <w:color w:val="auto"/>
                <w:w w:val="90"/>
              </w:rPr>
              <w:t xml:space="preserve">Rent </w:t>
            </w:r>
            <w:r>
              <w:rPr>
                <w:rFonts w:ascii="Times New Roman" w:cs="Times New Roman" w:eastAsia="Times New Roman" w:hAnsi="Times New Roman"/>
                <w:sz w:val="13"/>
                <w:szCs w:val="13"/>
                <w:b w:val="1"/>
                <w:bCs w:val="1"/>
                <w:color w:val="auto"/>
                <w:w w:val="90"/>
                <w:vertAlign w:val="superscript"/>
              </w:rPr>
              <w:t>(4)</w:t>
            </w:r>
          </w:p>
        </w:tc>
        <w:tc>
          <w:tcPr>
            <w:tcW w:w="860" w:type="dxa"/>
            <w:vAlign w:val="bottom"/>
          </w:tcPr>
          <w:p>
            <w:pPr>
              <w:jc w:val="right"/>
              <w:ind w:right="136"/>
              <w:spacing w:after="0" w:line="114" w:lineRule="exact"/>
              <w:rPr>
                <w:sz w:val="20"/>
                <w:szCs w:val="20"/>
                <w:color w:val="auto"/>
              </w:rPr>
            </w:pPr>
            <w:r>
              <w:rPr>
                <w:rFonts w:ascii="Times New Roman" w:cs="Times New Roman" w:eastAsia="Times New Roman" w:hAnsi="Times New Roman"/>
                <w:sz w:val="9"/>
                <w:szCs w:val="9"/>
                <w:b w:val="1"/>
                <w:bCs w:val="1"/>
                <w:color w:val="auto"/>
              </w:rPr>
              <w:t xml:space="preserve">Percentage </w:t>
            </w:r>
            <w:r>
              <w:rPr>
                <w:rFonts w:ascii="Times New Roman" w:cs="Times New Roman" w:eastAsia="Times New Roman" w:hAnsi="Times New Roman"/>
                <w:sz w:val="13"/>
                <w:szCs w:val="13"/>
                <w:b w:val="1"/>
                <w:bCs w:val="1"/>
                <w:color w:val="auto"/>
                <w:vertAlign w:val="superscript"/>
              </w:rPr>
              <w:t>(5)</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6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North America</w:t>
            </w: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960" w:type="dxa"/>
            <w:vAlign w:val="bottom"/>
            <w:gridSpan w:val="6"/>
          </w:tcPr>
          <w:p>
            <w:pPr>
              <w:spacing w:after="0" w:line="85" w:lineRule="exact"/>
              <w:rPr>
                <w:sz w:val="20"/>
                <w:szCs w:val="20"/>
                <w:color w:val="auto"/>
              </w:rPr>
            </w:pPr>
            <w:r>
              <w:rPr>
                <w:rFonts w:ascii="Times New Roman" w:cs="Times New Roman" w:eastAsia="Times New Roman" w:hAnsi="Times New Roman"/>
                <w:sz w:val="9"/>
                <w:szCs w:val="9"/>
                <w:color w:val="auto"/>
              </w:rPr>
              <w:t>Northern Virginia</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24</w:t>
            </w:r>
          </w:p>
        </w:tc>
        <w:tc>
          <w:tcPr>
            <w:tcW w:w="180" w:type="dxa"/>
            <w:vAlign w:val="bottom"/>
          </w:tcPr>
          <w:p>
            <w:pPr>
              <w:spacing w:after="0"/>
              <w:rPr>
                <w:sz w:val="7"/>
                <w:szCs w:val="7"/>
                <w:color w:val="auto"/>
              </w:rPr>
            </w:pPr>
          </w:p>
        </w:tc>
        <w:tc>
          <w:tcPr>
            <w:tcW w:w="88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5,721,264</w:t>
            </w:r>
          </w:p>
        </w:tc>
        <w:tc>
          <w:tcPr>
            <w:tcW w:w="180" w:type="dxa"/>
            <w:vAlign w:val="bottom"/>
          </w:tcPr>
          <w:p>
            <w:pPr>
              <w:spacing w:after="0"/>
              <w:rPr>
                <w:sz w:val="7"/>
                <w:szCs w:val="7"/>
                <w:color w:val="auto"/>
              </w:rPr>
            </w:pPr>
          </w:p>
        </w:tc>
        <w:tc>
          <w:tcPr>
            <w:tcW w:w="8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699,908</w:t>
            </w:r>
          </w:p>
        </w:tc>
        <w:tc>
          <w:tcPr>
            <w:tcW w:w="180" w:type="dxa"/>
            <w:vAlign w:val="bottom"/>
          </w:tcPr>
          <w:p>
            <w:pPr>
              <w:spacing w:after="0"/>
              <w:rPr>
                <w:sz w:val="7"/>
                <w:szCs w:val="7"/>
                <w:color w:val="auto"/>
              </w:rPr>
            </w:pPr>
          </w:p>
        </w:tc>
        <w:tc>
          <w:tcPr>
            <w:tcW w:w="88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78,538</w:t>
            </w:r>
          </w:p>
        </w:tc>
        <w:tc>
          <w:tcPr>
            <w:tcW w:w="280" w:type="dxa"/>
            <w:vAlign w:val="bottom"/>
            <w:gridSpan w:val="2"/>
          </w:tcPr>
          <w:p>
            <w:pPr>
              <w:jc w:val="right"/>
              <w:ind w:right="60"/>
              <w:spacing w:after="0" w:line="8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584,085</w:t>
            </w:r>
          </w:p>
        </w:tc>
        <w:tc>
          <w:tcPr>
            <w:tcW w:w="180" w:type="dxa"/>
            <w:vAlign w:val="bottom"/>
          </w:tcPr>
          <w:p>
            <w:pPr>
              <w:spacing w:after="0"/>
              <w:rPr>
                <w:sz w:val="7"/>
                <w:szCs w:val="7"/>
                <w:color w:val="auto"/>
              </w:rPr>
            </w:pPr>
          </w:p>
        </w:tc>
        <w:tc>
          <w:tcPr>
            <w:tcW w:w="8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94.6</w:t>
            </w:r>
          </w:p>
        </w:tc>
        <w:tc>
          <w:tcPr>
            <w:tcW w:w="140" w:type="dxa"/>
            <w:vAlign w:val="bottom"/>
            <w:gridSpan w:val="2"/>
          </w:tcPr>
          <w:p>
            <w:pPr>
              <w:jc w:val="right"/>
              <w:ind w:right="21"/>
              <w:spacing w:after="0" w:line="8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Chicago</w:t>
            </w: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3,427,367</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148,101</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299,046</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87.6 %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New York</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13</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2,050,605</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233,807</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99,955</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211,307</w:t>
            </w:r>
          </w:p>
        </w:tc>
        <w:tc>
          <w:tcPr>
            <w:tcW w:w="180" w:type="dxa"/>
            <w:vAlign w:val="bottom"/>
          </w:tcPr>
          <w:p>
            <w:pPr>
              <w:spacing w:after="0"/>
              <w:rPr>
                <w:sz w:val="8"/>
                <w:szCs w:val="8"/>
                <w:color w:val="auto"/>
              </w:rPr>
            </w:pP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83.8 %</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Silicon Valley</w:t>
            </w: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20</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2,251,021</w:t>
            </w: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65,594</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211,214</w:t>
            </w: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96.8</w:t>
            </w:r>
          </w:p>
        </w:tc>
        <w:tc>
          <w:tcPr>
            <w:tcW w:w="140" w:type="dxa"/>
            <w:vAlign w:val="bottom"/>
            <w:gridSpan w:val="2"/>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Dallas</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21</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3,530,749</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143,051</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28,094</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193,258</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81.4</w:t>
            </w:r>
          </w:p>
        </w:tc>
        <w:tc>
          <w:tcPr>
            <w:tcW w:w="140" w:type="dxa"/>
            <w:vAlign w:val="bottom"/>
            <w:gridSpan w:val="2"/>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Phoenix</w:t>
            </w: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795,687</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227,274</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70,533</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71.1 %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San Francisco</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824,972</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23,321</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65,175</w:t>
            </w:r>
          </w:p>
        </w:tc>
        <w:tc>
          <w:tcPr>
            <w:tcW w:w="180" w:type="dxa"/>
            <w:vAlign w:val="bottom"/>
          </w:tcPr>
          <w:p>
            <w:pPr>
              <w:spacing w:after="0"/>
              <w:rPr>
                <w:sz w:val="8"/>
                <w:szCs w:val="8"/>
                <w:color w:val="auto"/>
              </w:rPr>
            </w:pP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71.1 %</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Atlanta</w:t>
            </w: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525,414</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313,581</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52,112</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94.6 %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Los Angeles</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798,571</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19,908</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43,447</w:t>
            </w:r>
          </w:p>
        </w:tc>
        <w:tc>
          <w:tcPr>
            <w:tcW w:w="180" w:type="dxa"/>
            <w:vAlign w:val="bottom"/>
          </w:tcPr>
          <w:p>
            <w:pPr>
              <w:spacing w:after="0"/>
              <w:rPr>
                <w:sz w:val="8"/>
                <w:szCs w:val="8"/>
                <w:color w:val="auto"/>
              </w:rPr>
            </w:pP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85.5 %</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Seattle</w:t>
            </w: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400,369</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38,724</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87.4 %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Toronto, Canada</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6"/>
                <w:szCs w:val="6"/>
                <w:color w:val="auto"/>
              </w:rPr>
              <w:t>(6)</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316,170</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499,839</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27,986</w:t>
            </w:r>
          </w:p>
        </w:tc>
        <w:tc>
          <w:tcPr>
            <w:tcW w:w="180" w:type="dxa"/>
            <w:vAlign w:val="bottom"/>
          </w:tcPr>
          <w:p>
            <w:pPr>
              <w:spacing w:after="0"/>
              <w:rPr>
                <w:sz w:val="8"/>
                <w:szCs w:val="8"/>
                <w:color w:val="auto"/>
              </w:rPr>
            </w:pP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83.7 %</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Portland</w:t>
            </w: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264,973</w:t>
            </w: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336,463</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26,544</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98.7 %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Boston</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467,519</w:t>
            </w:r>
          </w:p>
        </w:tc>
        <w:tc>
          <w:tcPr>
            <w:tcW w:w="180" w:type="dxa"/>
            <w:vAlign w:val="bottom"/>
          </w:tcPr>
          <w:p>
            <w:pPr>
              <w:spacing w:after="0"/>
              <w:rPr>
                <w:sz w:val="8"/>
                <w:szCs w:val="8"/>
                <w:color w:val="auto"/>
              </w:rPr>
            </w:pPr>
          </w:p>
        </w:tc>
        <w:tc>
          <w:tcPr>
            <w:tcW w:w="10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50,649</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21,170</w:t>
            </w:r>
          </w:p>
        </w:tc>
        <w:tc>
          <w:tcPr>
            <w:tcW w:w="180" w:type="dxa"/>
            <w:vAlign w:val="bottom"/>
          </w:tcPr>
          <w:p>
            <w:pPr>
              <w:spacing w:after="0"/>
              <w:rPr>
                <w:sz w:val="8"/>
                <w:szCs w:val="8"/>
                <w:color w:val="auto"/>
              </w:rPr>
            </w:pP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47.3 %</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Houston</w:t>
            </w: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392,816</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13,969</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15,881</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76.5 %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Miami</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226,314</w:t>
            </w:r>
          </w:p>
        </w:tc>
        <w:tc>
          <w:tcPr>
            <w:tcW w:w="180" w:type="dxa"/>
            <w:vAlign w:val="bottom"/>
          </w:tcPr>
          <w:p>
            <w:pPr>
              <w:spacing w:after="0"/>
              <w:rPr>
                <w:sz w:val="8"/>
                <w:szCs w:val="8"/>
                <w:color w:val="auto"/>
              </w:rPr>
            </w:pPr>
          </w:p>
        </w:tc>
        <w:tc>
          <w:tcPr>
            <w:tcW w:w="10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8,390</w:t>
            </w:r>
          </w:p>
        </w:tc>
        <w:tc>
          <w:tcPr>
            <w:tcW w:w="180" w:type="dxa"/>
            <w:vAlign w:val="bottom"/>
          </w:tcPr>
          <w:p>
            <w:pPr>
              <w:spacing w:after="0"/>
              <w:rPr>
                <w:sz w:val="8"/>
                <w:szCs w:val="8"/>
                <w:color w:val="auto"/>
              </w:rPr>
            </w:pP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90.0 %</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Austin</w:t>
            </w: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85,688</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6,760</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63.4 %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Minneapolis/St. Paul</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328,765</w:t>
            </w:r>
          </w:p>
        </w:tc>
        <w:tc>
          <w:tcPr>
            <w:tcW w:w="180" w:type="dxa"/>
            <w:vAlign w:val="bottom"/>
          </w:tcPr>
          <w:p>
            <w:pPr>
              <w:spacing w:after="0"/>
              <w:rPr>
                <w:sz w:val="8"/>
                <w:szCs w:val="8"/>
                <w:color w:val="auto"/>
              </w:rPr>
            </w:pPr>
          </w:p>
        </w:tc>
        <w:tc>
          <w:tcPr>
            <w:tcW w:w="10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5,957</w:t>
            </w:r>
          </w:p>
        </w:tc>
        <w:tc>
          <w:tcPr>
            <w:tcW w:w="180" w:type="dxa"/>
            <w:vAlign w:val="bottom"/>
          </w:tcPr>
          <w:p>
            <w:pPr>
              <w:spacing w:after="0"/>
              <w:rPr>
                <w:sz w:val="8"/>
                <w:szCs w:val="8"/>
                <w:color w:val="auto"/>
              </w:rPr>
            </w:pP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100.0 %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gridSpan w:val="5"/>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Charlotte</w:t>
            </w: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95,499</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4,804</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89.2 %</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940" w:type="dxa"/>
            <w:vAlign w:val="bottom"/>
            <w:gridSpan w:val="5"/>
          </w:tcPr>
          <w:p>
            <w:pPr>
              <w:ind w:left="60"/>
              <w:spacing w:after="0" w:line="85" w:lineRule="exact"/>
              <w:rPr>
                <w:sz w:val="20"/>
                <w:szCs w:val="20"/>
                <w:color w:val="auto"/>
              </w:rPr>
            </w:pPr>
            <w:r>
              <w:rPr>
                <w:rFonts w:ascii="Times New Roman" w:cs="Times New Roman" w:eastAsia="Times New Roman" w:hAnsi="Times New Roman"/>
                <w:sz w:val="9"/>
                <w:szCs w:val="9"/>
                <w:b w:val="1"/>
                <w:bCs w:val="1"/>
                <w:color w:val="auto"/>
              </w:rPr>
              <w:t>North America Total</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125</w:t>
            </w:r>
          </w:p>
        </w:tc>
        <w:tc>
          <w:tcPr>
            <w:tcW w:w="180" w:type="dxa"/>
            <w:vAlign w:val="bottom"/>
          </w:tcPr>
          <w:p>
            <w:pPr>
              <w:spacing w:after="0"/>
              <w:rPr>
                <w:sz w:val="7"/>
                <w:szCs w:val="7"/>
                <w:color w:val="auto"/>
              </w:rPr>
            </w:pPr>
          </w:p>
        </w:tc>
        <w:tc>
          <w:tcPr>
            <w:tcW w:w="8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22,503,763</w:t>
            </w:r>
          </w:p>
        </w:tc>
        <w:tc>
          <w:tcPr>
            <w:tcW w:w="180" w:type="dxa"/>
            <w:vAlign w:val="bottom"/>
          </w:tcPr>
          <w:p>
            <w:pPr>
              <w:spacing w:after="0"/>
              <w:rPr>
                <w:sz w:val="7"/>
                <w:szCs w:val="7"/>
                <w:color w:val="auto"/>
              </w:rPr>
            </w:pPr>
          </w:p>
        </w:tc>
        <w:tc>
          <w:tcPr>
            <w:tcW w:w="86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2,021,891</w:t>
            </w:r>
          </w:p>
        </w:tc>
        <w:tc>
          <w:tcPr>
            <w:tcW w:w="180" w:type="dxa"/>
            <w:vAlign w:val="bottom"/>
          </w:tcPr>
          <w:p>
            <w:pPr>
              <w:spacing w:after="0"/>
              <w:rPr>
                <w:sz w:val="7"/>
                <w:szCs w:val="7"/>
                <w:color w:val="auto"/>
              </w:rPr>
            </w:pPr>
          </w:p>
        </w:tc>
        <w:tc>
          <w:tcPr>
            <w:tcW w:w="8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960,161</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1,886,393</w:t>
            </w:r>
          </w:p>
        </w:tc>
        <w:tc>
          <w:tcPr>
            <w:tcW w:w="180" w:type="dxa"/>
            <w:vAlign w:val="bottom"/>
          </w:tcPr>
          <w:p>
            <w:pPr>
              <w:spacing w:after="0"/>
              <w:rPr>
                <w:sz w:val="7"/>
                <w:szCs w:val="7"/>
                <w:color w:val="auto"/>
              </w:rPr>
            </w:pPr>
          </w:p>
        </w:tc>
        <w:tc>
          <w:tcPr>
            <w:tcW w:w="86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87.0</w:t>
            </w:r>
          </w:p>
        </w:tc>
        <w:tc>
          <w:tcPr>
            <w:tcW w:w="20" w:type="dxa"/>
            <w:vAlign w:val="bottom"/>
            <w:tcBorders>
              <w:top w:val="single" w:sz="8" w:color="auto"/>
            </w:tcBorders>
          </w:tcPr>
          <w:p>
            <w:pPr>
              <w:spacing w:after="0"/>
              <w:rPr>
                <w:sz w:val="7"/>
                <w:szCs w:val="7"/>
                <w:color w:val="auto"/>
              </w:rPr>
            </w:pPr>
          </w:p>
        </w:tc>
        <w:tc>
          <w:tcPr>
            <w:tcW w:w="120" w:type="dxa"/>
            <w:vAlign w:val="bottom"/>
          </w:tcPr>
          <w:p>
            <w:pPr>
              <w:jc w:val="right"/>
              <w:ind w:right="1"/>
              <w:spacing w:after="0" w:line="85" w:lineRule="exact"/>
              <w:rPr>
                <w:sz w:val="20"/>
                <w:szCs w:val="20"/>
                <w:color w:val="auto"/>
              </w:rPr>
            </w:pPr>
            <w:r>
              <w:rPr>
                <w:rFonts w:ascii="Times New Roman" w:cs="Times New Roman" w:eastAsia="Times New Roman" w:hAnsi="Times New Roman"/>
                <w:sz w:val="8"/>
                <w:szCs w:val="8"/>
                <w:b w:val="1"/>
                <w:bCs w:val="1"/>
                <w:color w:val="auto"/>
                <w:w w:val="74"/>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tcBorders>
              <w:lef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vMerge w:val="continue"/>
          </w:tcPr>
          <w:p>
            <w:pPr>
              <w:spacing w:after="0"/>
              <w:rPr>
                <w:sz w:val="7"/>
                <w:szCs w:val="7"/>
                <w:color w:val="auto"/>
              </w:rPr>
            </w:pPr>
          </w:p>
        </w:tc>
        <w:tc>
          <w:tcPr>
            <w:tcW w:w="1940" w:type="dxa"/>
            <w:vAlign w:val="bottom"/>
            <w:gridSpan w:val="5"/>
          </w:tcPr>
          <w:p>
            <w:pPr>
              <w:spacing w:after="0" w:line="86" w:lineRule="exact"/>
              <w:rPr>
                <w:sz w:val="20"/>
                <w:szCs w:val="20"/>
                <w:color w:val="auto"/>
              </w:rPr>
            </w:pPr>
            <w:r>
              <w:rPr>
                <w:rFonts w:ascii="Times New Roman" w:cs="Times New Roman" w:eastAsia="Times New Roman" w:hAnsi="Times New Roman"/>
                <w:sz w:val="9"/>
                <w:szCs w:val="9"/>
                <w:b w:val="1"/>
                <w:bCs w:val="1"/>
                <w:color w:val="auto"/>
              </w:rPr>
              <w:t>Europe</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960" w:type="dxa"/>
            <w:vAlign w:val="bottom"/>
            <w:gridSpan w:val="6"/>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London, England</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6"/>
                <w:szCs w:val="6"/>
                <w:color w:val="auto"/>
              </w:rPr>
              <w:t>(7)</w:t>
            </w:r>
          </w:p>
        </w:tc>
        <w:tc>
          <w:tcPr>
            <w:tcW w:w="86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19</w:t>
            </w:r>
          </w:p>
        </w:tc>
        <w:tc>
          <w:tcPr>
            <w:tcW w:w="180" w:type="dxa"/>
            <w:vAlign w:val="bottom"/>
            <w:shd w:val="clear" w:color="auto" w:fill="CCEEFF"/>
          </w:tcPr>
          <w:p>
            <w:pPr>
              <w:spacing w:after="0"/>
              <w:rPr>
                <w:sz w:val="7"/>
                <w:szCs w:val="7"/>
                <w:color w:val="auto"/>
              </w:rPr>
            </w:pPr>
          </w:p>
        </w:tc>
        <w:tc>
          <w:tcPr>
            <w:tcW w:w="8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1,715,719</w:t>
            </w:r>
          </w:p>
        </w:tc>
        <w:tc>
          <w:tcPr>
            <w:tcW w:w="180" w:type="dxa"/>
            <w:vAlign w:val="bottom"/>
            <w:shd w:val="clear" w:color="auto" w:fill="CCEEFF"/>
          </w:tcPr>
          <w:p>
            <w:pPr>
              <w:spacing w:after="0"/>
              <w:rPr>
                <w:sz w:val="7"/>
                <w:szCs w:val="7"/>
                <w:color w:val="auto"/>
              </w:rPr>
            </w:pPr>
          </w:p>
        </w:tc>
        <w:tc>
          <w:tcPr>
            <w:tcW w:w="1040" w:type="dxa"/>
            <w:vAlign w:val="bottom"/>
            <w:gridSpan w:val="2"/>
            <w:shd w:val="clear" w:color="auto" w:fill="CCEEFF"/>
          </w:tcPr>
          <w:p>
            <w:pPr>
              <w:jc w:val="right"/>
              <w:ind w:right="220"/>
              <w:spacing w:after="0" w:line="8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161,136</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259,830</w:t>
            </w:r>
          </w:p>
        </w:tc>
        <w:tc>
          <w:tcPr>
            <w:tcW w:w="180" w:type="dxa"/>
            <w:vAlign w:val="bottom"/>
            <w:shd w:val="clear" w:color="auto" w:fill="CCEEFF"/>
          </w:tcPr>
          <w:p>
            <w:pPr>
              <w:spacing w:after="0"/>
              <w:rPr>
                <w:sz w:val="7"/>
                <w:szCs w:val="7"/>
                <w:color w:val="auto"/>
              </w:rPr>
            </w:pPr>
          </w:p>
        </w:tc>
        <w:tc>
          <w:tcPr>
            <w:tcW w:w="1000" w:type="dxa"/>
            <w:vAlign w:val="bottom"/>
            <w:gridSpan w:val="3"/>
            <w:shd w:val="clear" w:color="auto" w:fill="CCEEFF"/>
          </w:tcPr>
          <w:p>
            <w:pPr>
              <w:jc w:val="right"/>
              <w:ind w:right="21"/>
              <w:spacing w:after="0" w:line="85" w:lineRule="exact"/>
              <w:rPr>
                <w:sz w:val="20"/>
                <w:szCs w:val="20"/>
                <w:color w:val="auto"/>
              </w:rPr>
            </w:pPr>
            <w:r>
              <w:rPr>
                <w:rFonts w:ascii="Times New Roman" w:cs="Times New Roman" w:eastAsia="Times New Roman" w:hAnsi="Times New Roman"/>
                <w:sz w:val="9"/>
                <w:szCs w:val="9"/>
                <w:color w:val="auto"/>
              </w:rPr>
              <w:t>77.4 %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Frankfurt, Germany</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6"/>
                <w:szCs w:val="6"/>
                <w:color w:val="auto"/>
              </w:rPr>
              <w:t>(8)</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21</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1,627,677</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357,733</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191,190</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88.5</w:t>
            </w:r>
          </w:p>
        </w:tc>
        <w:tc>
          <w:tcPr>
            <w:tcW w:w="140" w:type="dxa"/>
            <w:vAlign w:val="bottom"/>
            <w:gridSpan w:val="2"/>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Amsterdam, Netherlands</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6"/>
                <w:szCs w:val="6"/>
                <w:color w:val="auto"/>
              </w:rPr>
              <w:t>(8)</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17</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1,442,910</w:t>
            </w: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48,490</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95,262</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149,828</w:t>
            </w: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67.6</w:t>
            </w:r>
          </w:p>
        </w:tc>
        <w:tc>
          <w:tcPr>
            <w:tcW w:w="140" w:type="dxa"/>
            <w:vAlign w:val="bottom"/>
            <w:gridSpan w:val="2"/>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Paris, France</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6"/>
                <w:szCs w:val="6"/>
                <w:color w:val="auto"/>
              </w:rPr>
              <w:t>(8)</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12</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658,681</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376,162</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74,845</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89.9</w:t>
            </w:r>
          </w:p>
        </w:tc>
        <w:tc>
          <w:tcPr>
            <w:tcW w:w="140" w:type="dxa"/>
            <w:vAlign w:val="bottom"/>
            <w:gridSpan w:val="2"/>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Vienna, Austria</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6"/>
                <w:szCs w:val="6"/>
                <w:color w:val="auto"/>
              </w:rPr>
              <w:t>(8)</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359,809</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46,758</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84.0 %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Dublin, Ireland</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6"/>
                <w:szCs w:val="6"/>
                <w:color w:val="auto"/>
              </w:rPr>
              <w:t>(8)</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380,739</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94,005</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45,145</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75.0</w:t>
            </w:r>
          </w:p>
        </w:tc>
        <w:tc>
          <w:tcPr>
            <w:tcW w:w="140" w:type="dxa"/>
            <w:vAlign w:val="bottom"/>
            <w:gridSpan w:val="2"/>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Marseille, France</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6"/>
                <w:szCs w:val="6"/>
                <w:color w:val="auto"/>
              </w:rPr>
              <w:t>(8)</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278,617</w:t>
            </w: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161,449</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37,813</w:t>
            </w: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78.1</w:t>
            </w:r>
          </w:p>
        </w:tc>
        <w:tc>
          <w:tcPr>
            <w:tcW w:w="140" w:type="dxa"/>
            <w:vAlign w:val="bottom"/>
            <w:gridSpan w:val="2"/>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Madrid, Spain</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6"/>
                <w:szCs w:val="6"/>
                <w:color w:val="auto"/>
              </w:rPr>
              <w:t>(8)</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222,047</w:t>
            </w:r>
          </w:p>
        </w:tc>
        <w:tc>
          <w:tcPr>
            <w:tcW w:w="180" w:type="dxa"/>
            <w:vAlign w:val="bottom"/>
          </w:tcPr>
          <w:p>
            <w:pPr>
              <w:spacing w:after="0"/>
              <w:rPr>
                <w:sz w:val="8"/>
                <w:szCs w:val="8"/>
                <w:color w:val="auto"/>
              </w:rPr>
            </w:pPr>
          </w:p>
        </w:tc>
        <w:tc>
          <w:tcPr>
            <w:tcW w:w="10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35,044</w:t>
            </w:r>
          </w:p>
        </w:tc>
        <w:tc>
          <w:tcPr>
            <w:tcW w:w="180" w:type="dxa"/>
            <w:vAlign w:val="bottom"/>
          </w:tcPr>
          <w:p>
            <w:pPr>
              <w:spacing w:after="0"/>
              <w:rPr>
                <w:sz w:val="8"/>
                <w:szCs w:val="8"/>
                <w:color w:val="auto"/>
              </w:rPr>
            </w:pP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77.7 %</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Zurich, Switzerland</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6"/>
                <w:szCs w:val="6"/>
                <w:color w:val="auto"/>
              </w:rPr>
              <w:t>(9)</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229,388</w:t>
            </w: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315,197</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30,614</w:t>
            </w: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70.6</w:t>
            </w:r>
          </w:p>
        </w:tc>
        <w:tc>
          <w:tcPr>
            <w:tcW w:w="140" w:type="dxa"/>
            <w:vAlign w:val="bottom"/>
            <w:gridSpan w:val="2"/>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Brussels, Belgium</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6"/>
                <w:szCs w:val="6"/>
                <w:color w:val="auto"/>
              </w:rPr>
              <w:t>(8)</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132,501</w:t>
            </w:r>
          </w:p>
        </w:tc>
        <w:tc>
          <w:tcPr>
            <w:tcW w:w="180" w:type="dxa"/>
            <w:vAlign w:val="bottom"/>
          </w:tcPr>
          <w:p>
            <w:pPr>
              <w:spacing w:after="0"/>
              <w:rPr>
                <w:sz w:val="8"/>
                <w:szCs w:val="8"/>
                <w:color w:val="auto"/>
              </w:rPr>
            </w:pPr>
          </w:p>
        </w:tc>
        <w:tc>
          <w:tcPr>
            <w:tcW w:w="10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23,153</w:t>
            </w:r>
          </w:p>
        </w:tc>
        <w:tc>
          <w:tcPr>
            <w:tcW w:w="180" w:type="dxa"/>
            <w:vAlign w:val="bottom"/>
          </w:tcPr>
          <w:p>
            <w:pPr>
              <w:spacing w:after="0"/>
              <w:rPr>
                <w:sz w:val="8"/>
                <w:szCs w:val="8"/>
                <w:color w:val="auto"/>
              </w:rPr>
            </w:pP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76.1 %</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Stockholm, Sweden</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6"/>
                <w:szCs w:val="6"/>
                <w:color w:val="auto"/>
              </w:rPr>
              <w:t>(10)</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164,421</w:t>
            </w: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89,276</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22,440</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73.4 %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Copenhagen, Denmark</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6"/>
                <w:szCs w:val="6"/>
                <w:color w:val="auto"/>
              </w:rPr>
              <w:t>(11)</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164,489</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61,342</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18,120</w:t>
            </w:r>
          </w:p>
        </w:tc>
        <w:tc>
          <w:tcPr>
            <w:tcW w:w="180" w:type="dxa"/>
            <w:vAlign w:val="bottom"/>
          </w:tcPr>
          <w:p>
            <w:pPr>
              <w:spacing w:after="0"/>
              <w:rPr>
                <w:sz w:val="8"/>
                <w:szCs w:val="8"/>
                <w:color w:val="auto"/>
              </w:rPr>
            </w:pP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76.7 %</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Dusseldorf, Germany</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6"/>
                <w:szCs w:val="6"/>
                <w:color w:val="auto"/>
              </w:rPr>
              <w:t>(8)</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105,523</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16,970</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60.2 %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Athens, Greece</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6"/>
                <w:szCs w:val="6"/>
                <w:color w:val="auto"/>
              </w:rPr>
              <w:t>(8)</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55,167</w:t>
            </w:r>
          </w:p>
        </w:tc>
        <w:tc>
          <w:tcPr>
            <w:tcW w:w="180" w:type="dxa"/>
            <w:vAlign w:val="bottom"/>
          </w:tcPr>
          <w:p>
            <w:pPr>
              <w:spacing w:after="0"/>
              <w:rPr>
                <w:sz w:val="8"/>
                <w:szCs w:val="8"/>
                <w:color w:val="auto"/>
              </w:rPr>
            </w:pPr>
          </w:p>
        </w:tc>
        <w:tc>
          <w:tcPr>
            <w:tcW w:w="10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6,288</w:t>
            </w:r>
          </w:p>
        </w:tc>
        <w:tc>
          <w:tcPr>
            <w:tcW w:w="180" w:type="dxa"/>
            <w:vAlign w:val="bottom"/>
          </w:tcPr>
          <w:p>
            <w:pPr>
              <w:spacing w:after="0"/>
              <w:rPr>
                <w:sz w:val="8"/>
                <w:szCs w:val="8"/>
                <w:color w:val="auto"/>
              </w:rPr>
            </w:pP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58.0 %</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Zagreb, Croatia</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6"/>
                <w:szCs w:val="6"/>
                <w:color w:val="auto"/>
              </w:rPr>
              <w:t>(12)</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19,365</w:t>
            </w: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12,538</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2,032</w:t>
            </w: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49.9</w:t>
            </w:r>
          </w:p>
        </w:tc>
        <w:tc>
          <w:tcPr>
            <w:tcW w:w="140" w:type="dxa"/>
            <w:vAlign w:val="bottom"/>
            <w:gridSpan w:val="2"/>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Geneva, Switzerland</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6"/>
                <w:szCs w:val="6"/>
                <w:color w:val="auto"/>
              </w:rPr>
              <w:t>(9)</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59,190</w:t>
            </w:r>
          </w:p>
        </w:tc>
        <w:tc>
          <w:tcPr>
            <w:tcW w:w="180" w:type="dxa"/>
            <w:vAlign w:val="bottom"/>
          </w:tcPr>
          <w:p>
            <w:pPr>
              <w:spacing w:after="0"/>
              <w:rPr>
                <w:sz w:val="8"/>
                <w:szCs w:val="8"/>
                <w:color w:val="auto"/>
              </w:rPr>
            </w:pPr>
          </w:p>
        </w:tc>
        <w:tc>
          <w:tcPr>
            <w:tcW w:w="10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2,012</w:t>
            </w:r>
          </w:p>
        </w:tc>
        <w:tc>
          <w:tcPr>
            <w:tcW w:w="180" w:type="dxa"/>
            <w:vAlign w:val="bottom"/>
          </w:tcPr>
          <w:p>
            <w:pPr>
              <w:spacing w:after="0"/>
              <w:rPr>
                <w:sz w:val="8"/>
                <w:szCs w:val="8"/>
                <w:color w:val="auto"/>
              </w:rPr>
            </w:pP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100.0 %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gridSpan w:val="5"/>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Manchester, England</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6"/>
                <w:szCs w:val="6"/>
                <w:color w:val="auto"/>
              </w:rPr>
              <w:t>(7)</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38,016</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1,863</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100.0 %</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940" w:type="dxa"/>
            <w:vAlign w:val="bottom"/>
            <w:gridSpan w:val="5"/>
          </w:tcPr>
          <w:p>
            <w:pPr>
              <w:ind w:left="60"/>
              <w:spacing w:after="0" w:line="85" w:lineRule="exact"/>
              <w:rPr>
                <w:sz w:val="20"/>
                <w:szCs w:val="20"/>
                <w:color w:val="auto"/>
              </w:rPr>
            </w:pPr>
            <w:r>
              <w:rPr>
                <w:rFonts w:ascii="Times New Roman" w:cs="Times New Roman" w:eastAsia="Times New Roman" w:hAnsi="Times New Roman"/>
                <w:sz w:val="9"/>
                <w:szCs w:val="9"/>
                <w:b w:val="1"/>
                <w:bCs w:val="1"/>
                <w:color w:val="auto"/>
              </w:rPr>
              <w:t>Europe Total</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107</w:t>
            </w:r>
          </w:p>
        </w:tc>
        <w:tc>
          <w:tcPr>
            <w:tcW w:w="180" w:type="dxa"/>
            <w:vAlign w:val="bottom"/>
          </w:tcPr>
          <w:p>
            <w:pPr>
              <w:spacing w:after="0"/>
              <w:rPr>
                <w:sz w:val="7"/>
                <w:szCs w:val="7"/>
                <w:color w:val="auto"/>
              </w:rPr>
            </w:pPr>
          </w:p>
        </w:tc>
        <w:tc>
          <w:tcPr>
            <w:tcW w:w="8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7,654,259</w:t>
            </w:r>
          </w:p>
        </w:tc>
        <w:tc>
          <w:tcPr>
            <w:tcW w:w="180" w:type="dxa"/>
            <w:vAlign w:val="bottom"/>
          </w:tcPr>
          <w:p>
            <w:pPr>
              <w:spacing w:after="0"/>
              <w:rPr>
                <w:sz w:val="7"/>
                <w:szCs w:val="7"/>
                <w:color w:val="auto"/>
              </w:rPr>
            </w:pPr>
          </w:p>
        </w:tc>
        <w:tc>
          <w:tcPr>
            <w:tcW w:w="86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1,516,192</w:t>
            </w:r>
          </w:p>
        </w:tc>
        <w:tc>
          <w:tcPr>
            <w:tcW w:w="180" w:type="dxa"/>
            <w:vAlign w:val="bottom"/>
          </w:tcPr>
          <w:p>
            <w:pPr>
              <w:spacing w:after="0"/>
              <w:rPr>
                <w:sz w:val="7"/>
                <w:szCs w:val="7"/>
                <w:color w:val="auto"/>
              </w:rPr>
            </w:pPr>
          </w:p>
        </w:tc>
        <w:tc>
          <w:tcPr>
            <w:tcW w:w="8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256,398</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963,945</w:t>
            </w:r>
          </w:p>
        </w:tc>
        <w:tc>
          <w:tcPr>
            <w:tcW w:w="180" w:type="dxa"/>
            <w:vAlign w:val="bottom"/>
          </w:tcPr>
          <w:p>
            <w:pPr>
              <w:spacing w:after="0"/>
              <w:rPr>
                <w:sz w:val="7"/>
                <w:szCs w:val="7"/>
                <w:color w:val="auto"/>
              </w:rPr>
            </w:pPr>
          </w:p>
        </w:tc>
        <w:tc>
          <w:tcPr>
            <w:tcW w:w="86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78.7</w:t>
            </w:r>
          </w:p>
        </w:tc>
        <w:tc>
          <w:tcPr>
            <w:tcW w:w="20" w:type="dxa"/>
            <w:vAlign w:val="bottom"/>
            <w:tcBorders>
              <w:top w:val="single" w:sz="8" w:color="auto"/>
            </w:tcBorders>
          </w:tcPr>
          <w:p>
            <w:pPr>
              <w:spacing w:after="0"/>
              <w:rPr>
                <w:sz w:val="7"/>
                <w:szCs w:val="7"/>
                <w:color w:val="auto"/>
              </w:rPr>
            </w:pPr>
          </w:p>
        </w:tc>
        <w:tc>
          <w:tcPr>
            <w:tcW w:w="120" w:type="dxa"/>
            <w:vAlign w:val="bottom"/>
          </w:tcPr>
          <w:p>
            <w:pPr>
              <w:jc w:val="right"/>
              <w:ind w:right="1"/>
              <w:spacing w:after="0" w:line="85" w:lineRule="exact"/>
              <w:rPr>
                <w:sz w:val="20"/>
                <w:szCs w:val="20"/>
                <w:color w:val="auto"/>
              </w:rPr>
            </w:pPr>
            <w:r>
              <w:rPr>
                <w:rFonts w:ascii="Times New Roman" w:cs="Times New Roman" w:eastAsia="Times New Roman" w:hAnsi="Times New Roman"/>
                <w:sz w:val="8"/>
                <w:szCs w:val="8"/>
                <w:b w:val="1"/>
                <w:bCs w:val="1"/>
                <w:color w:val="auto"/>
                <w:w w:val="74"/>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tcBorders>
              <w:lef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gridSpan w:val="2"/>
          </w:tcPr>
          <w:p>
            <w:pPr>
              <w:spacing w:after="0" w:line="86" w:lineRule="exact"/>
              <w:rPr>
                <w:sz w:val="20"/>
                <w:szCs w:val="20"/>
                <w:color w:val="auto"/>
              </w:rPr>
            </w:pPr>
            <w:r>
              <w:rPr>
                <w:rFonts w:ascii="Times New Roman" w:cs="Times New Roman" w:eastAsia="Times New Roman" w:hAnsi="Times New Roman"/>
                <w:sz w:val="9"/>
                <w:szCs w:val="9"/>
                <w:b w:val="1"/>
                <w:bCs w:val="1"/>
                <w:color w:val="auto"/>
                <w:w w:val="92"/>
              </w:rPr>
              <w:t>Asia Pacific</w:t>
            </w:r>
          </w:p>
        </w:tc>
        <w:tc>
          <w:tcPr>
            <w:tcW w:w="1500" w:type="dxa"/>
            <w:vAlign w:val="bottom"/>
            <w:gridSpan w:val="3"/>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60" w:type="dxa"/>
            <w:vAlign w:val="bottom"/>
            <w:gridSpan w:val="6"/>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Singapore</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6"/>
                <w:szCs w:val="6"/>
                <w:color w:val="auto"/>
              </w:rPr>
              <w:t>(13)</w:t>
            </w:r>
          </w:p>
        </w:tc>
        <w:tc>
          <w:tcPr>
            <w:tcW w:w="86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w:t>
            </w:r>
          </w:p>
        </w:tc>
        <w:tc>
          <w:tcPr>
            <w:tcW w:w="180" w:type="dxa"/>
            <w:vAlign w:val="bottom"/>
            <w:shd w:val="clear" w:color="auto" w:fill="CCEEFF"/>
          </w:tcPr>
          <w:p>
            <w:pPr>
              <w:spacing w:after="0"/>
              <w:rPr>
                <w:sz w:val="7"/>
                <w:szCs w:val="7"/>
                <w:color w:val="auto"/>
              </w:rPr>
            </w:pPr>
          </w:p>
        </w:tc>
        <w:tc>
          <w:tcPr>
            <w:tcW w:w="8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540,638</w:t>
            </w: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344,826</w:t>
            </w:r>
          </w:p>
        </w:tc>
        <w:tc>
          <w:tcPr>
            <w:tcW w:w="180" w:type="dxa"/>
            <w:vAlign w:val="bottom"/>
            <w:shd w:val="clear" w:color="auto" w:fill="CCEEFF"/>
          </w:tcPr>
          <w:p>
            <w:pPr>
              <w:spacing w:after="0"/>
              <w:rPr>
                <w:sz w:val="7"/>
                <w:szCs w:val="7"/>
                <w:color w:val="auto"/>
              </w:rPr>
            </w:pPr>
          </w:p>
        </w:tc>
        <w:tc>
          <w:tcPr>
            <w:tcW w:w="8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93,438</w:t>
            </w:r>
          </w:p>
        </w:tc>
        <w:tc>
          <w:tcPr>
            <w:tcW w:w="180" w:type="dxa"/>
            <w:vAlign w:val="bottom"/>
            <w:shd w:val="clear" w:color="auto" w:fill="CCEEFF"/>
          </w:tcPr>
          <w:p>
            <w:pPr>
              <w:spacing w:after="0"/>
              <w:rPr>
                <w:sz w:val="7"/>
                <w:szCs w:val="7"/>
                <w:color w:val="auto"/>
              </w:rPr>
            </w:pPr>
          </w:p>
        </w:tc>
        <w:tc>
          <w:tcPr>
            <w:tcW w:w="1000" w:type="dxa"/>
            <w:vAlign w:val="bottom"/>
            <w:gridSpan w:val="3"/>
            <w:shd w:val="clear" w:color="auto" w:fill="CCEEFF"/>
          </w:tcPr>
          <w:p>
            <w:pPr>
              <w:jc w:val="right"/>
              <w:ind w:right="21"/>
              <w:spacing w:after="0" w:line="85" w:lineRule="exact"/>
              <w:rPr>
                <w:sz w:val="20"/>
                <w:szCs w:val="20"/>
                <w:color w:val="auto"/>
              </w:rPr>
            </w:pPr>
            <w:r>
              <w:rPr>
                <w:rFonts w:ascii="Times New Roman" w:cs="Times New Roman" w:eastAsia="Times New Roman" w:hAnsi="Times New Roman"/>
                <w:sz w:val="9"/>
                <w:szCs w:val="9"/>
                <w:color w:val="auto"/>
              </w:rPr>
              <w:t>95.3 %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Sydney, Australia</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6"/>
                <w:szCs w:val="6"/>
                <w:color w:val="auto"/>
              </w:rPr>
              <w:t>(14)</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226,697</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222,838</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27,733</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85.7</w:t>
            </w:r>
          </w:p>
        </w:tc>
        <w:tc>
          <w:tcPr>
            <w:tcW w:w="140" w:type="dxa"/>
            <w:vAlign w:val="bottom"/>
            <w:gridSpan w:val="2"/>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Melbourne, Australia</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6"/>
                <w:szCs w:val="6"/>
                <w:color w:val="auto"/>
              </w:rPr>
              <w:t>(14)</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146,570</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17,829</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71.3 %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Tokyo, Japan</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6"/>
                <w:szCs w:val="6"/>
                <w:color w:val="auto"/>
              </w:rPr>
              <w:t>(15)</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tcPr>
          <w:p>
            <w:pPr>
              <w:spacing w:after="0"/>
              <w:rPr>
                <w:sz w:val="8"/>
                <w:szCs w:val="8"/>
                <w:color w:val="auto"/>
              </w:rPr>
            </w:pPr>
          </w:p>
        </w:tc>
        <w:tc>
          <w:tcPr>
            <w:tcW w:w="106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406,664</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 %</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Osaka, Japan</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6"/>
                <w:szCs w:val="6"/>
                <w:color w:val="auto"/>
              </w:rPr>
              <w:t>(15)</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193,535</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Seoul, South Korea</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6"/>
                <w:szCs w:val="6"/>
                <w:color w:val="auto"/>
              </w:rPr>
              <w:t>(16)</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tcPr>
          <w:p>
            <w:pPr>
              <w:spacing w:after="0"/>
              <w:rPr>
                <w:sz w:val="8"/>
                <w:szCs w:val="8"/>
                <w:color w:val="auto"/>
              </w:rPr>
            </w:pPr>
          </w:p>
        </w:tc>
        <w:tc>
          <w:tcPr>
            <w:tcW w:w="106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162,260</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gridSpan w:val="5"/>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Hong Kong</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6"/>
                <w:szCs w:val="6"/>
                <w:color w:val="auto"/>
              </w:rPr>
              <w:t>(17)</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284,751</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 %</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940" w:type="dxa"/>
            <w:vAlign w:val="bottom"/>
            <w:gridSpan w:val="5"/>
          </w:tcPr>
          <w:p>
            <w:pPr>
              <w:ind w:left="60"/>
              <w:spacing w:after="0" w:line="85" w:lineRule="exact"/>
              <w:rPr>
                <w:sz w:val="20"/>
                <w:szCs w:val="20"/>
                <w:color w:val="auto"/>
              </w:rPr>
            </w:pPr>
            <w:r>
              <w:rPr>
                <w:rFonts w:ascii="Times New Roman" w:cs="Times New Roman" w:eastAsia="Times New Roman" w:hAnsi="Times New Roman"/>
                <w:sz w:val="9"/>
                <w:szCs w:val="9"/>
                <w:b w:val="1"/>
                <w:bCs w:val="1"/>
                <w:color w:val="auto"/>
              </w:rPr>
              <w:t>Asia Pacific Total</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13</w:t>
            </w:r>
          </w:p>
        </w:tc>
        <w:tc>
          <w:tcPr>
            <w:tcW w:w="180" w:type="dxa"/>
            <w:vAlign w:val="bottom"/>
          </w:tcPr>
          <w:p>
            <w:pPr>
              <w:spacing w:after="0"/>
              <w:rPr>
                <w:sz w:val="7"/>
                <w:szCs w:val="7"/>
                <w:color w:val="auto"/>
              </w:rPr>
            </w:pPr>
          </w:p>
        </w:tc>
        <w:tc>
          <w:tcPr>
            <w:tcW w:w="8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913,905</w:t>
            </w:r>
          </w:p>
        </w:tc>
        <w:tc>
          <w:tcPr>
            <w:tcW w:w="180" w:type="dxa"/>
            <w:vAlign w:val="bottom"/>
          </w:tcPr>
          <w:p>
            <w:pPr>
              <w:spacing w:after="0"/>
              <w:rPr>
                <w:sz w:val="7"/>
                <w:szCs w:val="7"/>
                <w:color w:val="auto"/>
              </w:rPr>
            </w:pPr>
          </w:p>
        </w:tc>
        <w:tc>
          <w:tcPr>
            <w:tcW w:w="86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1,330,123</w:t>
            </w:r>
          </w:p>
        </w:tc>
        <w:tc>
          <w:tcPr>
            <w:tcW w:w="180" w:type="dxa"/>
            <w:vAlign w:val="bottom"/>
          </w:tcPr>
          <w:p>
            <w:pPr>
              <w:spacing w:after="0"/>
              <w:rPr>
                <w:sz w:val="7"/>
                <w:szCs w:val="7"/>
                <w:color w:val="auto"/>
              </w:rPr>
            </w:pPr>
          </w:p>
        </w:tc>
        <w:tc>
          <w:tcPr>
            <w:tcW w:w="8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284,751</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139,001</w:t>
            </w:r>
          </w:p>
        </w:tc>
        <w:tc>
          <w:tcPr>
            <w:tcW w:w="180" w:type="dxa"/>
            <w:vAlign w:val="bottom"/>
          </w:tcPr>
          <w:p>
            <w:pPr>
              <w:spacing w:after="0"/>
              <w:rPr>
                <w:sz w:val="7"/>
                <w:szCs w:val="7"/>
                <w:color w:val="auto"/>
              </w:rPr>
            </w:pPr>
          </w:p>
        </w:tc>
        <w:tc>
          <w:tcPr>
            <w:tcW w:w="86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89.0</w:t>
            </w:r>
          </w:p>
        </w:tc>
        <w:tc>
          <w:tcPr>
            <w:tcW w:w="20" w:type="dxa"/>
            <w:vAlign w:val="bottom"/>
            <w:tcBorders>
              <w:top w:val="single" w:sz="8" w:color="auto"/>
            </w:tcBorders>
          </w:tcPr>
          <w:p>
            <w:pPr>
              <w:spacing w:after="0"/>
              <w:rPr>
                <w:sz w:val="7"/>
                <w:szCs w:val="7"/>
                <w:color w:val="auto"/>
              </w:rPr>
            </w:pPr>
          </w:p>
        </w:tc>
        <w:tc>
          <w:tcPr>
            <w:tcW w:w="120" w:type="dxa"/>
            <w:vAlign w:val="bottom"/>
          </w:tcPr>
          <w:p>
            <w:pPr>
              <w:jc w:val="right"/>
              <w:ind w:right="1"/>
              <w:spacing w:after="0" w:line="85" w:lineRule="exact"/>
              <w:rPr>
                <w:sz w:val="20"/>
                <w:szCs w:val="20"/>
                <w:color w:val="auto"/>
              </w:rPr>
            </w:pPr>
            <w:r>
              <w:rPr>
                <w:rFonts w:ascii="Times New Roman" w:cs="Times New Roman" w:eastAsia="Times New Roman" w:hAnsi="Times New Roman"/>
                <w:sz w:val="8"/>
                <w:szCs w:val="8"/>
                <w:b w:val="1"/>
                <w:bCs w:val="1"/>
                <w:color w:val="auto"/>
                <w:w w:val="74"/>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tcBorders>
              <w:lef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vMerge w:val="continue"/>
          </w:tcPr>
          <w:p>
            <w:pPr>
              <w:spacing w:after="0"/>
              <w:rPr>
                <w:sz w:val="7"/>
                <w:szCs w:val="7"/>
                <w:color w:val="auto"/>
              </w:rPr>
            </w:pPr>
          </w:p>
        </w:tc>
        <w:tc>
          <w:tcPr>
            <w:tcW w:w="1940" w:type="dxa"/>
            <w:vAlign w:val="bottom"/>
            <w:gridSpan w:val="5"/>
          </w:tcPr>
          <w:p>
            <w:pPr>
              <w:spacing w:after="0" w:line="86" w:lineRule="exact"/>
              <w:rPr>
                <w:sz w:val="20"/>
                <w:szCs w:val="20"/>
                <w:color w:val="auto"/>
              </w:rPr>
            </w:pPr>
            <w:r>
              <w:rPr>
                <w:rFonts w:ascii="Times New Roman" w:cs="Times New Roman" w:eastAsia="Times New Roman" w:hAnsi="Times New Roman"/>
                <w:sz w:val="9"/>
                <w:szCs w:val="9"/>
                <w:b w:val="1"/>
                <w:bCs w:val="1"/>
                <w:color w:val="auto"/>
              </w:rPr>
              <w:t>Africa</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960" w:type="dxa"/>
            <w:vAlign w:val="bottom"/>
            <w:gridSpan w:val="6"/>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Nairobi, Kenya</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6"/>
                <w:szCs w:val="6"/>
                <w:color w:val="auto"/>
              </w:rPr>
              <w:t>(18)</w:t>
            </w:r>
          </w:p>
        </w:tc>
        <w:tc>
          <w:tcPr>
            <w:tcW w:w="86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7"/>
                <w:szCs w:val="7"/>
                <w:color w:val="auto"/>
              </w:rPr>
            </w:pPr>
          </w:p>
        </w:tc>
        <w:tc>
          <w:tcPr>
            <w:tcW w:w="8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15,710</w:t>
            </w:r>
          </w:p>
        </w:tc>
        <w:tc>
          <w:tcPr>
            <w:tcW w:w="180" w:type="dxa"/>
            <w:vAlign w:val="bottom"/>
            <w:shd w:val="clear" w:color="auto" w:fill="CCEEFF"/>
          </w:tcPr>
          <w:p>
            <w:pPr>
              <w:spacing w:after="0"/>
              <w:rPr>
                <w:sz w:val="7"/>
                <w:szCs w:val="7"/>
                <w:color w:val="auto"/>
              </w:rPr>
            </w:pPr>
          </w:p>
        </w:tc>
        <w:tc>
          <w:tcPr>
            <w:tcW w:w="1040" w:type="dxa"/>
            <w:vAlign w:val="bottom"/>
            <w:gridSpan w:val="2"/>
            <w:shd w:val="clear" w:color="auto" w:fill="CCEEFF"/>
          </w:tcPr>
          <w:p>
            <w:pPr>
              <w:jc w:val="right"/>
              <w:ind w:right="220"/>
              <w:spacing w:after="0" w:line="8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1,114</w:t>
            </w:r>
          </w:p>
        </w:tc>
        <w:tc>
          <w:tcPr>
            <w:tcW w:w="180" w:type="dxa"/>
            <w:vAlign w:val="bottom"/>
            <w:shd w:val="clear" w:color="auto" w:fill="CCEEFF"/>
          </w:tcPr>
          <w:p>
            <w:pPr>
              <w:spacing w:after="0"/>
              <w:rPr>
                <w:sz w:val="7"/>
                <w:szCs w:val="7"/>
                <w:color w:val="auto"/>
              </w:rPr>
            </w:pPr>
          </w:p>
        </w:tc>
        <w:tc>
          <w:tcPr>
            <w:tcW w:w="1000" w:type="dxa"/>
            <w:vAlign w:val="bottom"/>
            <w:gridSpan w:val="3"/>
            <w:shd w:val="clear" w:color="auto" w:fill="CCEEFF"/>
          </w:tcPr>
          <w:p>
            <w:pPr>
              <w:jc w:val="right"/>
              <w:ind w:right="21"/>
              <w:spacing w:after="0" w:line="85" w:lineRule="exact"/>
              <w:rPr>
                <w:sz w:val="20"/>
                <w:szCs w:val="20"/>
                <w:color w:val="auto"/>
              </w:rPr>
            </w:pPr>
            <w:r>
              <w:rPr>
                <w:rFonts w:ascii="Times New Roman" w:cs="Times New Roman" w:eastAsia="Times New Roman" w:hAnsi="Times New Roman"/>
                <w:sz w:val="9"/>
                <w:szCs w:val="9"/>
                <w:color w:val="auto"/>
              </w:rPr>
              <w:t>52.2 %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Mombasa, Kenya</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6"/>
                <w:szCs w:val="6"/>
                <w:color w:val="auto"/>
              </w:rPr>
              <w:t>(18)</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9,591</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37,025</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645</w:t>
            </w:r>
          </w:p>
        </w:tc>
        <w:tc>
          <w:tcPr>
            <w:tcW w:w="180" w:type="dxa"/>
            <w:vAlign w:val="bottom"/>
          </w:tcPr>
          <w:p>
            <w:pPr>
              <w:spacing w:after="0"/>
              <w:rPr>
                <w:sz w:val="8"/>
                <w:szCs w:val="8"/>
                <w:color w:val="auto"/>
              </w:rPr>
            </w:pP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41.7 %</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940" w:type="dxa"/>
            <w:vAlign w:val="bottom"/>
            <w:tcBorders>
              <w:top w:val="single" w:sz="8" w:color="CCEEFF"/>
            </w:tcBorders>
            <w:gridSpan w:val="5"/>
            <w:shd w:val="clear" w:color="auto" w:fill="CCEEFF"/>
          </w:tcPr>
          <w:p>
            <w:pPr>
              <w:ind w:left="60"/>
              <w:spacing w:after="0" w:line="85" w:lineRule="exact"/>
              <w:rPr>
                <w:sz w:val="20"/>
                <w:szCs w:val="20"/>
                <w:color w:val="auto"/>
              </w:rPr>
            </w:pPr>
            <w:r>
              <w:rPr>
                <w:rFonts w:ascii="Times New Roman" w:cs="Times New Roman" w:eastAsia="Times New Roman" w:hAnsi="Times New Roman"/>
                <w:sz w:val="9"/>
                <w:szCs w:val="9"/>
                <w:b w:val="1"/>
                <w:bCs w:val="1"/>
                <w:color w:val="auto"/>
              </w:rPr>
              <w:t>Africa Total</w:t>
            </w:r>
          </w:p>
        </w:tc>
        <w:tc>
          <w:tcPr>
            <w:tcW w:w="4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3</w:t>
            </w:r>
          </w:p>
        </w:tc>
        <w:tc>
          <w:tcPr>
            <w:tcW w:w="18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25,300</w:t>
            </w:r>
          </w:p>
        </w:tc>
        <w:tc>
          <w:tcPr>
            <w:tcW w:w="18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37,025</w:t>
            </w:r>
          </w:p>
        </w:tc>
        <w:tc>
          <w:tcPr>
            <w:tcW w:w="18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1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1,759</w:t>
            </w:r>
          </w:p>
        </w:tc>
        <w:tc>
          <w:tcPr>
            <w:tcW w:w="18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auto"/>
            </w:tcBorders>
            <w:gridSpan w:val="2"/>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48.3</w:t>
            </w:r>
          </w:p>
        </w:tc>
        <w:tc>
          <w:tcPr>
            <w:tcW w:w="120" w:type="dxa"/>
            <w:vAlign w:val="bottom"/>
            <w:tcBorders>
              <w:top w:val="single" w:sz="8" w:color="CCEEFF"/>
            </w:tcBorders>
            <w:shd w:val="clear" w:color="auto" w:fill="CCEEFF"/>
          </w:tcPr>
          <w:p>
            <w:pPr>
              <w:jc w:val="right"/>
              <w:ind w:right="1"/>
              <w:spacing w:after="0" w:line="85" w:lineRule="exact"/>
              <w:rPr>
                <w:sz w:val="20"/>
                <w:szCs w:val="20"/>
                <w:color w:val="auto"/>
              </w:rPr>
            </w:pPr>
            <w:r>
              <w:rPr>
                <w:rFonts w:ascii="Times New Roman" w:cs="Times New Roman" w:eastAsia="Times New Roman" w:hAnsi="Times New Roman"/>
                <w:sz w:val="8"/>
                <w:szCs w:val="8"/>
                <w:b w:val="1"/>
                <w:bCs w:val="1"/>
                <w:color w:val="auto"/>
                <w:w w:val="74"/>
              </w:rPr>
              <w:t>%</w:t>
            </w:r>
          </w:p>
        </w:tc>
        <w:tc>
          <w:tcPr>
            <w:tcW w:w="0" w:type="dxa"/>
            <w:vAlign w:val="bottom"/>
          </w:tcPr>
          <w:p>
            <w:pPr>
              <w:spacing w:after="0"/>
              <w:rPr>
                <w:sz w:val="1"/>
                <w:szCs w:val="1"/>
                <w:color w:val="auto"/>
              </w:rPr>
            </w:pPr>
          </w:p>
        </w:tc>
      </w:tr>
      <w:tr>
        <w:trPr>
          <w:trHeight w:val="95"/>
        </w:trPr>
        <w:tc>
          <w:tcPr>
            <w:tcW w:w="2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Non-Data Center Properties</w:t>
            </w: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0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263,668</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1,254</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1"/>
              <w:spacing w:after="0" w:line="95" w:lineRule="exact"/>
              <w:rPr>
                <w:sz w:val="20"/>
                <w:szCs w:val="20"/>
                <w:color w:val="auto"/>
              </w:rPr>
            </w:pPr>
            <w:r>
              <w:rPr>
                <w:rFonts w:ascii="Times New Roman" w:cs="Times New Roman" w:eastAsia="Times New Roman" w:hAnsi="Times New Roman"/>
                <w:sz w:val="9"/>
                <w:szCs w:val="9"/>
                <w:b w:val="1"/>
                <w:bCs w:val="1"/>
                <w:color w:val="auto"/>
              </w:rPr>
              <w:t>100.0 %</w:t>
            </w:r>
          </w:p>
        </w:tc>
        <w:tc>
          <w:tcPr>
            <w:tcW w:w="0" w:type="dxa"/>
            <w:vAlign w:val="bottom"/>
          </w:tcPr>
          <w:p>
            <w:pPr>
              <w:spacing w:after="0"/>
              <w:rPr>
                <w:sz w:val="1"/>
                <w:szCs w:val="1"/>
                <w:color w:val="auto"/>
              </w:rPr>
            </w:pPr>
          </w:p>
        </w:tc>
      </w:tr>
      <w:tr>
        <w:trPr>
          <w:trHeight w:val="95"/>
        </w:trPr>
        <w:tc>
          <w:tcPr>
            <w:tcW w:w="2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96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Managed Unconsolidated Joint Ventures</w:t>
            </w: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540" w:type="dxa"/>
            <w:vAlign w:val="bottom"/>
            <w:tcBorders>
              <w:top w:val="single" w:sz="8" w:color="auto"/>
            </w:tcBorders>
            <w:gridSpan w:val="5"/>
          </w:tcPr>
          <w:p>
            <w:pPr>
              <w:spacing w:after="0" w:line="85" w:lineRule="exact"/>
              <w:rPr>
                <w:sz w:val="20"/>
                <w:szCs w:val="20"/>
                <w:color w:val="auto"/>
              </w:rPr>
            </w:pPr>
            <w:r>
              <w:rPr>
                <w:rFonts w:ascii="Times New Roman" w:cs="Times New Roman" w:eastAsia="Times New Roman" w:hAnsi="Times New Roman"/>
                <w:sz w:val="9"/>
                <w:szCs w:val="9"/>
                <w:color w:val="auto"/>
              </w:rPr>
              <w:t>Northern Virginia</w:t>
            </w:r>
          </w:p>
        </w:tc>
        <w:tc>
          <w:tcPr>
            <w:tcW w:w="420" w:type="dxa"/>
            <w:vAlign w:val="bottom"/>
            <w:tcBorders>
              <w:top w:val="single" w:sz="8" w:color="CCEEFF"/>
            </w:tcBorders>
          </w:tcPr>
          <w:p>
            <w:pPr>
              <w:spacing w:after="0"/>
              <w:rPr>
                <w:sz w:val="7"/>
                <w:szCs w:val="7"/>
                <w:color w:val="auto"/>
              </w:rPr>
            </w:pPr>
          </w:p>
        </w:tc>
        <w:tc>
          <w:tcPr>
            <w:tcW w:w="420" w:type="dxa"/>
            <w:vAlign w:val="bottom"/>
            <w:tcBorders>
              <w:top w:val="single" w:sz="8" w:color="CCEEFF"/>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860" w:type="dxa"/>
            <w:vAlign w:val="bottom"/>
            <w:tcBorders>
              <w:top w:val="single" w:sz="8" w:color="CCEEFF"/>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7</w:t>
            </w:r>
          </w:p>
        </w:tc>
        <w:tc>
          <w:tcPr>
            <w:tcW w:w="180" w:type="dxa"/>
            <w:vAlign w:val="bottom"/>
            <w:tcBorders>
              <w:top w:val="single" w:sz="8" w:color="CCEEFF"/>
            </w:tcBorders>
          </w:tcPr>
          <w:p>
            <w:pPr>
              <w:spacing w:after="0"/>
              <w:rPr>
                <w:sz w:val="7"/>
                <w:szCs w:val="7"/>
                <w:color w:val="auto"/>
              </w:rPr>
            </w:pPr>
          </w:p>
        </w:tc>
        <w:tc>
          <w:tcPr>
            <w:tcW w:w="880" w:type="dxa"/>
            <w:vAlign w:val="bottom"/>
            <w:tcBorders>
              <w:top w:val="single" w:sz="8" w:color="CCEEFF"/>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1,250,419</w:t>
            </w:r>
          </w:p>
        </w:tc>
        <w:tc>
          <w:tcPr>
            <w:tcW w:w="180" w:type="dxa"/>
            <w:vAlign w:val="bottom"/>
            <w:tcBorders>
              <w:top w:val="single" w:sz="8" w:color="CCEEFF"/>
            </w:tcBorders>
          </w:tcPr>
          <w:p>
            <w:pPr>
              <w:spacing w:after="0"/>
              <w:rPr>
                <w:sz w:val="7"/>
                <w:szCs w:val="7"/>
                <w:color w:val="auto"/>
              </w:rPr>
            </w:pPr>
          </w:p>
        </w:tc>
        <w:tc>
          <w:tcPr>
            <w:tcW w:w="1040" w:type="dxa"/>
            <w:vAlign w:val="bottom"/>
            <w:tcBorders>
              <w:top w:val="single" w:sz="8" w:color="CCEEFF"/>
            </w:tcBorders>
            <w:gridSpan w:val="2"/>
          </w:tcPr>
          <w:p>
            <w:pPr>
              <w:jc w:val="right"/>
              <w:ind w:right="220"/>
              <w:spacing w:after="0" w:line="8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Borders>
              <w:top w:val="single" w:sz="8" w:color="CCEEFF"/>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880" w:type="dxa"/>
            <w:vAlign w:val="bottom"/>
            <w:tcBorders>
              <w:top w:val="single" w:sz="8" w:color="CCEEFF"/>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93,381</w:t>
            </w:r>
          </w:p>
        </w:tc>
        <w:tc>
          <w:tcPr>
            <w:tcW w:w="180" w:type="dxa"/>
            <w:vAlign w:val="bottom"/>
            <w:tcBorders>
              <w:top w:val="single" w:sz="8" w:color="CCEEFF"/>
            </w:tcBorders>
          </w:tcPr>
          <w:p>
            <w:pPr>
              <w:spacing w:after="0"/>
              <w:rPr>
                <w:sz w:val="7"/>
                <w:szCs w:val="7"/>
                <w:color w:val="auto"/>
              </w:rPr>
            </w:pPr>
          </w:p>
        </w:tc>
        <w:tc>
          <w:tcPr>
            <w:tcW w:w="1000" w:type="dxa"/>
            <w:vAlign w:val="bottom"/>
            <w:tcBorders>
              <w:top w:val="single" w:sz="8" w:color="CCEEFF"/>
            </w:tcBorders>
            <w:gridSpan w:val="3"/>
          </w:tcPr>
          <w:p>
            <w:pPr>
              <w:jc w:val="right"/>
              <w:ind w:right="21"/>
              <w:spacing w:after="0" w:line="85" w:lineRule="exact"/>
              <w:rPr>
                <w:sz w:val="20"/>
                <w:szCs w:val="20"/>
                <w:color w:val="auto"/>
              </w:rPr>
            </w:pPr>
            <w:r>
              <w:rPr>
                <w:rFonts w:ascii="Times New Roman" w:cs="Times New Roman" w:eastAsia="Times New Roman" w:hAnsi="Times New Roman"/>
                <w:sz w:val="9"/>
                <w:szCs w:val="9"/>
                <w:color w:val="auto"/>
              </w:rPr>
              <w:t>100.0 %</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Hong Kong</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6"/>
                <w:szCs w:val="6"/>
                <w:color w:val="auto"/>
              </w:rPr>
              <w:t>(17)</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186,300</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19,970</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87.3 %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Silicon Valley</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326,305</w:t>
            </w:r>
          </w:p>
        </w:tc>
        <w:tc>
          <w:tcPr>
            <w:tcW w:w="180" w:type="dxa"/>
            <w:vAlign w:val="bottom"/>
          </w:tcPr>
          <w:p>
            <w:pPr>
              <w:spacing w:after="0"/>
              <w:rPr>
                <w:sz w:val="8"/>
                <w:szCs w:val="8"/>
                <w:color w:val="auto"/>
              </w:rPr>
            </w:pPr>
          </w:p>
        </w:tc>
        <w:tc>
          <w:tcPr>
            <w:tcW w:w="10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13,705</w:t>
            </w:r>
          </w:p>
        </w:tc>
        <w:tc>
          <w:tcPr>
            <w:tcW w:w="180" w:type="dxa"/>
            <w:vAlign w:val="bottom"/>
          </w:tcPr>
          <w:p>
            <w:pPr>
              <w:spacing w:after="0"/>
              <w:rPr>
                <w:sz w:val="8"/>
                <w:szCs w:val="8"/>
                <w:color w:val="auto"/>
              </w:rPr>
            </w:pP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100.0 %</w:t>
            </w:r>
          </w:p>
        </w:tc>
        <w:tc>
          <w:tcPr>
            <w:tcW w:w="0" w:type="dxa"/>
            <w:vAlign w:val="bottom"/>
          </w:tcPr>
          <w:p>
            <w:pPr>
              <w:spacing w:after="0"/>
              <w:rPr>
                <w:sz w:val="1"/>
                <w:szCs w:val="1"/>
                <w:color w:val="auto"/>
              </w:rPr>
            </w:pPr>
          </w:p>
        </w:tc>
      </w:tr>
      <w:tr>
        <w:trPr>
          <w:trHeight w:val="95"/>
        </w:trPr>
        <w:tc>
          <w:tcPr>
            <w:tcW w:w="1960" w:type="dxa"/>
            <w:vAlign w:val="bottom"/>
            <w:gridSpan w:val="6"/>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Dallas</w:t>
            </w: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319,876</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5,555</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82.4 %</w:t>
            </w:r>
          </w:p>
        </w:tc>
        <w:tc>
          <w:tcPr>
            <w:tcW w:w="0" w:type="dxa"/>
            <w:vAlign w:val="bottom"/>
          </w:tcPr>
          <w:p>
            <w:pPr>
              <w:spacing w:after="0"/>
              <w:rPr>
                <w:sz w:val="1"/>
                <w:szCs w:val="1"/>
                <w:color w:val="auto"/>
              </w:rPr>
            </w:pPr>
          </w:p>
        </w:tc>
      </w:tr>
      <w:tr>
        <w:trPr>
          <w:trHeight w:val="95"/>
        </w:trPr>
        <w:tc>
          <w:tcPr>
            <w:tcW w:w="1960" w:type="dxa"/>
            <w:vAlign w:val="bottom"/>
            <w:gridSpan w:val="6"/>
          </w:tcPr>
          <w:p>
            <w:pPr>
              <w:spacing w:after="0" w:line="95" w:lineRule="exact"/>
              <w:rPr>
                <w:sz w:val="20"/>
                <w:szCs w:val="20"/>
                <w:color w:val="auto"/>
              </w:rPr>
            </w:pPr>
            <w:r>
              <w:rPr>
                <w:rFonts w:ascii="Times New Roman" w:cs="Times New Roman" w:eastAsia="Times New Roman" w:hAnsi="Times New Roman"/>
                <w:sz w:val="9"/>
                <w:szCs w:val="9"/>
                <w:color w:val="auto"/>
              </w:rPr>
              <w:t>New York</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108,336</w:t>
            </w:r>
          </w:p>
        </w:tc>
        <w:tc>
          <w:tcPr>
            <w:tcW w:w="180" w:type="dxa"/>
            <w:vAlign w:val="bottom"/>
          </w:tcPr>
          <w:p>
            <w:pPr>
              <w:spacing w:after="0"/>
              <w:rPr>
                <w:sz w:val="8"/>
                <w:szCs w:val="8"/>
                <w:color w:val="auto"/>
              </w:rPr>
            </w:pPr>
          </w:p>
        </w:tc>
        <w:tc>
          <w:tcPr>
            <w:tcW w:w="10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3,460</w:t>
            </w:r>
          </w:p>
        </w:tc>
        <w:tc>
          <w:tcPr>
            <w:tcW w:w="180" w:type="dxa"/>
            <w:vAlign w:val="bottom"/>
          </w:tcPr>
          <w:p>
            <w:pPr>
              <w:spacing w:after="0"/>
              <w:rPr>
                <w:sz w:val="8"/>
                <w:szCs w:val="8"/>
                <w:color w:val="auto"/>
              </w:rPr>
            </w:pP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100.0 %</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left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16</w:t>
            </w:r>
          </w:p>
        </w:tc>
        <w:tc>
          <w:tcPr>
            <w:tcW w:w="18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2,191,236</w:t>
            </w:r>
          </w:p>
        </w:tc>
        <w:tc>
          <w:tcPr>
            <w:tcW w:w="18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18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1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136,071</w:t>
            </w:r>
          </w:p>
        </w:tc>
        <w:tc>
          <w:tcPr>
            <w:tcW w:w="18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auto"/>
            </w:tcBorders>
            <w:gridSpan w:val="2"/>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96.4</w:t>
            </w:r>
          </w:p>
        </w:tc>
        <w:tc>
          <w:tcPr>
            <w:tcW w:w="120" w:type="dxa"/>
            <w:vAlign w:val="bottom"/>
            <w:tcBorders>
              <w:top w:val="single" w:sz="8" w:color="CCEEFF"/>
            </w:tcBorders>
            <w:shd w:val="clear" w:color="auto" w:fill="CCEEFF"/>
          </w:tcPr>
          <w:p>
            <w:pPr>
              <w:jc w:val="right"/>
              <w:ind w:right="1"/>
              <w:spacing w:after="0" w:line="85" w:lineRule="exact"/>
              <w:rPr>
                <w:sz w:val="20"/>
                <w:szCs w:val="20"/>
                <w:color w:val="auto"/>
              </w:rPr>
            </w:pPr>
            <w:r>
              <w:rPr>
                <w:rFonts w:ascii="Times New Roman" w:cs="Times New Roman" w:eastAsia="Times New Roman" w:hAnsi="Times New Roman"/>
                <w:sz w:val="8"/>
                <w:szCs w:val="8"/>
                <w:b w:val="1"/>
                <w:bCs w:val="1"/>
                <w:color w:val="auto"/>
                <w:w w:val="74"/>
              </w:rPr>
              <w:t>%</w:t>
            </w: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4" w:name="page55"/>
    <w:bookmarkEnd w:id="5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7"/>
              </w:rPr>
              <w:t>Space Under</w:t>
            </w: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gridSpan w:val="2"/>
          </w:tcPr>
          <w:p>
            <w:pPr>
              <w:jc w:val="center"/>
              <w:ind w:right="180"/>
              <w:spacing w:after="0" w:line="89" w:lineRule="exact"/>
              <w:rPr>
                <w:sz w:val="20"/>
                <w:szCs w:val="20"/>
                <w:color w:val="auto"/>
              </w:rPr>
            </w:pPr>
            <w:r>
              <w:rPr>
                <w:rFonts w:ascii="Times New Roman" w:cs="Times New Roman" w:eastAsia="Times New Roman" w:hAnsi="Times New Roman"/>
                <w:sz w:val="9"/>
                <w:szCs w:val="9"/>
                <w:b w:val="1"/>
                <w:bCs w:val="1"/>
                <w:color w:val="auto"/>
                <w:w w:val="97"/>
              </w:rPr>
              <w:t>Data Center</w:t>
            </w:r>
          </w:p>
        </w:tc>
        <w:tc>
          <w:tcPr>
            <w:tcW w:w="1060" w:type="dxa"/>
            <w:vAlign w:val="bottom"/>
            <w:gridSpan w:val="2"/>
          </w:tcPr>
          <w:p>
            <w:pPr>
              <w:jc w:val="center"/>
              <w:ind w:right="200"/>
              <w:spacing w:after="0" w:line="89" w:lineRule="exact"/>
              <w:rPr>
                <w:sz w:val="20"/>
                <w:szCs w:val="20"/>
                <w:color w:val="auto"/>
              </w:rPr>
            </w:pPr>
            <w:r>
              <w:rPr>
                <w:rFonts w:ascii="Times New Roman" w:cs="Times New Roman" w:eastAsia="Times New Roman" w:hAnsi="Times New Roman"/>
                <w:sz w:val="9"/>
                <w:szCs w:val="9"/>
                <w:b w:val="1"/>
                <w:bCs w:val="1"/>
                <w:color w:val="auto"/>
                <w:w w:val="99"/>
              </w:rPr>
              <w:t>Net Rentable</w:t>
            </w:r>
          </w:p>
        </w:tc>
        <w:tc>
          <w:tcPr>
            <w:tcW w:w="1040" w:type="dxa"/>
            <w:vAlign w:val="bottom"/>
            <w:gridSpan w:val="2"/>
          </w:tcPr>
          <w:p>
            <w:pPr>
              <w:jc w:val="center"/>
              <w:ind w:right="200"/>
              <w:spacing w:after="0" w:line="89" w:lineRule="exact"/>
              <w:rPr>
                <w:sz w:val="20"/>
                <w:szCs w:val="20"/>
                <w:color w:val="auto"/>
              </w:rPr>
            </w:pPr>
            <w:r>
              <w:rPr>
                <w:rFonts w:ascii="Times New Roman" w:cs="Times New Roman" w:eastAsia="Times New Roman" w:hAnsi="Times New Roman"/>
                <w:sz w:val="9"/>
                <w:szCs w:val="9"/>
                <w:b w:val="1"/>
                <w:bCs w:val="1"/>
                <w:color w:val="auto"/>
                <w:w w:val="97"/>
              </w:rPr>
              <w:t>Active</w:t>
            </w:r>
          </w:p>
        </w:tc>
        <w:tc>
          <w:tcPr>
            <w:tcW w:w="880" w:type="dxa"/>
            <w:vAlign w:val="bottom"/>
          </w:tcPr>
          <w:p>
            <w:pPr>
              <w:jc w:val="right"/>
              <w:ind w:right="136"/>
              <w:spacing w:after="0" w:line="89" w:lineRule="exact"/>
              <w:rPr>
                <w:sz w:val="20"/>
                <w:szCs w:val="20"/>
                <w:color w:val="auto"/>
              </w:rPr>
            </w:pPr>
            <w:r>
              <w:rPr>
                <w:rFonts w:ascii="Times New Roman" w:cs="Times New Roman" w:eastAsia="Times New Roman" w:hAnsi="Times New Roman"/>
                <w:sz w:val="9"/>
                <w:szCs w:val="9"/>
                <w:b w:val="1"/>
                <w:bCs w:val="1"/>
                <w:color w:val="auto"/>
              </w:rPr>
              <w:t>Space Held for</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tcPr>
          <w:p>
            <w:pPr>
              <w:jc w:val="center"/>
              <w:ind w:right="300"/>
              <w:spacing w:after="0" w:line="89" w:lineRule="exact"/>
              <w:rPr>
                <w:sz w:val="20"/>
                <w:szCs w:val="20"/>
                <w:color w:val="auto"/>
              </w:rPr>
            </w:pPr>
            <w:r>
              <w:rPr>
                <w:rFonts w:ascii="Times New Roman" w:cs="Times New Roman" w:eastAsia="Times New Roman" w:hAnsi="Times New Roman"/>
                <w:sz w:val="9"/>
                <w:szCs w:val="9"/>
                <w:b w:val="1"/>
                <w:bCs w:val="1"/>
                <w:color w:val="auto"/>
                <w:w w:val="99"/>
              </w:rPr>
              <w:t>Annualized</w:t>
            </w:r>
          </w:p>
        </w:tc>
        <w:tc>
          <w:tcPr>
            <w:tcW w:w="860" w:type="dxa"/>
            <w:vAlign w:val="bottom"/>
          </w:tcPr>
          <w:p>
            <w:pPr>
              <w:jc w:val="right"/>
              <w:ind w:right="176"/>
              <w:spacing w:after="0" w:line="89" w:lineRule="exact"/>
              <w:rPr>
                <w:sz w:val="20"/>
                <w:szCs w:val="20"/>
                <w:color w:val="auto"/>
              </w:rPr>
            </w:pPr>
            <w:r>
              <w:rPr>
                <w:rFonts w:ascii="Times New Roman" w:cs="Times New Roman" w:eastAsia="Times New Roman" w:hAnsi="Times New Roman"/>
                <w:sz w:val="9"/>
                <w:szCs w:val="9"/>
                <w:b w:val="1"/>
                <w:bCs w:val="1"/>
                <w:color w:val="auto"/>
              </w:rPr>
              <w:t>Occupancy</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40" w:type="dxa"/>
            <w:vAlign w:val="bottom"/>
            <w:gridSpan w:val="4"/>
          </w:tcPr>
          <w:p>
            <w:pPr>
              <w:spacing w:after="0"/>
              <w:rPr>
                <w:sz w:val="20"/>
                <w:szCs w:val="20"/>
                <w:color w:val="auto"/>
              </w:rPr>
            </w:pPr>
            <w:r>
              <w:rPr>
                <w:rFonts w:ascii="Times New Roman" w:cs="Times New Roman" w:eastAsia="Times New Roman" w:hAnsi="Times New Roman"/>
                <w:sz w:val="9"/>
                <w:szCs w:val="9"/>
                <w:b w:val="1"/>
                <w:bCs w:val="1"/>
                <w:color w:val="auto"/>
              </w:rPr>
              <w:t>Metropolitan Area</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8"/>
              </w:rPr>
              <w:t>Buildings</w:t>
            </w:r>
          </w:p>
        </w:tc>
        <w:tc>
          <w:tcPr>
            <w:tcW w:w="1060" w:type="dxa"/>
            <w:vAlign w:val="bottom"/>
            <w:gridSpan w:val="2"/>
          </w:tcPr>
          <w:p>
            <w:pPr>
              <w:jc w:val="center"/>
              <w:ind w:right="180"/>
              <w:spacing w:after="0" w:line="114" w:lineRule="exact"/>
              <w:rPr>
                <w:sz w:val="20"/>
                <w:szCs w:val="20"/>
                <w:color w:val="auto"/>
              </w:rPr>
            </w:pPr>
            <w:r>
              <w:rPr>
                <w:rFonts w:ascii="Times New Roman" w:cs="Times New Roman" w:eastAsia="Times New Roman" w:hAnsi="Times New Roman"/>
                <w:sz w:val="9"/>
                <w:szCs w:val="9"/>
                <w:b w:val="1"/>
                <w:bCs w:val="1"/>
                <w:color w:val="auto"/>
                <w:w w:val="95"/>
              </w:rPr>
              <w:t xml:space="preserve">Square Feet </w:t>
            </w:r>
            <w:r>
              <w:rPr>
                <w:rFonts w:ascii="Times New Roman" w:cs="Times New Roman" w:eastAsia="Times New Roman" w:hAnsi="Times New Roman"/>
                <w:sz w:val="13"/>
                <w:szCs w:val="13"/>
                <w:b w:val="1"/>
                <w:bCs w:val="1"/>
                <w:color w:val="auto"/>
                <w:w w:val="95"/>
                <w:vertAlign w:val="superscript"/>
              </w:rPr>
              <w:t>(1)</w:t>
            </w:r>
          </w:p>
        </w:tc>
        <w:tc>
          <w:tcPr>
            <w:tcW w:w="104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9"/>
                <w:szCs w:val="9"/>
                <w:b w:val="1"/>
                <w:bCs w:val="1"/>
                <w:color w:val="auto"/>
                <w:w w:val="95"/>
              </w:rPr>
              <w:t xml:space="preserve">Development </w:t>
            </w:r>
            <w:r>
              <w:rPr>
                <w:rFonts w:ascii="Times New Roman" w:cs="Times New Roman" w:eastAsia="Times New Roman" w:hAnsi="Times New Roman"/>
                <w:sz w:val="13"/>
                <w:szCs w:val="13"/>
                <w:b w:val="1"/>
                <w:bCs w:val="1"/>
                <w:color w:val="auto"/>
                <w:w w:val="95"/>
                <w:vertAlign w:val="superscript"/>
              </w:rPr>
              <w:t>(2)</w:t>
            </w:r>
          </w:p>
        </w:tc>
        <w:tc>
          <w:tcPr>
            <w:tcW w:w="880" w:type="dxa"/>
            <w:vAlign w:val="bottom"/>
          </w:tcPr>
          <w:p>
            <w:pPr>
              <w:jc w:val="right"/>
              <w:ind w:right="116"/>
              <w:spacing w:after="0" w:line="114" w:lineRule="exact"/>
              <w:rPr>
                <w:sz w:val="20"/>
                <w:szCs w:val="20"/>
                <w:color w:val="auto"/>
              </w:rPr>
            </w:pPr>
            <w:r>
              <w:rPr>
                <w:rFonts w:ascii="Times New Roman" w:cs="Times New Roman" w:eastAsia="Times New Roman" w:hAnsi="Times New Roman"/>
                <w:sz w:val="9"/>
                <w:szCs w:val="9"/>
                <w:b w:val="1"/>
                <w:bCs w:val="1"/>
                <w:color w:val="auto"/>
              </w:rPr>
              <w:t xml:space="preserve">Development </w:t>
            </w:r>
            <w:r>
              <w:rPr>
                <w:rFonts w:ascii="Times New Roman" w:cs="Times New Roman" w:eastAsia="Times New Roman" w:hAnsi="Times New Roman"/>
                <w:sz w:val="13"/>
                <w:szCs w:val="13"/>
                <w:b w:val="1"/>
                <w:bCs w:val="1"/>
                <w:color w:val="auto"/>
                <w:vertAlign w:val="superscript"/>
              </w:rPr>
              <w:t>(3)</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9"/>
                <w:szCs w:val="9"/>
                <w:b w:val="1"/>
                <w:bCs w:val="1"/>
                <w:color w:val="auto"/>
                <w:w w:val="90"/>
              </w:rPr>
              <w:t xml:space="preserve">Rent </w:t>
            </w:r>
            <w:r>
              <w:rPr>
                <w:rFonts w:ascii="Times New Roman" w:cs="Times New Roman" w:eastAsia="Times New Roman" w:hAnsi="Times New Roman"/>
                <w:sz w:val="13"/>
                <w:szCs w:val="13"/>
                <w:b w:val="1"/>
                <w:bCs w:val="1"/>
                <w:color w:val="auto"/>
                <w:w w:val="90"/>
                <w:vertAlign w:val="superscript"/>
              </w:rPr>
              <w:t>(4)</w:t>
            </w:r>
          </w:p>
        </w:tc>
        <w:tc>
          <w:tcPr>
            <w:tcW w:w="860" w:type="dxa"/>
            <w:vAlign w:val="bottom"/>
          </w:tcPr>
          <w:p>
            <w:pPr>
              <w:jc w:val="right"/>
              <w:ind w:right="136"/>
              <w:spacing w:after="0" w:line="114" w:lineRule="exact"/>
              <w:rPr>
                <w:sz w:val="20"/>
                <w:szCs w:val="20"/>
                <w:color w:val="auto"/>
              </w:rPr>
            </w:pPr>
            <w:r>
              <w:rPr>
                <w:rFonts w:ascii="Times New Roman" w:cs="Times New Roman" w:eastAsia="Times New Roman" w:hAnsi="Times New Roman"/>
                <w:sz w:val="9"/>
                <w:szCs w:val="9"/>
                <w:b w:val="1"/>
                <w:bCs w:val="1"/>
                <w:color w:val="auto"/>
              </w:rPr>
              <w:t xml:space="preserve">Percentage </w:t>
            </w:r>
            <w:r>
              <w:rPr>
                <w:rFonts w:ascii="Times New Roman" w:cs="Times New Roman" w:eastAsia="Times New Roman" w:hAnsi="Times New Roman"/>
                <w:sz w:val="13"/>
                <w:szCs w:val="13"/>
                <w:b w:val="1"/>
                <w:bCs w:val="1"/>
                <w:color w:val="auto"/>
                <w:vertAlign w:val="superscript"/>
              </w:rPr>
              <w:t>(5)</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0" w:type="dxa"/>
            <w:vAlign w:val="bottom"/>
            <w:tcBorders>
              <w:top w:val="single" w:sz="8" w:color="auto"/>
            </w:tcBorders>
            <w:gridSpan w:val="2"/>
            <w:shd w:val="clear" w:color="auto" w:fill="CCEEFF"/>
          </w:tcPr>
          <w:p>
            <w:pPr>
              <w:spacing w:after="0" w:line="75" w:lineRule="exact"/>
              <w:rPr>
                <w:sz w:val="20"/>
                <w:szCs w:val="20"/>
                <w:color w:val="auto"/>
              </w:rPr>
            </w:pPr>
            <w:r>
              <w:rPr>
                <w:rFonts w:ascii="Times New Roman" w:cs="Times New Roman" w:eastAsia="Times New Roman" w:hAnsi="Times New Roman"/>
                <w:sz w:val="8"/>
                <w:szCs w:val="8"/>
                <w:b w:val="1"/>
                <w:bCs w:val="1"/>
                <w:color w:val="auto"/>
              </w:rPr>
              <w:t>Non-Managed Unconsolidated Joint Ventures</w:t>
            </w:r>
          </w:p>
        </w:tc>
        <w:tc>
          <w:tcPr>
            <w:tcW w:w="14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88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680" w:type="dxa"/>
            <w:vAlign w:val="bottom"/>
            <w:tcBorders>
              <w:top w:val="single" w:sz="8" w:color="auto"/>
            </w:tcBorders>
          </w:tcPr>
          <w:p>
            <w:pPr>
              <w:spacing w:after="0" w:line="85" w:lineRule="exact"/>
              <w:rPr>
                <w:sz w:val="20"/>
                <w:szCs w:val="20"/>
                <w:color w:val="auto"/>
              </w:rPr>
            </w:pPr>
            <w:r>
              <w:rPr>
                <w:rFonts w:ascii="Times New Roman" w:cs="Times New Roman" w:eastAsia="Times New Roman" w:hAnsi="Times New Roman"/>
                <w:sz w:val="9"/>
                <w:szCs w:val="9"/>
                <w:color w:val="auto"/>
              </w:rPr>
              <w:t>Sao Paulo, Brazil</w:t>
            </w:r>
          </w:p>
        </w:tc>
        <w:tc>
          <w:tcPr>
            <w:tcW w:w="520" w:type="dxa"/>
            <w:vAlign w:val="bottom"/>
            <w:tcBorders>
              <w:top w:val="single" w:sz="8" w:color="CCEEFF"/>
            </w:tcBorders>
          </w:tcPr>
          <w:p>
            <w:pPr>
              <w:spacing w:after="0"/>
              <w:rPr>
                <w:sz w:val="7"/>
                <w:szCs w:val="7"/>
                <w:color w:val="auto"/>
              </w:rPr>
            </w:pPr>
          </w:p>
        </w:tc>
        <w:tc>
          <w:tcPr>
            <w:tcW w:w="3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6"/>
                <w:szCs w:val="6"/>
                <w:color w:val="auto"/>
              </w:rPr>
              <w:t>(19)</w:t>
            </w:r>
          </w:p>
        </w:tc>
        <w:tc>
          <w:tcPr>
            <w:tcW w:w="860" w:type="dxa"/>
            <w:vAlign w:val="bottom"/>
            <w:tcBorders>
              <w:top w:val="single" w:sz="8" w:color="CCEEFF"/>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15</w:t>
            </w:r>
          </w:p>
        </w:tc>
        <w:tc>
          <w:tcPr>
            <w:tcW w:w="180" w:type="dxa"/>
            <w:vAlign w:val="bottom"/>
            <w:tcBorders>
              <w:top w:val="single" w:sz="8" w:color="CCEEFF"/>
            </w:tcBorders>
          </w:tcPr>
          <w:p>
            <w:pPr>
              <w:spacing w:after="0"/>
              <w:rPr>
                <w:sz w:val="7"/>
                <w:szCs w:val="7"/>
                <w:color w:val="auto"/>
              </w:rPr>
            </w:pPr>
          </w:p>
        </w:tc>
        <w:tc>
          <w:tcPr>
            <w:tcW w:w="880" w:type="dxa"/>
            <w:vAlign w:val="bottom"/>
            <w:tcBorders>
              <w:top w:val="single" w:sz="8" w:color="CCEEFF"/>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897,625</w:t>
            </w:r>
          </w:p>
        </w:tc>
        <w:tc>
          <w:tcPr>
            <w:tcW w:w="180" w:type="dxa"/>
            <w:vAlign w:val="bottom"/>
            <w:tcBorders>
              <w:top w:val="single" w:sz="8" w:color="CCEEFF"/>
            </w:tcBorders>
          </w:tcPr>
          <w:p>
            <w:pPr>
              <w:spacing w:after="0"/>
              <w:rPr>
                <w:sz w:val="7"/>
                <w:szCs w:val="7"/>
                <w:color w:val="auto"/>
              </w:rPr>
            </w:pPr>
          </w:p>
        </w:tc>
        <w:tc>
          <w:tcPr>
            <w:tcW w:w="860" w:type="dxa"/>
            <w:vAlign w:val="bottom"/>
            <w:tcBorders>
              <w:top w:val="single" w:sz="8" w:color="CCEEFF"/>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254,264</w:t>
            </w:r>
          </w:p>
        </w:tc>
        <w:tc>
          <w:tcPr>
            <w:tcW w:w="180" w:type="dxa"/>
            <w:vAlign w:val="bottom"/>
            <w:tcBorders>
              <w:top w:val="single" w:sz="8" w:color="CCEEFF"/>
            </w:tcBorders>
          </w:tcPr>
          <w:p>
            <w:pPr>
              <w:spacing w:after="0"/>
              <w:rPr>
                <w:sz w:val="7"/>
                <w:szCs w:val="7"/>
                <w:color w:val="auto"/>
              </w:rPr>
            </w:pPr>
          </w:p>
        </w:tc>
        <w:tc>
          <w:tcPr>
            <w:tcW w:w="880" w:type="dxa"/>
            <w:vAlign w:val="bottom"/>
            <w:tcBorders>
              <w:top w:val="single" w:sz="8" w:color="CCEEFF"/>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201,589</w:t>
            </w:r>
          </w:p>
        </w:tc>
        <w:tc>
          <w:tcPr>
            <w:tcW w:w="18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880" w:type="dxa"/>
            <w:vAlign w:val="bottom"/>
            <w:tcBorders>
              <w:top w:val="single" w:sz="8" w:color="CCEEFF"/>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119,500</w:t>
            </w:r>
          </w:p>
        </w:tc>
        <w:tc>
          <w:tcPr>
            <w:tcW w:w="180" w:type="dxa"/>
            <w:vAlign w:val="bottom"/>
            <w:tcBorders>
              <w:top w:val="single" w:sz="8" w:color="CCEEFF"/>
            </w:tcBorders>
          </w:tcPr>
          <w:p>
            <w:pPr>
              <w:spacing w:after="0"/>
              <w:rPr>
                <w:sz w:val="7"/>
                <w:szCs w:val="7"/>
                <w:color w:val="auto"/>
              </w:rPr>
            </w:pPr>
          </w:p>
        </w:tc>
        <w:tc>
          <w:tcPr>
            <w:tcW w:w="860" w:type="dxa"/>
            <w:vAlign w:val="bottom"/>
            <w:tcBorders>
              <w:top w:val="single" w:sz="8" w:color="CCEEFF"/>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97.9</w:t>
            </w:r>
          </w:p>
        </w:tc>
        <w:tc>
          <w:tcPr>
            <w:tcW w:w="140" w:type="dxa"/>
            <w:vAlign w:val="bottom"/>
            <w:tcBorders>
              <w:top w:val="single" w:sz="8" w:color="CCEEFF"/>
            </w:tcBorders>
            <w:gridSpan w:val="2"/>
          </w:tcPr>
          <w:p>
            <w:pPr>
              <w:jc w:val="right"/>
              <w:ind w:right="21"/>
              <w:spacing w:after="0" w:line="8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95"/>
        </w:trPr>
        <w:tc>
          <w:tcPr>
            <w:tcW w:w="2240" w:type="dxa"/>
            <w:vAlign w:val="bottom"/>
            <w:gridSpan w:val="4"/>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Tokyo, Japan</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6"/>
                <w:szCs w:val="6"/>
                <w:color w:val="auto"/>
              </w:rPr>
              <w:t>(15)</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892,667</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64,702</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87.8 %</w:t>
            </w:r>
          </w:p>
        </w:tc>
        <w:tc>
          <w:tcPr>
            <w:tcW w:w="0" w:type="dxa"/>
            <w:vAlign w:val="bottom"/>
          </w:tcPr>
          <w:p>
            <w:pPr>
              <w:spacing w:after="0"/>
              <w:rPr>
                <w:sz w:val="1"/>
                <w:szCs w:val="1"/>
                <w:color w:val="auto"/>
              </w:rPr>
            </w:pPr>
          </w:p>
        </w:tc>
      </w:tr>
      <w:tr>
        <w:trPr>
          <w:trHeight w:val="95"/>
        </w:trPr>
        <w:tc>
          <w:tcPr>
            <w:tcW w:w="2240" w:type="dxa"/>
            <w:vAlign w:val="bottom"/>
            <w:gridSpan w:val="4"/>
          </w:tcPr>
          <w:p>
            <w:pPr>
              <w:spacing w:after="0" w:line="95" w:lineRule="exact"/>
              <w:rPr>
                <w:sz w:val="20"/>
                <w:szCs w:val="20"/>
                <w:color w:val="auto"/>
              </w:rPr>
            </w:pPr>
            <w:r>
              <w:rPr>
                <w:rFonts w:ascii="Times New Roman" w:cs="Times New Roman" w:eastAsia="Times New Roman" w:hAnsi="Times New Roman"/>
                <w:sz w:val="9"/>
                <w:szCs w:val="9"/>
                <w:color w:val="auto"/>
              </w:rPr>
              <w:t>Osaka, Japan</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6"/>
                <w:szCs w:val="6"/>
                <w:color w:val="auto"/>
              </w:rPr>
              <w:t>(15)</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248,906</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52,306</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30,874</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45,273</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85.6</w:t>
            </w:r>
          </w:p>
        </w:tc>
        <w:tc>
          <w:tcPr>
            <w:tcW w:w="140" w:type="dxa"/>
            <w:vAlign w:val="bottom"/>
            <w:gridSpan w:val="2"/>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95"/>
        </w:trPr>
        <w:tc>
          <w:tcPr>
            <w:tcW w:w="2240" w:type="dxa"/>
            <w:vAlign w:val="bottom"/>
            <w:gridSpan w:val="4"/>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Fortaleza, Brazil</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6"/>
                <w:szCs w:val="6"/>
                <w:color w:val="auto"/>
              </w:rPr>
              <w:t>(19)</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94,205</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9,860</w:t>
            </w: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100.0</w:t>
            </w:r>
          </w:p>
        </w:tc>
        <w:tc>
          <w:tcPr>
            <w:tcW w:w="140" w:type="dxa"/>
            <w:vAlign w:val="bottom"/>
            <w:gridSpan w:val="2"/>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95"/>
        </w:trPr>
        <w:tc>
          <w:tcPr>
            <w:tcW w:w="2240" w:type="dxa"/>
            <w:vAlign w:val="bottom"/>
            <w:gridSpan w:val="4"/>
          </w:tcPr>
          <w:p>
            <w:pPr>
              <w:spacing w:after="0" w:line="95" w:lineRule="exact"/>
              <w:rPr>
                <w:sz w:val="20"/>
                <w:szCs w:val="20"/>
                <w:color w:val="auto"/>
              </w:rPr>
            </w:pPr>
            <w:r>
              <w:rPr>
                <w:rFonts w:ascii="Times New Roman" w:cs="Times New Roman" w:eastAsia="Times New Roman" w:hAnsi="Times New Roman"/>
                <w:sz w:val="9"/>
                <w:szCs w:val="9"/>
                <w:color w:val="auto"/>
              </w:rPr>
              <w:t>Rio De Janeiro, Brazil</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6"/>
                <w:szCs w:val="6"/>
                <w:color w:val="auto"/>
              </w:rPr>
              <w:t>(19)</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72,442</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26,781</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10,926</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100.0</w:t>
            </w:r>
          </w:p>
        </w:tc>
        <w:tc>
          <w:tcPr>
            <w:tcW w:w="140" w:type="dxa"/>
            <w:vAlign w:val="bottom"/>
            <w:gridSpan w:val="2"/>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95"/>
        </w:trPr>
        <w:tc>
          <w:tcPr>
            <w:tcW w:w="2240" w:type="dxa"/>
            <w:vAlign w:val="bottom"/>
            <w:gridSpan w:val="4"/>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Seattle</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51,000</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7,562</w:t>
            </w:r>
          </w:p>
        </w:tc>
        <w:tc>
          <w:tcPr>
            <w:tcW w:w="18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100.0 %</w:t>
            </w:r>
          </w:p>
        </w:tc>
        <w:tc>
          <w:tcPr>
            <w:tcW w:w="0" w:type="dxa"/>
            <w:vAlign w:val="bottom"/>
          </w:tcPr>
          <w:p>
            <w:pPr>
              <w:spacing w:after="0"/>
              <w:rPr>
                <w:sz w:val="1"/>
                <w:szCs w:val="1"/>
                <w:color w:val="auto"/>
              </w:rPr>
            </w:pPr>
          </w:p>
        </w:tc>
      </w:tr>
      <w:tr>
        <w:trPr>
          <w:trHeight w:val="95"/>
        </w:trPr>
        <w:tc>
          <w:tcPr>
            <w:tcW w:w="2240" w:type="dxa"/>
            <w:vAlign w:val="bottom"/>
            <w:gridSpan w:val="4"/>
          </w:tcPr>
          <w:p>
            <w:pPr>
              <w:spacing w:after="0" w:line="95" w:lineRule="exact"/>
              <w:rPr>
                <w:sz w:val="20"/>
                <w:szCs w:val="20"/>
                <w:color w:val="auto"/>
              </w:rPr>
            </w:pPr>
            <w:r>
              <w:rPr>
                <w:rFonts w:ascii="Times New Roman" w:cs="Times New Roman" w:eastAsia="Times New Roman" w:hAnsi="Times New Roman"/>
                <w:sz w:val="9"/>
                <w:szCs w:val="9"/>
                <w:color w:val="auto"/>
              </w:rPr>
              <w:t>Queretaro, Mexico</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180" w:type="dxa"/>
            <w:vAlign w:val="bottom"/>
          </w:tcPr>
          <w:p>
            <w:pPr>
              <w:spacing w:after="0"/>
              <w:rPr>
                <w:sz w:val="8"/>
                <w:szCs w:val="8"/>
                <w:color w:val="auto"/>
              </w:rPr>
            </w:pPr>
          </w:p>
        </w:tc>
        <w:tc>
          <w:tcPr>
            <w:tcW w:w="106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108,178</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376,202</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3"/>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rPr>
              <w:t>—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Santiago, Chile</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6"/>
                <w:szCs w:val="6"/>
                <w:color w:val="auto"/>
              </w:rPr>
              <w:t>(20)</w:t>
            </w: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67,340</w:t>
            </w: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45,209</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180,835</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6,709</w:t>
            </w: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68.7</w:t>
            </w:r>
          </w:p>
        </w:tc>
        <w:tc>
          <w:tcPr>
            <w:tcW w:w="140" w:type="dxa"/>
            <w:vAlign w:val="bottom"/>
            <w:gridSpan w:val="2"/>
            <w:shd w:val="clear" w:color="auto" w:fill="CCEEFF"/>
          </w:tcPr>
          <w:p>
            <w:pPr>
              <w:jc w:val="right"/>
              <w:ind w:right="21"/>
              <w:spacing w:after="0" w:line="95"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27</w:t>
            </w:r>
          </w:p>
        </w:tc>
        <w:tc>
          <w:tcPr>
            <w:tcW w:w="180" w:type="dxa"/>
            <w:vAlign w:val="bottom"/>
          </w:tcPr>
          <w:p>
            <w:pPr>
              <w:spacing w:after="0"/>
              <w:rPr>
                <w:sz w:val="7"/>
                <w:szCs w:val="7"/>
                <w:color w:val="auto"/>
              </w:rPr>
            </w:pPr>
          </w:p>
        </w:tc>
        <w:tc>
          <w:tcPr>
            <w:tcW w:w="8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2,324,185</w:t>
            </w:r>
          </w:p>
        </w:tc>
        <w:tc>
          <w:tcPr>
            <w:tcW w:w="180" w:type="dxa"/>
            <w:vAlign w:val="bottom"/>
          </w:tcPr>
          <w:p>
            <w:pPr>
              <w:spacing w:after="0"/>
              <w:rPr>
                <w:sz w:val="7"/>
                <w:szCs w:val="7"/>
                <w:color w:val="auto"/>
              </w:rPr>
            </w:pPr>
          </w:p>
        </w:tc>
        <w:tc>
          <w:tcPr>
            <w:tcW w:w="86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486,738</w:t>
            </w:r>
          </w:p>
        </w:tc>
        <w:tc>
          <w:tcPr>
            <w:tcW w:w="180" w:type="dxa"/>
            <w:vAlign w:val="bottom"/>
          </w:tcPr>
          <w:p>
            <w:pPr>
              <w:spacing w:after="0"/>
              <w:rPr>
                <w:sz w:val="7"/>
                <w:szCs w:val="7"/>
                <w:color w:val="auto"/>
              </w:rPr>
            </w:pPr>
          </w:p>
        </w:tc>
        <w:tc>
          <w:tcPr>
            <w:tcW w:w="8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789,500</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264,533</w:t>
            </w:r>
          </w:p>
        </w:tc>
        <w:tc>
          <w:tcPr>
            <w:tcW w:w="180" w:type="dxa"/>
            <w:vAlign w:val="bottom"/>
          </w:tcPr>
          <w:p>
            <w:pPr>
              <w:spacing w:after="0"/>
              <w:rPr>
                <w:sz w:val="7"/>
                <w:szCs w:val="7"/>
                <w:color w:val="auto"/>
              </w:rPr>
            </w:pPr>
          </w:p>
        </w:tc>
        <w:tc>
          <w:tcPr>
            <w:tcW w:w="86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92.1</w:t>
            </w:r>
          </w:p>
        </w:tc>
        <w:tc>
          <w:tcPr>
            <w:tcW w:w="20" w:type="dxa"/>
            <w:vAlign w:val="bottom"/>
            <w:tcBorders>
              <w:top w:val="single" w:sz="8" w:color="auto"/>
            </w:tcBorders>
          </w:tcPr>
          <w:p>
            <w:pPr>
              <w:spacing w:after="0"/>
              <w:rPr>
                <w:sz w:val="7"/>
                <w:szCs w:val="7"/>
                <w:color w:val="auto"/>
              </w:rPr>
            </w:pPr>
          </w:p>
        </w:tc>
        <w:tc>
          <w:tcPr>
            <w:tcW w:w="120" w:type="dxa"/>
            <w:vAlign w:val="bottom"/>
          </w:tcPr>
          <w:p>
            <w:pPr>
              <w:jc w:val="right"/>
              <w:ind w:right="1"/>
              <w:spacing w:after="0" w:line="85" w:lineRule="exact"/>
              <w:rPr>
                <w:sz w:val="20"/>
                <w:szCs w:val="20"/>
                <w:color w:val="auto"/>
              </w:rPr>
            </w:pPr>
            <w:r>
              <w:rPr>
                <w:rFonts w:ascii="Times New Roman" w:cs="Times New Roman" w:eastAsia="Times New Roman" w:hAnsi="Times New Roman"/>
                <w:sz w:val="8"/>
                <w:szCs w:val="8"/>
                <w:b w:val="1"/>
                <w:bCs w:val="1"/>
                <w:color w:val="auto"/>
                <w:w w:val="74"/>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22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b w:val="1"/>
                <w:bCs w:val="1"/>
                <w:color w:val="auto"/>
              </w:rPr>
              <w:t>Total</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291</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35,876,316</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5,391,969</w:t>
            </w:r>
          </w:p>
        </w:tc>
        <w:tc>
          <w:tcPr>
            <w:tcW w:w="180" w:type="dxa"/>
            <w:vAlign w:val="bottom"/>
          </w:tcPr>
          <w:p>
            <w:pPr>
              <w:spacing w:after="0"/>
              <w:rPr>
                <w:sz w:val="8"/>
                <w:szCs w:val="8"/>
                <w:color w:val="auto"/>
              </w:rPr>
            </w:pP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2,290,810</w:t>
            </w:r>
          </w:p>
        </w:tc>
        <w:tc>
          <w:tcPr>
            <w:tcW w:w="28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8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3,392,956</w:t>
            </w:r>
          </w:p>
        </w:tc>
        <w:tc>
          <w:tcPr>
            <w:tcW w:w="18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86.3</w:t>
            </w:r>
          </w:p>
        </w:tc>
        <w:tc>
          <w:tcPr>
            <w:tcW w:w="140" w:type="dxa"/>
            <w:vAlign w:val="bottom"/>
            <w:gridSpan w:val="2"/>
          </w:tcPr>
          <w:p>
            <w:pPr>
              <w:jc w:val="right"/>
              <w:ind w:right="1"/>
              <w:spacing w:after="0" w:line="95" w:lineRule="exact"/>
              <w:rPr>
                <w:sz w:val="20"/>
                <w:szCs w:val="20"/>
                <w:color w:val="auto"/>
              </w:rPr>
            </w:pPr>
            <w:r>
              <w:rPr>
                <w:rFonts w:ascii="Times New Roman" w:cs="Times New Roman" w:eastAsia="Times New Roman" w:hAnsi="Times New Roman"/>
                <w:sz w:val="9"/>
                <w:szCs w:val="9"/>
                <w:b w:val="1"/>
                <w:bCs w:val="1"/>
                <w:color w:val="auto"/>
                <w:w w:val="88"/>
              </w:rPr>
              <w:t>%</w:t>
            </w:r>
          </w:p>
        </w:tc>
        <w:tc>
          <w:tcPr>
            <w:tcW w:w="0" w:type="dxa"/>
            <w:vAlign w:val="bottom"/>
          </w:tcPr>
          <w:p>
            <w:pPr>
              <w:spacing w:after="0"/>
              <w:rPr>
                <w:sz w:val="1"/>
                <w:szCs w:val="1"/>
                <w:color w:val="auto"/>
              </w:rPr>
            </w:pPr>
          </w:p>
        </w:tc>
      </w:tr>
      <w:tr>
        <w:trPr>
          <w:trHeight w:val="76"/>
        </w:trPr>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60" w:right="59" w:hanging="235"/>
        <w:spacing w:after="0" w:line="249" w:lineRule="auto"/>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rentable square feet at a building represents the current square feet at that building under lease as specified in the lease agreements plus management’s estimate of space available for lease. We estimate the total net rentable square feet available for lease based on a number of factors in addition to contractually leased square feet, including available power, required support space and common area. Net rentable square feet includes tenants’ proportional share of common areas but excludes space held for development.</w:t>
      </w: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Space under active development includes current base building and data center projects in progress.</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Space held for development includes space held for future data center development, and excludes space under active development.</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Annualized rent represents the monthly contractual rent (defined as cash base rent before abatements) under existing leases as of December 31, 2020 multiplied by 12.</w:t>
      </w:r>
    </w:p>
    <w:p>
      <w:pPr>
        <w:spacing w:after="0" w:line="2" w:lineRule="exact"/>
        <w:rPr>
          <w:rFonts w:ascii="Times New Roman" w:cs="Times New Roman" w:eastAsia="Times New Roman" w:hAnsi="Times New Roman"/>
          <w:sz w:val="13"/>
          <w:szCs w:val="13"/>
          <w:color w:val="auto"/>
        </w:rPr>
      </w:pPr>
    </w:p>
    <w:p>
      <w:pPr>
        <w:ind w:left="260" w:right="139" w:hanging="235"/>
        <w:spacing w:after="0" w:line="243" w:lineRule="auto"/>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space held for development and space under active development. We estimate the total square feet available for lease based on a number of factors in addition to contractually leased square feet, including available power, required support space and common area.</w:t>
      </w:r>
    </w:p>
    <w:p>
      <w:pPr>
        <w:spacing w:after="0" w:line="1"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amounts were calculated based on the exchange rate in effect on December 31, 2020 of $0.79 to 1.00 CAD.</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amounts were calculated based on the exchange rate in effect on December 31, 2020 of $1.37 to £1.00.</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amounts were calculated based on the exchange rate in effect on December 31, 2020 of $1.22 to €1.00.</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amounts were calculated based on the exchange rate in effect on December 31, 2020 of $1.13 to 1.00 Swiss francs.</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amounts were calculated based on the exchange rate in effect on December 31, 2020 of $0.12 to 1.00 Swedish krone.</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amounts were calculated based on the exchange rate in effect on December 31, 2020 of $0.16 to 1.00 Danish krone.</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amounts were calculated based on the exchange rate in effect on December 31, 2020 of $0.16 to 1.00 Croatian kuna.</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amounts were calculated based on the exchange rate in effect on December 31, 2020 of $0.76 to 1.00 SGD.</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amounts were calculated based on the exchange rate in effect on December 31, 2020 of $0.77 to 1.00 AUD.</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amounts were calculated based on the exchange rate in effect on December 31, 2020 of $0.01 to 1.00 JPY.</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amounts were calculated based on the exchange rate in effect on December 31, 2020 of $0.001 to 1.00 South Korean won.</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amounts were calculated based on the exchange rate in effect on December 31, 2020 of $0.13 to 1.00 HKD.</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amounts were calculated based on the exchange rate in effect on December 31, 2020 of $0.01 to 1.00 Kenyan shilling.</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amounts were calculated based on the exchange rate in effect on December 31, 2020 of $0.25 to 1.00 BRL.</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amounts were calculated based on the exchange rate in effect on December 31, 2020 of $0.001 to 1.00 Chilean peso.</w:t>
      </w:r>
    </w:p>
    <w:p>
      <w:pPr>
        <w:spacing w:after="0" w:line="141" w:lineRule="exact"/>
        <w:rPr>
          <w:sz w:val="20"/>
          <w:szCs w:val="20"/>
          <w:color w:val="auto"/>
        </w:rPr>
      </w:pPr>
    </w:p>
    <w:p>
      <w:pPr>
        <w:ind w:left="20" w:right="119" w:firstLine="228"/>
        <w:spacing w:after="0" w:line="252" w:lineRule="auto"/>
        <w:rPr>
          <w:sz w:val="20"/>
          <w:szCs w:val="20"/>
          <w:color w:val="auto"/>
        </w:rPr>
      </w:pPr>
      <w:r>
        <w:rPr>
          <w:rFonts w:ascii="Times New Roman" w:cs="Times New Roman" w:eastAsia="Times New Roman" w:hAnsi="Times New Roman"/>
          <w:sz w:val="13"/>
          <w:szCs w:val="13"/>
          <w:color w:val="auto"/>
        </w:rPr>
        <w:t>We lease space at certain of our data centers from third parties and certain equipment under noncancelable lease agreements. Leases for our data centers expire at various dates through 2065. As of December 31, 2020, certain of our data centers, primarily in Europe and Singapore, are subject to ground leases. As of December 31, 2020, the termination dates of these ground leases range from 2041 to 2981. In addition, our corporate headquarters along with several regional office locations are subject to leases with termination dates ranging from 2021 to 2028.</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5" w:name="page56"/>
    <w:bookmarkEnd w:id="5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Customer Diversification</w:t>
      </w:r>
    </w:p>
    <w:p>
      <w:pPr>
        <w:spacing w:after="0" w:line="156" w:lineRule="exact"/>
        <w:rPr>
          <w:sz w:val="20"/>
          <w:szCs w:val="20"/>
          <w:color w:val="auto"/>
        </w:rPr>
      </w:pPr>
    </w:p>
    <w:p>
      <w:pPr>
        <w:ind w:left="20" w:right="79" w:firstLine="228"/>
        <w:spacing w:after="0" w:line="268" w:lineRule="auto"/>
        <w:rPr>
          <w:sz w:val="20"/>
          <w:szCs w:val="20"/>
          <w:color w:val="auto"/>
        </w:rPr>
      </w:pPr>
      <w:r>
        <w:rPr>
          <w:rFonts w:ascii="Times New Roman" w:cs="Times New Roman" w:eastAsia="Times New Roman" w:hAnsi="Times New Roman"/>
          <w:sz w:val="13"/>
          <w:szCs w:val="13"/>
          <w:color w:val="auto"/>
        </w:rPr>
        <w:t>As of December 31, 2020, our portfolio was leased to over 4,000 customers, many of which are internationally recognized firms. The following table sets forth information regarding the 20 largest customers in our portfolio based on annualized recurring revenue as of December 31, 2020 (dollar amounts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Weighted</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Average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restart"/>
          </w:tcPr>
          <w:p>
            <w:pPr>
              <w:jc w:val="center"/>
              <w:ind w:left="209"/>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Annualized</w:t>
            </w:r>
          </w:p>
        </w:tc>
        <w:tc>
          <w:tcPr>
            <w:tcW w:w="1320" w:type="dxa"/>
            <w:vAlign w:val="bottom"/>
            <w:gridSpan w:val="2"/>
            <w:vMerge w:val="restart"/>
          </w:tcPr>
          <w:p>
            <w:pPr>
              <w:jc w:val="center"/>
              <w:ind w:right="189"/>
              <w:spacing w:after="0"/>
              <w:rPr>
                <w:sz w:val="20"/>
                <w:szCs w:val="20"/>
                <w:color w:val="auto"/>
              </w:rPr>
            </w:pPr>
            <w:r>
              <w:rPr>
                <w:rFonts w:ascii="Times New Roman" w:cs="Times New Roman" w:eastAsia="Times New Roman" w:hAnsi="Times New Roman"/>
                <w:sz w:val="10"/>
                <w:szCs w:val="10"/>
                <w:b w:val="1"/>
                <w:bCs w:val="1"/>
                <w:color w:val="auto"/>
                <w:w w:val="99"/>
              </w:rPr>
              <w:t>% of Annualized</w:t>
            </w:r>
          </w:p>
        </w:tc>
        <w:tc>
          <w:tcPr>
            <w:tcW w:w="102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Remaining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2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7"/>
              </w:rPr>
              <w:t>Lease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ind w:left="169"/>
              <w:spacing w:after="0" w:line="104"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tcPr>
          <w:p>
            <w:pPr>
              <w:jc w:val="center"/>
              <w:ind w:right="400"/>
              <w:spacing w:after="0" w:line="104" w:lineRule="exact"/>
              <w:rPr>
                <w:sz w:val="20"/>
                <w:szCs w:val="20"/>
                <w:color w:val="auto"/>
              </w:rPr>
            </w:pPr>
            <w:r>
              <w:rPr>
                <w:rFonts w:ascii="Times New Roman" w:cs="Times New Roman" w:eastAsia="Times New Roman" w:hAnsi="Times New Roman"/>
                <w:sz w:val="10"/>
                <w:szCs w:val="10"/>
                <w:b w:val="1"/>
                <w:bCs w:val="1"/>
                <w:color w:val="auto"/>
              </w:rPr>
              <w:t>Recurring</w:t>
            </w:r>
          </w:p>
        </w:tc>
        <w:tc>
          <w:tcPr>
            <w:tcW w:w="1320" w:type="dxa"/>
            <w:vAlign w:val="bottom"/>
            <w:gridSpan w:val="2"/>
          </w:tcPr>
          <w:p>
            <w:pPr>
              <w:jc w:val="center"/>
              <w:ind w:right="189"/>
              <w:spacing w:after="0" w:line="104" w:lineRule="exact"/>
              <w:rPr>
                <w:sz w:val="20"/>
                <w:szCs w:val="20"/>
                <w:color w:val="auto"/>
              </w:rPr>
            </w:pPr>
            <w:r>
              <w:rPr>
                <w:rFonts w:ascii="Times New Roman" w:cs="Times New Roman" w:eastAsia="Times New Roman" w:hAnsi="Times New Roman"/>
                <w:sz w:val="10"/>
                <w:szCs w:val="10"/>
                <w:b w:val="1"/>
                <w:bCs w:val="1"/>
                <w:color w:val="auto"/>
              </w:rPr>
              <w:t>Recurring</w:t>
            </w:r>
          </w:p>
        </w:tc>
        <w:tc>
          <w:tcPr>
            <w:tcW w:w="102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7"/>
              </w:rPr>
              <w:t>Term in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80" w:type="dxa"/>
            <w:vAlign w:val="bottom"/>
            <w:gridSpan w:val="3"/>
          </w:tcPr>
          <w:p>
            <w:pPr>
              <w:ind w:left="1480"/>
              <w:spacing w:after="0"/>
              <w:rPr>
                <w:sz w:val="20"/>
                <w:szCs w:val="20"/>
                <w:color w:val="auto"/>
              </w:rPr>
            </w:pPr>
            <w:r>
              <w:rPr>
                <w:rFonts w:ascii="Times New Roman" w:cs="Times New Roman" w:eastAsia="Times New Roman" w:hAnsi="Times New Roman"/>
                <w:sz w:val="10"/>
                <w:szCs w:val="10"/>
                <w:b w:val="1"/>
                <w:bCs w:val="1"/>
                <w:color w:val="auto"/>
              </w:rPr>
              <w:t>Tenant</w:t>
            </w:r>
          </w:p>
        </w:tc>
        <w:tc>
          <w:tcPr>
            <w:tcW w:w="780" w:type="dxa"/>
            <w:vAlign w:val="bottom"/>
          </w:tcPr>
          <w:p>
            <w:pPr>
              <w:jc w:val="center"/>
              <w:ind w:left="189"/>
              <w:spacing w:after="0"/>
              <w:rPr>
                <w:sz w:val="20"/>
                <w:szCs w:val="20"/>
                <w:color w:val="auto"/>
              </w:rPr>
            </w:pPr>
            <w:r>
              <w:rPr>
                <w:rFonts w:ascii="Times New Roman" w:cs="Times New Roman" w:eastAsia="Times New Roman" w:hAnsi="Times New Roman"/>
                <w:sz w:val="10"/>
                <w:szCs w:val="10"/>
                <w:b w:val="1"/>
                <w:bCs w:val="1"/>
                <w:color w:val="auto"/>
              </w:rPr>
              <w:t>Locations</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Revenue (1)</w:t>
            </w:r>
          </w:p>
        </w:tc>
        <w:tc>
          <w:tcPr>
            <w:tcW w:w="1320" w:type="dxa"/>
            <w:vAlign w:val="bottom"/>
            <w:gridSpan w:val="2"/>
          </w:tcPr>
          <w:p>
            <w:pPr>
              <w:jc w:val="center"/>
              <w:ind w:right="189"/>
              <w:spacing w:after="0"/>
              <w:rPr>
                <w:sz w:val="20"/>
                <w:szCs w:val="20"/>
                <w:color w:val="auto"/>
              </w:rPr>
            </w:pPr>
            <w:r>
              <w:rPr>
                <w:rFonts w:ascii="Times New Roman" w:cs="Times New Roman" w:eastAsia="Times New Roman" w:hAnsi="Times New Roman"/>
                <w:sz w:val="10"/>
                <w:szCs w:val="10"/>
                <w:b w:val="1"/>
                <w:bCs w:val="1"/>
                <w:color w:val="auto"/>
                <w:w w:val="98"/>
              </w:rPr>
              <w:t>Revenue</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Years</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0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1</w:t>
            </w:r>
          </w:p>
        </w:tc>
        <w:tc>
          <w:tcPr>
            <w:tcW w:w="200" w:type="dxa"/>
            <w:vAlign w:val="bottom"/>
            <w:tcBorders>
              <w:top w:val="single" w:sz="8" w:color="CCEEFF"/>
            </w:tcBorders>
            <w:shd w:val="clear" w:color="auto" w:fill="CCEEFF"/>
          </w:tcPr>
          <w:p>
            <w:pPr>
              <w:spacing w:after="0"/>
              <w:rPr>
                <w:sz w:val="8"/>
                <w:szCs w:val="8"/>
                <w:color w:val="auto"/>
              </w:rPr>
            </w:pPr>
          </w:p>
        </w:tc>
        <w:tc>
          <w:tcPr>
            <w:tcW w:w="3280" w:type="dxa"/>
            <w:vAlign w:val="bottom"/>
            <w:tcBorders>
              <w:top w:val="single" w:sz="8" w:color="auto"/>
            </w:tcBorders>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Fortune 50 Software Company</w:t>
            </w:r>
          </w:p>
        </w:tc>
        <w:tc>
          <w:tcPr>
            <w:tcW w:w="2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53</w:t>
            </w:r>
          </w:p>
        </w:tc>
        <w:tc>
          <w:tcPr>
            <w:tcW w:w="2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828282"/>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top w:val="single" w:sz="8" w:color="828282"/>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321,760</w:t>
            </w:r>
          </w:p>
        </w:tc>
        <w:tc>
          <w:tcPr>
            <w:tcW w:w="22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9.5</w:t>
            </w:r>
          </w:p>
        </w:tc>
        <w:tc>
          <w:tcPr>
            <w:tcW w:w="220" w:type="dxa"/>
            <w:vAlign w:val="bottom"/>
            <w:tcBorders>
              <w:top w:val="single" w:sz="8" w:color="CCEEFF"/>
            </w:tcBorders>
            <w:shd w:val="clear" w:color="auto" w:fill="CCEEFF"/>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w w:val="71"/>
              </w:rPr>
              <w:t>%</w:t>
            </w:r>
          </w:p>
        </w:tc>
        <w:tc>
          <w:tcPr>
            <w:tcW w:w="102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8.9</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2</w:t>
            </w:r>
          </w:p>
        </w:tc>
        <w:tc>
          <w:tcPr>
            <w:tcW w:w="3680" w:type="dxa"/>
            <w:vAlign w:val="bottom"/>
            <w:gridSpan w:val="4"/>
          </w:tcPr>
          <w:p>
            <w:pPr>
              <w:ind w:left="200"/>
              <w:spacing w:after="0" w:line="104" w:lineRule="exact"/>
              <w:rPr>
                <w:sz w:val="20"/>
                <w:szCs w:val="20"/>
                <w:color w:val="auto"/>
              </w:rPr>
            </w:pPr>
            <w:r>
              <w:rPr>
                <w:rFonts w:ascii="Times New Roman" w:cs="Times New Roman" w:eastAsia="Times New Roman" w:hAnsi="Times New Roman"/>
                <w:sz w:val="10"/>
                <w:szCs w:val="10"/>
                <w:color w:val="auto"/>
              </w:rPr>
              <w:t>IBM</w:t>
            </w:r>
          </w:p>
        </w:tc>
        <w:tc>
          <w:tcPr>
            <w:tcW w:w="780" w:type="dxa"/>
            <w:vAlign w:val="bottom"/>
          </w:tcPr>
          <w:p>
            <w:pPr>
              <w:spacing w:after="0"/>
              <w:rPr>
                <w:sz w:val="9"/>
                <w:szCs w:val="9"/>
                <w:color w:val="auto"/>
              </w:rPr>
            </w:pPr>
          </w:p>
        </w:tc>
        <w:tc>
          <w:tcPr>
            <w:tcW w:w="24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40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159,995</w:t>
            </w:r>
          </w:p>
        </w:tc>
        <w:tc>
          <w:tcPr>
            <w:tcW w:w="220" w:type="dxa"/>
            <w:vAlign w:val="bottom"/>
          </w:tcPr>
          <w:p>
            <w:pPr>
              <w:spacing w:after="0"/>
              <w:rPr>
                <w:sz w:val="9"/>
                <w:szCs w:val="9"/>
                <w:color w:val="auto"/>
              </w:rPr>
            </w:pPr>
          </w:p>
        </w:tc>
        <w:tc>
          <w:tcPr>
            <w:tcW w:w="1320" w:type="dxa"/>
            <w:vAlign w:val="bottom"/>
            <w:gridSpan w:val="2"/>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4.7 %</w:t>
            </w:r>
          </w:p>
        </w:tc>
        <w:tc>
          <w:tcPr>
            <w:tcW w:w="10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3</w:t>
            </w:r>
          </w:p>
        </w:tc>
        <w:tc>
          <w:tcPr>
            <w:tcW w:w="3680" w:type="dxa"/>
            <w:vAlign w:val="bottom"/>
            <w:gridSpan w:val="4"/>
            <w:shd w:val="clear" w:color="auto" w:fill="CCEEFF"/>
          </w:tcPr>
          <w:p>
            <w:pPr>
              <w:ind w:left="200"/>
              <w:spacing w:after="0" w:line="104" w:lineRule="exact"/>
              <w:rPr>
                <w:sz w:val="20"/>
                <w:szCs w:val="20"/>
                <w:color w:val="auto"/>
              </w:rPr>
            </w:pPr>
            <w:r>
              <w:rPr>
                <w:rFonts w:ascii="Times New Roman" w:cs="Times New Roman" w:eastAsia="Times New Roman" w:hAnsi="Times New Roman"/>
                <w:sz w:val="10"/>
                <w:szCs w:val="10"/>
                <w:color w:val="auto"/>
              </w:rPr>
              <w:t>Facebook, Inc.</w:t>
            </w: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36</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146,031</w:t>
            </w:r>
          </w:p>
        </w:tc>
        <w:tc>
          <w:tcPr>
            <w:tcW w:w="220" w:type="dxa"/>
            <w:vAlign w:val="bottom"/>
            <w:shd w:val="clear" w:color="auto" w:fill="CCEEFF"/>
          </w:tcPr>
          <w:p>
            <w:pPr>
              <w:spacing w:after="0"/>
              <w:rPr>
                <w:sz w:val="9"/>
                <w:szCs w:val="9"/>
                <w:color w:val="auto"/>
              </w:rPr>
            </w:pPr>
          </w:p>
        </w:tc>
        <w:tc>
          <w:tcPr>
            <w:tcW w:w="1320" w:type="dxa"/>
            <w:vAlign w:val="bottom"/>
            <w:gridSpan w:val="2"/>
            <w:shd w:val="clear" w:color="auto" w:fill="CCEEFF"/>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4.3 %</w:t>
            </w:r>
          </w:p>
        </w:tc>
        <w:tc>
          <w:tcPr>
            <w:tcW w:w="10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4.0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4</w:t>
            </w:r>
          </w:p>
        </w:tc>
        <w:tc>
          <w:tcPr>
            <w:tcW w:w="3680" w:type="dxa"/>
            <w:vAlign w:val="bottom"/>
            <w:gridSpan w:val="4"/>
          </w:tcPr>
          <w:p>
            <w:pPr>
              <w:ind w:left="200"/>
              <w:spacing w:after="0" w:line="104" w:lineRule="exact"/>
              <w:rPr>
                <w:sz w:val="20"/>
                <w:szCs w:val="20"/>
                <w:color w:val="auto"/>
              </w:rPr>
            </w:pPr>
            <w:r>
              <w:rPr>
                <w:rFonts w:ascii="Times New Roman" w:cs="Times New Roman" w:eastAsia="Times New Roman" w:hAnsi="Times New Roman"/>
                <w:sz w:val="10"/>
                <w:szCs w:val="10"/>
                <w:color w:val="auto"/>
              </w:rPr>
              <w:t>Oracle America, Inc.</w:t>
            </w:r>
          </w:p>
        </w:tc>
        <w:tc>
          <w:tcPr>
            <w:tcW w:w="780" w:type="dxa"/>
            <w:vAlign w:val="bottom"/>
          </w:tcPr>
          <w:p>
            <w:pPr>
              <w:spacing w:after="0"/>
              <w:rPr>
                <w:sz w:val="9"/>
                <w:szCs w:val="9"/>
                <w:color w:val="auto"/>
              </w:rPr>
            </w:pPr>
          </w:p>
        </w:tc>
        <w:tc>
          <w:tcPr>
            <w:tcW w:w="24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29</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96,751</w:t>
            </w:r>
          </w:p>
        </w:tc>
        <w:tc>
          <w:tcPr>
            <w:tcW w:w="220" w:type="dxa"/>
            <w:vAlign w:val="bottom"/>
          </w:tcPr>
          <w:p>
            <w:pPr>
              <w:spacing w:after="0"/>
              <w:rPr>
                <w:sz w:val="9"/>
                <w:szCs w:val="9"/>
                <w:color w:val="auto"/>
              </w:rPr>
            </w:pPr>
          </w:p>
        </w:tc>
        <w:tc>
          <w:tcPr>
            <w:tcW w:w="1320" w:type="dxa"/>
            <w:vAlign w:val="bottom"/>
            <w:gridSpan w:val="2"/>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2.9 %</w:t>
            </w:r>
          </w:p>
        </w:tc>
        <w:tc>
          <w:tcPr>
            <w:tcW w:w="10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2.4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5</w:t>
            </w:r>
          </w:p>
        </w:tc>
        <w:tc>
          <w:tcPr>
            <w:tcW w:w="3680" w:type="dxa"/>
            <w:vAlign w:val="bottom"/>
            <w:gridSpan w:val="4"/>
            <w:shd w:val="clear" w:color="auto" w:fill="CCEEFF"/>
          </w:tcPr>
          <w:p>
            <w:pPr>
              <w:ind w:left="200"/>
              <w:spacing w:after="0" w:line="104" w:lineRule="exact"/>
              <w:rPr>
                <w:sz w:val="20"/>
                <w:szCs w:val="20"/>
                <w:color w:val="auto"/>
              </w:rPr>
            </w:pPr>
            <w:r>
              <w:rPr>
                <w:rFonts w:ascii="Times New Roman" w:cs="Times New Roman" w:eastAsia="Times New Roman" w:hAnsi="Times New Roman"/>
                <w:sz w:val="10"/>
                <w:szCs w:val="10"/>
                <w:color w:val="auto"/>
              </w:rPr>
              <w:t>Equinix</w:t>
            </w: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26</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94,329</w:t>
            </w:r>
          </w:p>
        </w:tc>
        <w:tc>
          <w:tcPr>
            <w:tcW w:w="220" w:type="dxa"/>
            <w:vAlign w:val="bottom"/>
            <w:shd w:val="clear" w:color="auto" w:fill="CCEEFF"/>
          </w:tcPr>
          <w:p>
            <w:pPr>
              <w:spacing w:after="0"/>
              <w:rPr>
                <w:sz w:val="9"/>
                <w:szCs w:val="9"/>
                <w:color w:val="auto"/>
              </w:rPr>
            </w:pPr>
          </w:p>
        </w:tc>
        <w:tc>
          <w:tcPr>
            <w:tcW w:w="1320" w:type="dxa"/>
            <w:vAlign w:val="bottom"/>
            <w:gridSpan w:val="2"/>
            <w:shd w:val="clear" w:color="auto" w:fill="CCEEFF"/>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2.8 %</w:t>
            </w:r>
          </w:p>
        </w:tc>
        <w:tc>
          <w:tcPr>
            <w:tcW w:w="10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8.4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6</w:t>
            </w:r>
          </w:p>
        </w:tc>
        <w:tc>
          <w:tcPr>
            <w:tcW w:w="3680" w:type="dxa"/>
            <w:vAlign w:val="bottom"/>
            <w:gridSpan w:val="4"/>
          </w:tcPr>
          <w:p>
            <w:pPr>
              <w:ind w:left="200"/>
              <w:spacing w:after="0" w:line="104" w:lineRule="exact"/>
              <w:rPr>
                <w:sz w:val="20"/>
                <w:szCs w:val="20"/>
                <w:color w:val="auto"/>
              </w:rPr>
            </w:pPr>
            <w:r>
              <w:rPr>
                <w:rFonts w:ascii="Times New Roman" w:cs="Times New Roman" w:eastAsia="Times New Roman" w:hAnsi="Times New Roman"/>
                <w:sz w:val="10"/>
                <w:szCs w:val="10"/>
                <w:color w:val="auto"/>
              </w:rPr>
              <w:t>Fortune 25 Investment Grade-Rated Company</w:t>
            </w:r>
          </w:p>
        </w:tc>
        <w:tc>
          <w:tcPr>
            <w:tcW w:w="780" w:type="dxa"/>
            <w:vAlign w:val="bottom"/>
          </w:tcPr>
          <w:p>
            <w:pPr>
              <w:spacing w:after="0"/>
              <w:rPr>
                <w:sz w:val="9"/>
                <w:szCs w:val="9"/>
                <w:color w:val="auto"/>
              </w:rPr>
            </w:pPr>
          </w:p>
        </w:tc>
        <w:tc>
          <w:tcPr>
            <w:tcW w:w="24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25</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83,744</w:t>
            </w:r>
          </w:p>
        </w:tc>
        <w:tc>
          <w:tcPr>
            <w:tcW w:w="220" w:type="dxa"/>
            <w:vAlign w:val="bottom"/>
          </w:tcPr>
          <w:p>
            <w:pPr>
              <w:spacing w:after="0"/>
              <w:rPr>
                <w:sz w:val="9"/>
                <w:szCs w:val="9"/>
                <w:color w:val="auto"/>
              </w:rPr>
            </w:pPr>
          </w:p>
        </w:tc>
        <w:tc>
          <w:tcPr>
            <w:tcW w:w="1320" w:type="dxa"/>
            <w:vAlign w:val="bottom"/>
            <w:gridSpan w:val="2"/>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2.5 %</w:t>
            </w:r>
          </w:p>
        </w:tc>
        <w:tc>
          <w:tcPr>
            <w:tcW w:w="10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7</w:t>
            </w:r>
          </w:p>
        </w:tc>
        <w:tc>
          <w:tcPr>
            <w:tcW w:w="3680" w:type="dxa"/>
            <w:vAlign w:val="bottom"/>
            <w:gridSpan w:val="4"/>
            <w:shd w:val="clear" w:color="auto" w:fill="CCEEFF"/>
          </w:tcPr>
          <w:p>
            <w:pPr>
              <w:ind w:left="200"/>
              <w:spacing w:after="0" w:line="104" w:lineRule="exact"/>
              <w:rPr>
                <w:sz w:val="20"/>
                <w:szCs w:val="20"/>
                <w:color w:val="auto"/>
              </w:rPr>
            </w:pPr>
            <w:r>
              <w:rPr>
                <w:rFonts w:ascii="Times New Roman" w:cs="Times New Roman" w:eastAsia="Times New Roman" w:hAnsi="Times New Roman"/>
                <w:sz w:val="10"/>
                <w:szCs w:val="10"/>
                <w:color w:val="auto"/>
              </w:rPr>
              <w:t>Global Cloud Provider</w:t>
            </w: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48</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79,201</w:t>
            </w:r>
          </w:p>
        </w:tc>
        <w:tc>
          <w:tcPr>
            <w:tcW w:w="220" w:type="dxa"/>
            <w:vAlign w:val="bottom"/>
            <w:shd w:val="clear" w:color="auto" w:fill="CCEEFF"/>
          </w:tcPr>
          <w:p>
            <w:pPr>
              <w:spacing w:after="0"/>
              <w:rPr>
                <w:sz w:val="9"/>
                <w:szCs w:val="9"/>
                <w:color w:val="auto"/>
              </w:rPr>
            </w:pPr>
          </w:p>
        </w:tc>
        <w:tc>
          <w:tcPr>
            <w:tcW w:w="1320" w:type="dxa"/>
            <w:vAlign w:val="bottom"/>
            <w:gridSpan w:val="2"/>
            <w:shd w:val="clear" w:color="auto" w:fill="CCEEFF"/>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2.3 %</w:t>
            </w:r>
          </w:p>
        </w:tc>
        <w:tc>
          <w:tcPr>
            <w:tcW w:w="10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8</w:t>
            </w:r>
          </w:p>
        </w:tc>
        <w:tc>
          <w:tcPr>
            <w:tcW w:w="3680" w:type="dxa"/>
            <w:vAlign w:val="bottom"/>
            <w:gridSpan w:val="4"/>
          </w:tcPr>
          <w:p>
            <w:pPr>
              <w:ind w:left="200"/>
              <w:spacing w:after="0" w:line="104" w:lineRule="exact"/>
              <w:rPr>
                <w:sz w:val="20"/>
                <w:szCs w:val="20"/>
                <w:color w:val="auto"/>
              </w:rPr>
            </w:pPr>
            <w:r>
              <w:rPr>
                <w:rFonts w:ascii="Times New Roman" w:cs="Times New Roman" w:eastAsia="Times New Roman" w:hAnsi="Times New Roman"/>
                <w:sz w:val="10"/>
                <w:szCs w:val="10"/>
                <w:color w:val="auto"/>
              </w:rPr>
              <w:t>LinkedIn Corporation</w:t>
            </w:r>
          </w:p>
        </w:tc>
        <w:tc>
          <w:tcPr>
            <w:tcW w:w="780" w:type="dxa"/>
            <w:vAlign w:val="bottom"/>
          </w:tcPr>
          <w:p>
            <w:pPr>
              <w:spacing w:after="0"/>
              <w:rPr>
                <w:sz w:val="9"/>
                <w:szCs w:val="9"/>
                <w:color w:val="auto"/>
              </w:rPr>
            </w:pPr>
          </w:p>
        </w:tc>
        <w:tc>
          <w:tcPr>
            <w:tcW w:w="24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8</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71,327</w:t>
            </w:r>
          </w:p>
        </w:tc>
        <w:tc>
          <w:tcPr>
            <w:tcW w:w="220" w:type="dxa"/>
            <w:vAlign w:val="bottom"/>
          </w:tcPr>
          <w:p>
            <w:pPr>
              <w:spacing w:after="0"/>
              <w:rPr>
                <w:sz w:val="9"/>
                <w:szCs w:val="9"/>
                <w:color w:val="auto"/>
              </w:rPr>
            </w:pPr>
          </w:p>
        </w:tc>
        <w:tc>
          <w:tcPr>
            <w:tcW w:w="1320" w:type="dxa"/>
            <w:vAlign w:val="bottom"/>
            <w:gridSpan w:val="2"/>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2.1 %</w:t>
            </w:r>
          </w:p>
        </w:tc>
        <w:tc>
          <w:tcPr>
            <w:tcW w:w="10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3.9</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9</w:t>
            </w:r>
          </w:p>
        </w:tc>
        <w:tc>
          <w:tcPr>
            <w:tcW w:w="3680" w:type="dxa"/>
            <w:vAlign w:val="bottom"/>
            <w:gridSpan w:val="4"/>
            <w:shd w:val="clear" w:color="auto" w:fill="CCEEFF"/>
          </w:tcPr>
          <w:p>
            <w:pPr>
              <w:ind w:left="200"/>
              <w:spacing w:after="0" w:line="104" w:lineRule="exact"/>
              <w:rPr>
                <w:sz w:val="20"/>
                <w:szCs w:val="20"/>
                <w:color w:val="auto"/>
              </w:rPr>
            </w:pPr>
            <w:r>
              <w:rPr>
                <w:rFonts w:ascii="Times New Roman" w:cs="Times New Roman" w:eastAsia="Times New Roman" w:hAnsi="Times New Roman"/>
                <w:sz w:val="10"/>
                <w:szCs w:val="10"/>
                <w:color w:val="auto"/>
              </w:rPr>
              <w:t>Cyxtera Technologies, Inc.</w:t>
            </w: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17</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67,630</w:t>
            </w:r>
          </w:p>
        </w:tc>
        <w:tc>
          <w:tcPr>
            <w:tcW w:w="220" w:type="dxa"/>
            <w:vAlign w:val="bottom"/>
            <w:shd w:val="clear" w:color="auto" w:fill="CCEEFF"/>
          </w:tcPr>
          <w:p>
            <w:pPr>
              <w:spacing w:after="0"/>
              <w:rPr>
                <w:sz w:val="9"/>
                <w:szCs w:val="9"/>
                <w:color w:val="auto"/>
              </w:rPr>
            </w:pPr>
          </w:p>
        </w:tc>
        <w:tc>
          <w:tcPr>
            <w:tcW w:w="1320" w:type="dxa"/>
            <w:vAlign w:val="bottom"/>
            <w:gridSpan w:val="2"/>
            <w:shd w:val="clear" w:color="auto" w:fill="CCEEFF"/>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2.0 %</w:t>
            </w:r>
          </w:p>
        </w:tc>
        <w:tc>
          <w:tcPr>
            <w:tcW w:w="10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11.3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10</w:t>
            </w:r>
          </w:p>
        </w:tc>
        <w:tc>
          <w:tcPr>
            <w:tcW w:w="3680" w:type="dxa"/>
            <w:vAlign w:val="bottom"/>
            <w:gridSpan w:val="4"/>
          </w:tcPr>
          <w:p>
            <w:pPr>
              <w:ind w:left="200"/>
              <w:spacing w:after="0" w:line="104" w:lineRule="exact"/>
              <w:rPr>
                <w:sz w:val="20"/>
                <w:szCs w:val="20"/>
                <w:color w:val="auto"/>
              </w:rPr>
            </w:pPr>
            <w:r>
              <w:rPr>
                <w:rFonts w:ascii="Times New Roman" w:cs="Times New Roman" w:eastAsia="Times New Roman" w:hAnsi="Times New Roman"/>
                <w:sz w:val="10"/>
                <w:szCs w:val="10"/>
                <w:color w:val="auto"/>
              </w:rPr>
              <w:t>Fortune 500 SaaS Provider</w:t>
            </w:r>
          </w:p>
        </w:tc>
        <w:tc>
          <w:tcPr>
            <w:tcW w:w="780" w:type="dxa"/>
            <w:vAlign w:val="bottom"/>
          </w:tcPr>
          <w:p>
            <w:pPr>
              <w:spacing w:after="0"/>
              <w:rPr>
                <w:sz w:val="9"/>
                <w:szCs w:val="9"/>
                <w:color w:val="auto"/>
              </w:rPr>
            </w:pPr>
          </w:p>
        </w:tc>
        <w:tc>
          <w:tcPr>
            <w:tcW w:w="24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13</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65,059</w:t>
            </w:r>
          </w:p>
        </w:tc>
        <w:tc>
          <w:tcPr>
            <w:tcW w:w="220" w:type="dxa"/>
            <w:vAlign w:val="bottom"/>
          </w:tcPr>
          <w:p>
            <w:pPr>
              <w:spacing w:after="0"/>
              <w:rPr>
                <w:sz w:val="9"/>
                <w:szCs w:val="9"/>
                <w:color w:val="auto"/>
              </w:rPr>
            </w:pPr>
          </w:p>
        </w:tc>
        <w:tc>
          <w:tcPr>
            <w:tcW w:w="1320" w:type="dxa"/>
            <w:vAlign w:val="bottom"/>
            <w:gridSpan w:val="2"/>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1.9 %</w:t>
            </w:r>
          </w:p>
        </w:tc>
        <w:tc>
          <w:tcPr>
            <w:tcW w:w="10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4.9</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11</w:t>
            </w:r>
          </w:p>
        </w:tc>
        <w:tc>
          <w:tcPr>
            <w:tcW w:w="3680" w:type="dxa"/>
            <w:vAlign w:val="bottom"/>
            <w:gridSpan w:val="4"/>
            <w:shd w:val="clear" w:color="auto" w:fill="CCEEFF"/>
          </w:tcPr>
          <w:p>
            <w:pPr>
              <w:ind w:left="200"/>
              <w:spacing w:after="0" w:line="104" w:lineRule="exact"/>
              <w:rPr>
                <w:sz w:val="20"/>
                <w:szCs w:val="20"/>
                <w:color w:val="auto"/>
              </w:rPr>
            </w:pPr>
            <w:r>
              <w:rPr>
                <w:rFonts w:ascii="Times New Roman" w:cs="Times New Roman" w:eastAsia="Times New Roman" w:hAnsi="Times New Roman"/>
                <w:sz w:val="10"/>
                <w:szCs w:val="10"/>
                <w:color w:val="auto"/>
              </w:rPr>
              <w:t>Rackspace</w:t>
            </w: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19</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62,862</w:t>
            </w:r>
          </w:p>
        </w:tc>
        <w:tc>
          <w:tcPr>
            <w:tcW w:w="220" w:type="dxa"/>
            <w:vAlign w:val="bottom"/>
            <w:shd w:val="clear" w:color="auto" w:fill="CCEEFF"/>
          </w:tcPr>
          <w:p>
            <w:pPr>
              <w:spacing w:after="0"/>
              <w:rPr>
                <w:sz w:val="9"/>
                <w:szCs w:val="9"/>
                <w:color w:val="auto"/>
              </w:rPr>
            </w:pPr>
          </w:p>
        </w:tc>
        <w:tc>
          <w:tcPr>
            <w:tcW w:w="1320" w:type="dxa"/>
            <w:vAlign w:val="bottom"/>
            <w:gridSpan w:val="2"/>
            <w:shd w:val="clear" w:color="auto" w:fill="CCEEFF"/>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1.9 %</w:t>
            </w:r>
          </w:p>
        </w:tc>
        <w:tc>
          <w:tcPr>
            <w:tcW w:w="10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8.7</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12</w:t>
            </w:r>
          </w:p>
        </w:tc>
        <w:tc>
          <w:tcPr>
            <w:tcW w:w="3680" w:type="dxa"/>
            <w:vAlign w:val="bottom"/>
            <w:gridSpan w:val="4"/>
          </w:tcPr>
          <w:p>
            <w:pPr>
              <w:ind w:left="200"/>
              <w:spacing w:after="0" w:line="104" w:lineRule="exact"/>
              <w:rPr>
                <w:sz w:val="20"/>
                <w:szCs w:val="20"/>
                <w:color w:val="auto"/>
              </w:rPr>
            </w:pPr>
            <w:r>
              <w:rPr>
                <w:rFonts w:ascii="Times New Roman" w:cs="Times New Roman" w:eastAsia="Times New Roman" w:hAnsi="Times New Roman"/>
                <w:sz w:val="10"/>
                <w:szCs w:val="10"/>
                <w:color w:val="auto"/>
              </w:rPr>
              <w:t>CenturyLink, Inc.</w:t>
            </w:r>
          </w:p>
        </w:tc>
        <w:tc>
          <w:tcPr>
            <w:tcW w:w="780" w:type="dxa"/>
            <w:vAlign w:val="bottom"/>
          </w:tcPr>
          <w:p>
            <w:pPr>
              <w:spacing w:after="0"/>
              <w:rPr>
                <w:sz w:val="9"/>
                <w:szCs w:val="9"/>
                <w:color w:val="auto"/>
              </w:rPr>
            </w:pPr>
          </w:p>
        </w:tc>
        <w:tc>
          <w:tcPr>
            <w:tcW w:w="24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129</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59,867</w:t>
            </w:r>
          </w:p>
        </w:tc>
        <w:tc>
          <w:tcPr>
            <w:tcW w:w="220" w:type="dxa"/>
            <w:vAlign w:val="bottom"/>
          </w:tcPr>
          <w:p>
            <w:pPr>
              <w:spacing w:after="0"/>
              <w:rPr>
                <w:sz w:val="9"/>
                <w:szCs w:val="9"/>
                <w:color w:val="auto"/>
              </w:rPr>
            </w:pPr>
          </w:p>
        </w:tc>
        <w:tc>
          <w:tcPr>
            <w:tcW w:w="1320" w:type="dxa"/>
            <w:vAlign w:val="bottom"/>
            <w:gridSpan w:val="2"/>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1.8 %</w:t>
            </w:r>
          </w:p>
        </w:tc>
        <w:tc>
          <w:tcPr>
            <w:tcW w:w="10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5.0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13</w:t>
            </w:r>
          </w:p>
        </w:tc>
        <w:tc>
          <w:tcPr>
            <w:tcW w:w="3680" w:type="dxa"/>
            <w:vAlign w:val="bottom"/>
            <w:gridSpan w:val="4"/>
            <w:shd w:val="clear" w:color="auto" w:fill="CCEEFF"/>
          </w:tcPr>
          <w:p>
            <w:pPr>
              <w:ind w:left="200"/>
              <w:spacing w:after="0" w:line="104" w:lineRule="exact"/>
              <w:rPr>
                <w:sz w:val="20"/>
                <w:szCs w:val="20"/>
                <w:color w:val="auto"/>
              </w:rPr>
            </w:pPr>
            <w:r>
              <w:rPr>
                <w:rFonts w:ascii="Times New Roman" w:cs="Times New Roman" w:eastAsia="Times New Roman" w:hAnsi="Times New Roman"/>
                <w:sz w:val="10"/>
                <w:szCs w:val="10"/>
                <w:color w:val="auto"/>
              </w:rPr>
              <w:t>Fortune 25 Tech Company</w:t>
            </w: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36</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58,177</w:t>
            </w:r>
          </w:p>
        </w:tc>
        <w:tc>
          <w:tcPr>
            <w:tcW w:w="220" w:type="dxa"/>
            <w:vAlign w:val="bottom"/>
            <w:shd w:val="clear" w:color="auto" w:fill="CCEEFF"/>
          </w:tcPr>
          <w:p>
            <w:pPr>
              <w:spacing w:after="0"/>
              <w:rPr>
                <w:sz w:val="9"/>
                <w:szCs w:val="9"/>
                <w:color w:val="auto"/>
              </w:rPr>
            </w:pPr>
          </w:p>
        </w:tc>
        <w:tc>
          <w:tcPr>
            <w:tcW w:w="1320" w:type="dxa"/>
            <w:vAlign w:val="bottom"/>
            <w:gridSpan w:val="2"/>
            <w:shd w:val="clear" w:color="auto" w:fill="CCEEFF"/>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1.7 %</w:t>
            </w:r>
          </w:p>
        </w:tc>
        <w:tc>
          <w:tcPr>
            <w:tcW w:w="10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2.9</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14</w:t>
            </w:r>
          </w:p>
        </w:tc>
        <w:tc>
          <w:tcPr>
            <w:tcW w:w="3680" w:type="dxa"/>
            <w:vAlign w:val="bottom"/>
            <w:gridSpan w:val="4"/>
          </w:tcPr>
          <w:p>
            <w:pPr>
              <w:ind w:left="200"/>
              <w:spacing w:after="0" w:line="104" w:lineRule="exact"/>
              <w:rPr>
                <w:sz w:val="20"/>
                <w:szCs w:val="20"/>
                <w:color w:val="auto"/>
              </w:rPr>
            </w:pPr>
            <w:r>
              <w:rPr>
                <w:rFonts w:ascii="Times New Roman" w:cs="Times New Roman" w:eastAsia="Times New Roman" w:hAnsi="Times New Roman"/>
                <w:sz w:val="10"/>
                <w:szCs w:val="10"/>
                <w:color w:val="auto"/>
              </w:rPr>
              <w:t>Social Content Platform</w:t>
            </w:r>
          </w:p>
        </w:tc>
        <w:tc>
          <w:tcPr>
            <w:tcW w:w="780" w:type="dxa"/>
            <w:vAlign w:val="bottom"/>
          </w:tcPr>
          <w:p>
            <w:pPr>
              <w:spacing w:after="0"/>
              <w:rPr>
                <w:sz w:val="9"/>
                <w:szCs w:val="9"/>
                <w:color w:val="auto"/>
              </w:rPr>
            </w:pPr>
          </w:p>
        </w:tc>
        <w:tc>
          <w:tcPr>
            <w:tcW w:w="24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8</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55,398</w:t>
            </w:r>
          </w:p>
        </w:tc>
        <w:tc>
          <w:tcPr>
            <w:tcW w:w="220" w:type="dxa"/>
            <w:vAlign w:val="bottom"/>
          </w:tcPr>
          <w:p>
            <w:pPr>
              <w:spacing w:after="0"/>
              <w:rPr>
                <w:sz w:val="9"/>
                <w:szCs w:val="9"/>
                <w:color w:val="auto"/>
              </w:rPr>
            </w:pPr>
          </w:p>
        </w:tc>
        <w:tc>
          <w:tcPr>
            <w:tcW w:w="1320" w:type="dxa"/>
            <w:vAlign w:val="bottom"/>
            <w:gridSpan w:val="2"/>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1.6 %</w:t>
            </w:r>
          </w:p>
        </w:tc>
        <w:tc>
          <w:tcPr>
            <w:tcW w:w="10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6.3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15</w:t>
            </w:r>
          </w:p>
        </w:tc>
        <w:tc>
          <w:tcPr>
            <w:tcW w:w="3680" w:type="dxa"/>
            <w:vAlign w:val="bottom"/>
            <w:gridSpan w:val="4"/>
            <w:shd w:val="clear" w:color="auto" w:fill="CCEEFF"/>
          </w:tcPr>
          <w:p>
            <w:pPr>
              <w:ind w:left="200"/>
              <w:spacing w:after="0" w:line="104" w:lineRule="exact"/>
              <w:rPr>
                <w:sz w:val="20"/>
                <w:szCs w:val="20"/>
                <w:color w:val="auto"/>
              </w:rPr>
            </w:pPr>
            <w:r>
              <w:rPr>
                <w:rFonts w:ascii="Times New Roman" w:cs="Times New Roman" w:eastAsia="Times New Roman" w:hAnsi="Times New Roman"/>
                <w:sz w:val="10"/>
                <w:szCs w:val="10"/>
                <w:color w:val="auto"/>
              </w:rPr>
              <w:t>Verizon</w:t>
            </w: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101</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46,361</w:t>
            </w:r>
          </w:p>
        </w:tc>
        <w:tc>
          <w:tcPr>
            <w:tcW w:w="220" w:type="dxa"/>
            <w:vAlign w:val="bottom"/>
            <w:shd w:val="clear" w:color="auto" w:fill="CCEEFF"/>
          </w:tcPr>
          <w:p>
            <w:pPr>
              <w:spacing w:after="0"/>
              <w:rPr>
                <w:sz w:val="9"/>
                <w:szCs w:val="9"/>
                <w:color w:val="auto"/>
              </w:rPr>
            </w:pPr>
          </w:p>
        </w:tc>
        <w:tc>
          <w:tcPr>
            <w:tcW w:w="1320" w:type="dxa"/>
            <w:vAlign w:val="bottom"/>
            <w:gridSpan w:val="2"/>
            <w:shd w:val="clear" w:color="auto" w:fill="CCEEFF"/>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1.4 %</w:t>
            </w:r>
          </w:p>
        </w:tc>
        <w:tc>
          <w:tcPr>
            <w:tcW w:w="10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16</w:t>
            </w:r>
          </w:p>
        </w:tc>
        <w:tc>
          <w:tcPr>
            <w:tcW w:w="3680" w:type="dxa"/>
            <w:vAlign w:val="bottom"/>
            <w:gridSpan w:val="4"/>
          </w:tcPr>
          <w:p>
            <w:pPr>
              <w:ind w:left="200"/>
              <w:spacing w:after="0" w:line="104" w:lineRule="exact"/>
              <w:rPr>
                <w:sz w:val="20"/>
                <w:szCs w:val="20"/>
                <w:color w:val="auto"/>
              </w:rPr>
            </w:pPr>
            <w:r>
              <w:rPr>
                <w:rFonts w:ascii="Times New Roman" w:cs="Times New Roman" w:eastAsia="Times New Roman" w:hAnsi="Times New Roman"/>
                <w:sz w:val="10"/>
                <w:szCs w:val="10"/>
                <w:color w:val="auto"/>
              </w:rPr>
              <w:t>Comcast Corporation</w:t>
            </w:r>
          </w:p>
        </w:tc>
        <w:tc>
          <w:tcPr>
            <w:tcW w:w="780" w:type="dxa"/>
            <w:vAlign w:val="bottom"/>
          </w:tcPr>
          <w:p>
            <w:pPr>
              <w:spacing w:after="0"/>
              <w:rPr>
                <w:sz w:val="9"/>
                <w:szCs w:val="9"/>
                <w:color w:val="auto"/>
              </w:rPr>
            </w:pPr>
          </w:p>
        </w:tc>
        <w:tc>
          <w:tcPr>
            <w:tcW w:w="24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27</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41,343</w:t>
            </w:r>
          </w:p>
        </w:tc>
        <w:tc>
          <w:tcPr>
            <w:tcW w:w="220" w:type="dxa"/>
            <w:vAlign w:val="bottom"/>
          </w:tcPr>
          <w:p>
            <w:pPr>
              <w:spacing w:after="0"/>
              <w:rPr>
                <w:sz w:val="9"/>
                <w:szCs w:val="9"/>
                <w:color w:val="auto"/>
              </w:rPr>
            </w:pPr>
          </w:p>
        </w:tc>
        <w:tc>
          <w:tcPr>
            <w:tcW w:w="1320" w:type="dxa"/>
            <w:vAlign w:val="bottom"/>
            <w:gridSpan w:val="2"/>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1.2 %</w:t>
            </w:r>
          </w:p>
        </w:tc>
        <w:tc>
          <w:tcPr>
            <w:tcW w:w="10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5.1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17</w:t>
            </w:r>
          </w:p>
        </w:tc>
        <w:tc>
          <w:tcPr>
            <w:tcW w:w="3680" w:type="dxa"/>
            <w:vAlign w:val="bottom"/>
            <w:gridSpan w:val="4"/>
            <w:shd w:val="clear" w:color="auto" w:fill="CCEEFF"/>
          </w:tcPr>
          <w:p>
            <w:pPr>
              <w:ind w:left="200"/>
              <w:spacing w:after="0" w:line="104" w:lineRule="exact"/>
              <w:rPr>
                <w:sz w:val="20"/>
                <w:szCs w:val="20"/>
                <w:color w:val="auto"/>
              </w:rPr>
            </w:pPr>
            <w:r>
              <w:rPr>
                <w:rFonts w:ascii="Times New Roman" w:cs="Times New Roman" w:eastAsia="Times New Roman" w:hAnsi="Times New Roman"/>
                <w:sz w:val="10"/>
                <w:szCs w:val="10"/>
                <w:color w:val="auto"/>
              </w:rPr>
              <w:t>AT&amp;T</w:t>
            </w: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71</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38,079</w:t>
            </w:r>
          </w:p>
        </w:tc>
        <w:tc>
          <w:tcPr>
            <w:tcW w:w="220" w:type="dxa"/>
            <w:vAlign w:val="bottom"/>
            <w:shd w:val="clear" w:color="auto" w:fill="CCEEFF"/>
          </w:tcPr>
          <w:p>
            <w:pPr>
              <w:spacing w:after="0"/>
              <w:rPr>
                <w:sz w:val="9"/>
                <w:szCs w:val="9"/>
                <w:color w:val="auto"/>
              </w:rPr>
            </w:pPr>
          </w:p>
        </w:tc>
        <w:tc>
          <w:tcPr>
            <w:tcW w:w="1320" w:type="dxa"/>
            <w:vAlign w:val="bottom"/>
            <w:gridSpan w:val="2"/>
            <w:shd w:val="clear" w:color="auto" w:fill="CCEEFF"/>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1.1 %</w:t>
            </w:r>
          </w:p>
        </w:tc>
        <w:tc>
          <w:tcPr>
            <w:tcW w:w="10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1.5</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18</w:t>
            </w:r>
          </w:p>
        </w:tc>
        <w:tc>
          <w:tcPr>
            <w:tcW w:w="3680" w:type="dxa"/>
            <w:vAlign w:val="bottom"/>
            <w:gridSpan w:val="4"/>
          </w:tcPr>
          <w:p>
            <w:pPr>
              <w:ind w:left="200"/>
              <w:spacing w:after="0" w:line="104" w:lineRule="exact"/>
              <w:rPr>
                <w:sz w:val="20"/>
                <w:szCs w:val="20"/>
                <w:color w:val="auto"/>
              </w:rPr>
            </w:pPr>
            <w:r>
              <w:rPr>
                <w:rFonts w:ascii="Times New Roman" w:cs="Times New Roman" w:eastAsia="Times New Roman" w:hAnsi="Times New Roman"/>
                <w:sz w:val="10"/>
                <w:szCs w:val="10"/>
                <w:color w:val="auto"/>
              </w:rPr>
              <w:t>DXC Technology Company</w:t>
            </w:r>
          </w:p>
        </w:tc>
        <w:tc>
          <w:tcPr>
            <w:tcW w:w="780" w:type="dxa"/>
            <w:vAlign w:val="bottom"/>
          </w:tcPr>
          <w:p>
            <w:pPr>
              <w:spacing w:after="0"/>
              <w:rPr>
                <w:sz w:val="9"/>
                <w:szCs w:val="9"/>
                <w:color w:val="auto"/>
              </w:rPr>
            </w:pPr>
          </w:p>
        </w:tc>
        <w:tc>
          <w:tcPr>
            <w:tcW w:w="24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19</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36,426</w:t>
            </w:r>
          </w:p>
        </w:tc>
        <w:tc>
          <w:tcPr>
            <w:tcW w:w="220" w:type="dxa"/>
            <w:vAlign w:val="bottom"/>
          </w:tcPr>
          <w:p>
            <w:pPr>
              <w:spacing w:after="0"/>
              <w:rPr>
                <w:sz w:val="9"/>
                <w:szCs w:val="9"/>
                <w:color w:val="auto"/>
              </w:rPr>
            </w:pPr>
          </w:p>
        </w:tc>
        <w:tc>
          <w:tcPr>
            <w:tcW w:w="1320" w:type="dxa"/>
            <w:vAlign w:val="bottom"/>
            <w:gridSpan w:val="2"/>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1.1 %</w:t>
            </w:r>
          </w:p>
        </w:tc>
        <w:tc>
          <w:tcPr>
            <w:tcW w:w="10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2.6</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19</w:t>
            </w:r>
          </w:p>
        </w:tc>
        <w:tc>
          <w:tcPr>
            <w:tcW w:w="3680" w:type="dxa"/>
            <w:vAlign w:val="bottom"/>
            <w:gridSpan w:val="4"/>
            <w:shd w:val="clear" w:color="auto" w:fill="CCEEFF"/>
          </w:tcPr>
          <w:p>
            <w:pPr>
              <w:ind w:left="200"/>
              <w:spacing w:after="0" w:line="104" w:lineRule="exact"/>
              <w:rPr>
                <w:sz w:val="20"/>
                <w:szCs w:val="20"/>
                <w:color w:val="auto"/>
              </w:rPr>
            </w:pPr>
            <w:r>
              <w:rPr>
                <w:rFonts w:ascii="Times New Roman" w:cs="Times New Roman" w:eastAsia="Times New Roman" w:hAnsi="Times New Roman"/>
                <w:sz w:val="10"/>
                <w:szCs w:val="10"/>
                <w:color w:val="auto"/>
              </w:rPr>
              <w:t>JPMorgan Chase &amp; Co.</w:t>
            </w: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16</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35,840</w:t>
            </w:r>
          </w:p>
        </w:tc>
        <w:tc>
          <w:tcPr>
            <w:tcW w:w="220" w:type="dxa"/>
            <w:vAlign w:val="bottom"/>
            <w:shd w:val="clear" w:color="auto" w:fill="CCEEFF"/>
          </w:tcPr>
          <w:p>
            <w:pPr>
              <w:spacing w:after="0"/>
              <w:rPr>
                <w:sz w:val="9"/>
                <w:szCs w:val="9"/>
                <w:color w:val="auto"/>
              </w:rPr>
            </w:pPr>
          </w:p>
        </w:tc>
        <w:tc>
          <w:tcPr>
            <w:tcW w:w="1320" w:type="dxa"/>
            <w:vAlign w:val="bottom"/>
            <w:gridSpan w:val="2"/>
            <w:shd w:val="clear" w:color="auto" w:fill="CCEEFF"/>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1.1 %</w:t>
            </w:r>
          </w:p>
        </w:tc>
        <w:tc>
          <w:tcPr>
            <w:tcW w:w="10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2.8</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20</w:t>
            </w:r>
          </w:p>
        </w:tc>
        <w:tc>
          <w:tcPr>
            <w:tcW w:w="3680" w:type="dxa"/>
            <w:vAlign w:val="bottom"/>
            <w:gridSpan w:val="4"/>
          </w:tcPr>
          <w:p>
            <w:pPr>
              <w:ind w:left="200"/>
              <w:spacing w:after="0" w:line="104" w:lineRule="exact"/>
              <w:rPr>
                <w:sz w:val="20"/>
                <w:szCs w:val="20"/>
                <w:color w:val="auto"/>
              </w:rPr>
            </w:pPr>
            <w:r>
              <w:rPr>
                <w:rFonts w:ascii="Times New Roman" w:cs="Times New Roman" w:eastAsia="Times New Roman" w:hAnsi="Times New Roman"/>
                <w:sz w:val="10"/>
                <w:szCs w:val="10"/>
                <w:color w:val="auto"/>
              </w:rPr>
              <w:t>Zayo</w:t>
            </w:r>
          </w:p>
        </w:tc>
        <w:tc>
          <w:tcPr>
            <w:tcW w:w="780" w:type="dxa"/>
            <w:vAlign w:val="bottom"/>
          </w:tcPr>
          <w:p>
            <w:pPr>
              <w:spacing w:after="0"/>
              <w:rPr>
                <w:sz w:val="9"/>
                <w:szCs w:val="9"/>
                <w:color w:val="auto"/>
              </w:rPr>
            </w:pPr>
          </w:p>
        </w:tc>
        <w:tc>
          <w:tcPr>
            <w:tcW w:w="24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117</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34,167</w:t>
            </w:r>
          </w:p>
        </w:tc>
        <w:tc>
          <w:tcPr>
            <w:tcW w:w="220" w:type="dxa"/>
            <w:vAlign w:val="bottom"/>
          </w:tcPr>
          <w:p>
            <w:pPr>
              <w:spacing w:after="0"/>
              <w:rPr>
                <w:sz w:val="9"/>
                <w:szCs w:val="9"/>
                <w:color w:val="auto"/>
              </w:rPr>
            </w:pPr>
          </w:p>
        </w:tc>
        <w:tc>
          <w:tcPr>
            <w:tcW w:w="1320" w:type="dxa"/>
            <w:vAlign w:val="bottom"/>
            <w:gridSpan w:val="2"/>
          </w:tcPr>
          <w:p>
            <w:pPr>
              <w:jc w:val="right"/>
              <w:ind w:right="89"/>
              <w:spacing w:after="0" w:line="104" w:lineRule="exact"/>
              <w:rPr>
                <w:sz w:val="20"/>
                <w:szCs w:val="20"/>
                <w:color w:val="auto"/>
              </w:rPr>
            </w:pPr>
            <w:r>
              <w:rPr>
                <w:rFonts w:ascii="Times New Roman" w:cs="Times New Roman" w:eastAsia="Times New Roman" w:hAnsi="Times New Roman"/>
                <w:sz w:val="10"/>
                <w:szCs w:val="10"/>
                <w:color w:val="auto"/>
              </w:rPr>
              <w:t>1.0 %</w:t>
            </w:r>
          </w:p>
        </w:tc>
        <w:tc>
          <w:tcPr>
            <w:tcW w:w="10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 w:type="dxa"/>
            <w:vAlign w:val="bottom"/>
            <w:tcBorders>
              <w:top w:val="single" w:sz="8" w:color="CCEEFF"/>
              <w:bottom w:val="single" w:sz="8" w:color="CCEEFF"/>
            </w:tcBorders>
            <w:shd w:val="clear" w:color="auto" w:fill="CCEEFF"/>
          </w:tcPr>
          <w:p>
            <w:pPr>
              <w:spacing w:after="0"/>
              <w:rPr>
                <w:sz w:val="8"/>
                <w:szCs w:val="8"/>
                <w:color w:val="auto"/>
              </w:rPr>
            </w:pPr>
          </w:p>
        </w:tc>
        <w:tc>
          <w:tcPr>
            <w:tcW w:w="200" w:type="dxa"/>
            <w:vAlign w:val="bottom"/>
            <w:tcBorders>
              <w:top w:val="single" w:sz="8" w:color="CCEEFF"/>
              <w:bottom w:val="single" w:sz="8" w:color="CCEEFF"/>
            </w:tcBorders>
            <w:shd w:val="clear" w:color="auto" w:fill="CCEEFF"/>
          </w:tcPr>
          <w:p>
            <w:pPr>
              <w:spacing w:after="0"/>
              <w:rPr>
                <w:sz w:val="8"/>
                <w:szCs w:val="8"/>
                <w:color w:val="auto"/>
              </w:rPr>
            </w:pPr>
          </w:p>
        </w:tc>
        <w:tc>
          <w:tcPr>
            <w:tcW w:w="3480" w:type="dxa"/>
            <w:vAlign w:val="bottom"/>
            <w:tcBorders>
              <w:top w:val="single" w:sz="8" w:color="CCEEFF"/>
              <w:bottom w:val="single" w:sz="8" w:color="CCEEFF"/>
            </w:tcBorders>
            <w:gridSpan w:val="3"/>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b w:val="1"/>
                <w:bCs w:val="1"/>
                <w:color w:val="auto"/>
              </w:rPr>
              <w:t>Total / Weighted Average</w:t>
            </w:r>
          </w:p>
        </w:tc>
        <w:tc>
          <w:tcPr>
            <w:tcW w:w="780" w:type="dxa"/>
            <w:vAlign w:val="bottom"/>
            <w:tcBorders>
              <w:top w:val="single" w:sz="8" w:color="CCEEFF"/>
              <w:bottom w:val="single" w:sz="8" w:color="CCEEFF"/>
            </w:tcBorders>
            <w:shd w:val="clear" w:color="auto" w:fill="CCEEFF"/>
          </w:tcPr>
          <w:p>
            <w:pPr>
              <w:spacing w:after="0"/>
              <w:rPr>
                <w:sz w:val="8"/>
                <w:szCs w:val="8"/>
                <w:color w:val="auto"/>
              </w:rPr>
            </w:pPr>
          </w:p>
        </w:tc>
        <w:tc>
          <w:tcPr>
            <w:tcW w:w="24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top w:val="single" w:sz="8" w:color="auto"/>
              <w:bottom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1,654,347</w:t>
            </w:r>
          </w:p>
        </w:tc>
        <w:tc>
          <w:tcPr>
            <w:tcW w:w="220" w:type="dxa"/>
            <w:vAlign w:val="bottom"/>
            <w:tcBorders>
              <w:top w:val="single" w:sz="8" w:color="CCEEFF"/>
              <w:bottom w:val="single" w:sz="8" w:color="CCEEFF"/>
            </w:tcBorders>
            <w:shd w:val="clear" w:color="auto" w:fill="CCEEFF"/>
          </w:tcPr>
          <w:p>
            <w:pPr>
              <w:spacing w:after="0"/>
              <w:rPr>
                <w:sz w:val="8"/>
                <w:szCs w:val="8"/>
                <w:color w:val="auto"/>
              </w:rPr>
            </w:pPr>
          </w:p>
        </w:tc>
        <w:tc>
          <w:tcPr>
            <w:tcW w:w="1100" w:type="dxa"/>
            <w:vAlign w:val="bottom"/>
            <w:tcBorders>
              <w:top w:val="single" w:sz="8" w:color="auto"/>
              <w:bottom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48.9</w:t>
            </w:r>
          </w:p>
        </w:tc>
        <w:tc>
          <w:tcPr>
            <w:tcW w:w="220" w:type="dxa"/>
            <w:vAlign w:val="bottom"/>
            <w:tcBorders>
              <w:top w:val="single" w:sz="8" w:color="CCEEFF"/>
              <w:bottom w:val="single" w:sz="8" w:color="CCEEFF"/>
            </w:tcBorders>
            <w:shd w:val="clear" w:color="auto" w:fill="CCEEFF"/>
          </w:tcPr>
          <w:p>
            <w:pPr>
              <w:jc w:val="right"/>
              <w:ind w:right="89"/>
              <w:spacing w:after="0" w:line="94" w:lineRule="exact"/>
              <w:rPr>
                <w:sz w:val="20"/>
                <w:szCs w:val="20"/>
                <w:color w:val="auto"/>
              </w:rPr>
            </w:pPr>
            <w:r>
              <w:rPr>
                <w:rFonts w:ascii="Times New Roman" w:cs="Times New Roman" w:eastAsia="Times New Roman" w:hAnsi="Times New Roman"/>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6.1</w:t>
            </w:r>
          </w:p>
        </w:tc>
        <w:tc>
          <w:tcPr>
            <w:tcW w:w="0" w:type="dxa"/>
            <w:vAlign w:val="bottom"/>
          </w:tcPr>
          <w:p>
            <w:pPr>
              <w:spacing w:after="0"/>
              <w:rPr>
                <w:sz w:val="1"/>
                <w:szCs w:val="1"/>
                <w:color w:val="auto"/>
              </w:rPr>
            </w:pPr>
          </w:p>
        </w:tc>
      </w:tr>
      <w:tr>
        <w:trPr>
          <w:trHeight w:val="76"/>
        </w:trPr>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480" w:right="119" w:hanging="455"/>
        <w:spacing w:after="0" w:line="268" w:lineRule="auto"/>
        <w:tabs>
          <w:tab w:leader="none" w:pos="460" w:val="left"/>
        </w:tabs>
        <w:rPr>
          <w:sz w:val="20"/>
          <w:szCs w:val="20"/>
          <w:color w:val="auto"/>
        </w:rPr>
      </w:pPr>
      <w:r>
        <w:rPr>
          <w:rFonts w:ascii="Times New Roman" w:cs="Times New Roman" w:eastAsia="Times New Roman" w:hAnsi="Times New Roman"/>
          <w:sz w:val="13"/>
          <w:szCs w:val="13"/>
          <w:b w:val="1"/>
          <w:bCs w:val="1"/>
          <w:color w:val="auto"/>
        </w:rPr>
        <w:t>Note:</w:t>
      </w:r>
      <w:r>
        <w:rPr>
          <w:sz w:val="20"/>
          <w:szCs w:val="20"/>
          <w:color w:val="auto"/>
        </w:rPr>
        <w:tab/>
      </w:r>
      <w:r>
        <w:rPr>
          <w:rFonts w:ascii="Times New Roman" w:cs="Times New Roman" w:eastAsia="Times New Roman" w:hAnsi="Times New Roman"/>
          <w:sz w:val="13"/>
          <w:szCs w:val="13"/>
          <w:color w:val="auto"/>
        </w:rPr>
        <w:t>Represents consolidated portfolio in addition to our managed portfolio of unconsolidated joint ventures based on our ownership percentage. Our direct customers may be the entities named in the table above or their subsidiaries or affiliates.</w:t>
      </w:r>
    </w:p>
    <w:p>
      <w:pPr>
        <w:spacing w:after="0" w:line="124" w:lineRule="exact"/>
        <w:rPr>
          <w:sz w:val="20"/>
          <w:szCs w:val="20"/>
          <w:color w:val="auto"/>
        </w:rPr>
      </w:pPr>
    </w:p>
    <w:p>
      <w:pPr>
        <w:ind w:left="260" w:right="79" w:hanging="235"/>
        <w:spacing w:after="0" w:line="268" w:lineRule="auto"/>
        <w:tabs>
          <w:tab w:leader="none" w:pos="26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Annualized recurring revenue represents the monthly contractual base rent (defined as cash base rent before abatements), and interconnection revenue under existing leases as of December 31, 2020 multiplied by 12.</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6" w:name="page57"/>
    <w:bookmarkEnd w:id="5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Lease Distribution</w:t>
      </w:r>
    </w:p>
    <w:p>
      <w:pPr>
        <w:spacing w:after="0" w:line="156" w:lineRule="exact"/>
        <w:rPr>
          <w:sz w:val="20"/>
          <w:szCs w:val="20"/>
          <w:color w:val="auto"/>
        </w:rPr>
      </w:pPr>
    </w:p>
    <w:p>
      <w:pPr>
        <w:ind w:left="20" w:right="119" w:firstLine="228"/>
        <w:spacing w:after="0" w:line="256" w:lineRule="auto"/>
        <w:rPr>
          <w:sz w:val="20"/>
          <w:szCs w:val="20"/>
          <w:color w:val="auto"/>
        </w:rPr>
      </w:pPr>
      <w:r>
        <w:rPr>
          <w:rFonts w:ascii="Times New Roman" w:cs="Times New Roman" w:eastAsia="Times New Roman" w:hAnsi="Times New Roman"/>
          <w:sz w:val="13"/>
          <w:szCs w:val="13"/>
          <w:color w:val="auto"/>
        </w:rPr>
        <w:t>The following table sets forth information relating to the distribution of leases in the properties in our portfolio, based on size (in megawatts), excluding approximately 5.4 million square feet of space under active development and approximately 2.3 million square feet of space held for development at December 31, 2020, under lease as of December 31, 2020 (dollar amounts in thousands).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Total Net</w:t>
            </w:r>
          </w:p>
        </w:tc>
        <w:tc>
          <w:tcPr>
            <w:tcW w:w="1080" w:type="dxa"/>
            <w:vAlign w:val="bottom"/>
            <w:gridSpan w:val="2"/>
          </w:tcPr>
          <w:p>
            <w:pPr>
              <w:jc w:val="center"/>
              <w:ind w:right="97"/>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jc w:val="center"/>
              <w:ind w:right="97"/>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80" w:type="dxa"/>
            <w:vAlign w:val="bottom"/>
            <w:gridSpan w:val="2"/>
          </w:tcPr>
          <w:p>
            <w:pPr>
              <w:jc w:val="center"/>
              <w:ind w:right="117"/>
              <w:spacing w:after="0" w:line="104" w:lineRule="exact"/>
              <w:rPr>
                <w:sz w:val="20"/>
                <w:szCs w:val="20"/>
                <w:color w:val="auto"/>
              </w:rPr>
            </w:pPr>
            <w:r>
              <w:rPr>
                <w:rFonts w:ascii="Times New Roman" w:cs="Times New Roman" w:eastAsia="Times New Roman" w:hAnsi="Times New Roman"/>
                <w:sz w:val="10"/>
                <w:szCs w:val="10"/>
                <w:b w:val="1"/>
                <w:bCs w:val="1"/>
                <w:color w:val="auto"/>
              </w:rPr>
              <w:t>of Net</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0"/>
                <w:szCs w:val="10"/>
                <w:b w:val="1"/>
                <w:bCs w:val="1"/>
                <w:color w:val="auto"/>
              </w:rPr>
              <w:t>Rentable</w:t>
            </w:r>
          </w:p>
        </w:tc>
        <w:tc>
          <w:tcPr>
            <w:tcW w:w="1080" w:type="dxa"/>
            <w:vAlign w:val="bottom"/>
            <w:gridSpan w:val="2"/>
          </w:tcPr>
          <w:p>
            <w:pPr>
              <w:jc w:val="center"/>
              <w:ind w:right="117"/>
              <w:spacing w:after="0" w:line="104" w:lineRule="exact"/>
              <w:rPr>
                <w:sz w:val="20"/>
                <w:szCs w:val="20"/>
                <w:color w:val="auto"/>
              </w:rPr>
            </w:pPr>
            <w:r>
              <w:rPr>
                <w:rFonts w:ascii="Times New Roman" w:cs="Times New Roman" w:eastAsia="Times New Roman" w:hAnsi="Times New Roman"/>
                <w:sz w:val="10"/>
                <w:szCs w:val="10"/>
                <w:b w:val="1"/>
                <w:bCs w:val="1"/>
                <w:color w:val="auto"/>
                <w:w w:val="99"/>
              </w:rPr>
              <w:t>Rentable</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Annualized</w:t>
            </w:r>
          </w:p>
        </w:tc>
        <w:tc>
          <w:tcPr>
            <w:tcW w:w="1080" w:type="dxa"/>
            <w:vAlign w:val="bottom"/>
            <w:gridSpan w:val="2"/>
          </w:tcPr>
          <w:p>
            <w:pPr>
              <w:jc w:val="center"/>
              <w:ind w:right="137"/>
              <w:spacing w:after="0" w:line="104"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02"/>
        </w:trPr>
        <w:tc>
          <w:tcPr>
            <w:tcW w:w="438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Size</w:t>
            </w:r>
          </w:p>
        </w:tc>
        <w:tc>
          <w:tcPr>
            <w:tcW w:w="1120" w:type="dxa"/>
            <w:vAlign w:val="bottom"/>
            <w:gridSpan w:val="2"/>
          </w:tcPr>
          <w:p>
            <w:pPr>
              <w:jc w:val="center"/>
              <w:ind w:right="240"/>
              <w:spacing w:after="0" w:line="103" w:lineRule="exact"/>
              <w:rPr>
                <w:sz w:val="20"/>
                <w:szCs w:val="20"/>
                <w:color w:val="auto"/>
              </w:rPr>
            </w:pPr>
            <w:r>
              <w:rPr>
                <w:rFonts w:ascii="Times New Roman" w:cs="Times New Roman" w:eastAsia="Times New Roman" w:hAnsi="Times New Roman"/>
                <w:sz w:val="10"/>
                <w:szCs w:val="10"/>
                <w:b w:val="1"/>
                <w:bCs w:val="1"/>
                <w:color w:val="auto"/>
              </w:rPr>
              <w:t>Square</w:t>
            </w:r>
          </w:p>
        </w:tc>
        <w:tc>
          <w:tcPr>
            <w:tcW w:w="1080" w:type="dxa"/>
            <w:vAlign w:val="bottom"/>
            <w:gridSpan w:val="2"/>
          </w:tcPr>
          <w:p>
            <w:pPr>
              <w:jc w:val="center"/>
              <w:ind w:right="77"/>
              <w:spacing w:after="0" w:line="103" w:lineRule="exact"/>
              <w:rPr>
                <w:sz w:val="20"/>
                <w:szCs w:val="20"/>
                <w:color w:val="auto"/>
              </w:rPr>
            </w:pPr>
            <w:r>
              <w:rPr>
                <w:rFonts w:ascii="Times New Roman" w:cs="Times New Roman" w:eastAsia="Times New Roman" w:hAnsi="Times New Roman"/>
                <w:sz w:val="10"/>
                <w:szCs w:val="10"/>
                <w:b w:val="1"/>
                <w:bCs w:val="1"/>
                <w:color w:val="auto"/>
                <w:w w:val="98"/>
              </w:rPr>
              <w:t>Square</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80" w:type="dxa"/>
            <w:vAlign w:val="bottom"/>
            <w:gridSpan w:val="2"/>
          </w:tcPr>
          <w:p>
            <w:pPr>
              <w:jc w:val="center"/>
              <w:ind w:right="117"/>
              <w:spacing w:after="0" w:line="103" w:lineRule="exact"/>
              <w:rPr>
                <w:sz w:val="20"/>
                <w:szCs w:val="20"/>
                <w:color w:val="auto"/>
              </w:rPr>
            </w:pPr>
            <w:r>
              <w:rPr>
                <w:rFonts w:ascii="Times New Roman" w:cs="Times New Roman" w:eastAsia="Times New Roman" w:hAnsi="Times New Roman"/>
                <w:sz w:val="10"/>
                <w:szCs w:val="10"/>
                <w:b w:val="1"/>
                <w:bCs w:val="1"/>
                <w:color w:val="auto"/>
              </w:rPr>
              <w:t>Annualized</w:t>
            </w:r>
          </w:p>
        </w:tc>
        <w:tc>
          <w:tcPr>
            <w:tcW w:w="0" w:type="dxa"/>
            <w:vAlign w:val="bottom"/>
          </w:tcPr>
          <w:p>
            <w:pPr>
              <w:spacing w:after="0"/>
              <w:rPr>
                <w:sz w:val="1"/>
                <w:szCs w:val="1"/>
                <w:color w:val="auto"/>
              </w:rPr>
            </w:pPr>
          </w:p>
        </w:tc>
      </w:tr>
      <w:tr>
        <w:trPr>
          <w:trHeight w:val="123"/>
        </w:trPr>
        <w:tc>
          <w:tcPr>
            <w:tcW w:w="4380" w:type="dxa"/>
            <w:vAlign w:val="bottom"/>
            <w:gridSpan w:val="4"/>
            <w:vMerge w:val="continue"/>
          </w:tcPr>
          <w:p>
            <w:pPr>
              <w:spacing w:after="0"/>
              <w:rPr>
                <w:sz w:val="10"/>
                <w:szCs w:val="10"/>
                <w:color w:val="auto"/>
              </w:rPr>
            </w:pPr>
          </w:p>
        </w:tc>
        <w:tc>
          <w:tcPr>
            <w:tcW w:w="112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0"/>
                <w:szCs w:val="10"/>
                <w:b w:val="1"/>
                <w:bCs w:val="1"/>
                <w:color w:val="auto"/>
                <w:w w:val="94"/>
              </w:rPr>
              <w:t xml:space="preserve">Feet </w:t>
            </w:r>
            <w:r>
              <w:rPr>
                <w:rFonts w:ascii="Times New Roman" w:cs="Times New Roman" w:eastAsia="Times New Roman" w:hAnsi="Times New Roman"/>
                <w:sz w:val="14"/>
                <w:szCs w:val="14"/>
                <w:b w:val="1"/>
                <w:bCs w:val="1"/>
                <w:color w:val="auto"/>
                <w:w w:val="94"/>
                <w:vertAlign w:val="superscript"/>
              </w:rPr>
              <w:t>(1)</w:t>
            </w:r>
          </w:p>
        </w:tc>
        <w:tc>
          <w:tcPr>
            <w:tcW w:w="1080" w:type="dxa"/>
            <w:vAlign w:val="bottom"/>
            <w:gridSpan w:val="2"/>
          </w:tcPr>
          <w:p>
            <w:pPr>
              <w:jc w:val="center"/>
              <w:ind w:right="77"/>
              <w:spacing w:after="0" w:line="123" w:lineRule="exact"/>
              <w:rPr>
                <w:sz w:val="20"/>
                <w:szCs w:val="20"/>
                <w:color w:val="auto"/>
              </w:rPr>
            </w:pPr>
            <w:r>
              <w:rPr>
                <w:rFonts w:ascii="Times New Roman" w:cs="Times New Roman" w:eastAsia="Times New Roman" w:hAnsi="Times New Roman"/>
                <w:sz w:val="10"/>
                <w:szCs w:val="10"/>
                <w:b w:val="1"/>
                <w:bCs w:val="1"/>
                <w:color w:val="auto"/>
                <w:w w:val="94"/>
              </w:rPr>
              <w:t xml:space="preserve">Feet </w:t>
            </w:r>
            <w:r>
              <w:rPr>
                <w:rFonts w:ascii="Times New Roman" w:cs="Times New Roman" w:eastAsia="Times New Roman" w:hAnsi="Times New Roman"/>
                <w:sz w:val="14"/>
                <w:szCs w:val="14"/>
                <w:b w:val="1"/>
                <w:bCs w:val="1"/>
                <w:color w:val="auto"/>
                <w:w w:val="94"/>
                <w:vertAlign w:val="superscript"/>
              </w:rPr>
              <w:t>(1)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360"/>
              <w:spacing w:after="0" w:line="123" w:lineRule="exact"/>
              <w:rPr>
                <w:sz w:val="20"/>
                <w:szCs w:val="20"/>
                <w:color w:val="auto"/>
              </w:rPr>
            </w:pPr>
            <w:r>
              <w:rPr>
                <w:rFonts w:ascii="Times New Roman" w:cs="Times New Roman" w:eastAsia="Times New Roman" w:hAnsi="Times New Roman"/>
                <w:sz w:val="10"/>
                <w:szCs w:val="10"/>
                <w:b w:val="1"/>
                <w:bCs w:val="1"/>
                <w:color w:val="auto"/>
                <w:w w:val="94"/>
              </w:rPr>
              <w:t xml:space="preserve">Rent </w:t>
            </w:r>
            <w:r>
              <w:rPr>
                <w:rFonts w:ascii="Times New Roman" w:cs="Times New Roman" w:eastAsia="Times New Roman" w:hAnsi="Times New Roman"/>
                <w:sz w:val="14"/>
                <w:szCs w:val="14"/>
                <w:b w:val="1"/>
                <w:bCs w:val="1"/>
                <w:color w:val="auto"/>
                <w:w w:val="94"/>
                <w:vertAlign w:val="superscript"/>
              </w:rPr>
              <w:t>(2)</w:t>
            </w:r>
          </w:p>
        </w:tc>
        <w:tc>
          <w:tcPr>
            <w:tcW w:w="1080" w:type="dxa"/>
            <w:vAlign w:val="bottom"/>
            <w:gridSpan w:val="2"/>
          </w:tcPr>
          <w:p>
            <w:pPr>
              <w:jc w:val="center"/>
              <w:ind w:right="97"/>
              <w:spacing w:after="0"/>
              <w:rPr>
                <w:sz w:val="20"/>
                <w:szCs w:val="20"/>
                <w:color w:val="auto"/>
              </w:rPr>
            </w:pPr>
            <w:r>
              <w:rPr>
                <w:rFonts w:ascii="Times New Roman" w:cs="Times New Roman" w:eastAsia="Times New Roman" w:hAnsi="Times New Roman"/>
                <w:sz w:val="10"/>
                <w:szCs w:val="10"/>
                <w:b w:val="1"/>
                <w:bCs w:val="1"/>
                <w:color w:val="auto"/>
                <w:w w:val="97"/>
              </w:rPr>
              <w:t>Rent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Borders>
              <w:top w:val="single" w:sz="8" w:color="auto"/>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Available</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4,680,127</w:t>
            </w:r>
          </w:p>
        </w:tc>
        <w:tc>
          <w:tcPr>
            <w:tcW w:w="2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14.7</w:t>
            </w:r>
          </w:p>
        </w:tc>
        <w:tc>
          <w:tcPr>
            <w:tcW w:w="140" w:type="dxa"/>
            <w:vAlign w:val="bottom"/>
            <w:tcBorders>
              <w:top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2"/>
              <w:spacing w:after="0" w:line="14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0-1MW</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4,716,419</w:t>
            </w:r>
          </w:p>
        </w:tc>
        <w:tc>
          <w:tcPr>
            <w:tcW w:w="20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14.8 %</w:t>
            </w:r>
          </w:p>
        </w:tc>
        <w:tc>
          <w:tcPr>
            <w:tcW w:w="22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1,054,286</w:t>
            </w:r>
          </w:p>
        </w:tc>
        <w:tc>
          <w:tcPr>
            <w:tcW w:w="20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34.9 %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&gt;1MW</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12,082,358</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37.9 %</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1,652,690</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360" w:type="dxa"/>
            <w:vAlign w:val="bottom"/>
            <w:gridSpan w:val="3"/>
          </w:tcPr>
          <w:p>
            <w:pPr>
              <w:spacing w:after="0" w:line="152"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10,376,129</w:t>
            </w:r>
          </w:p>
        </w:tc>
        <w:tc>
          <w:tcPr>
            <w:tcW w:w="20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32.6 %</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318,581</w:t>
            </w:r>
          </w:p>
        </w:tc>
        <w:tc>
          <w:tcPr>
            <w:tcW w:w="20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10.5 %</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360" w:type="dxa"/>
            <w:vAlign w:val="bottom"/>
            <w:tcBorders>
              <w:top w:val="single" w:sz="8" w:color="CCEEFF"/>
              <w:bottom w:val="single" w:sz="8" w:color="CCEEFF"/>
            </w:tcBorders>
            <w:gridSpan w:val="3"/>
            <w:shd w:val="clear" w:color="auto" w:fill="CCEEFF"/>
          </w:tcPr>
          <w:p>
            <w:pPr>
              <w:ind w:left="60"/>
              <w:spacing w:after="0" w:line="141" w:lineRule="exact"/>
              <w:rPr>
                <w:sz w:val="20"/>
                <w:szCs w:val="20"/>
                <w:color w:val="auto"/>
              </w:rPr>
            </w:pPr>
            <w:r>
              <w:rPr>
                <w:rFonts w:ascii="Times New Roman" w:cs="Times New Roman" w:eastAsia="Times New Roman" w:hAnsi="Times New Roman"/>
                <w:sz w:val="13"/>
                <w:szCs w:val="13"/>
                <w:b w:val="1"/>
                <w:bCs w:val="1"/>
                <w:color w:val="auto"/>
              </w:rPr>
              <w:t>Total</w:t>
            </w:r>
          </w:p>
        </w:tc>
        <w:tc>
          <w:tcPr>
            <w:tcW w:w="9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31,855,032</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100.0</w:t>
            </w:r>
          </w:p>
        </w:tc>
        <w:tc>
          <w:tcPr>
            <w:tcW w:w="140" w:type="dxa"/>
            <w:vAlign w:val="bottom"/>
            <w:tcBorders>
              <w:top w:val="single" w:sz="8" w:color="CCEEFF"/>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3,025,558</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100.0</w:t>
            </w:r>
          </w:p>
        </w:tc>
        <w:tc>
          <w:tcPr>
            <w:tcW w:w="140" w:type="dxa"/>
            <w:vAlign w:val="bottom"/>
            <w:tcBorders>
              <w:top w:val="single" w:sz="8" w:color="CCEEFF"/>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76"/>
        </w:trPr>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3"/>
          <w:szCs w:val="13"/>
          <w:b w:val="1"/>
          <w:bCs w:val="1"/>
          <w:color w:val="auto"/>
        </w:rPr>
        <w:t>Note:</w:t>
      </w:r>
      <w:r>
        <w:rPr>
          <w:sz w:val="20"/>
          <w:szCs w:val="20"/>
          <w:color w:val="auto"/>
        </w:rPr>
        <w:tab/>
      </w:r>
      <w:r>
        <w:rPr>
          <w:rFonts w:ascii="Times New Roman" w:cs="Times New Roman" w:eastAsia="Times New Roman" w:hAnsi="Times New Roman"/>
          <w:sz w:val="13"/>
          <w:szCs w:val="13"/>
          <w:color w:val="auto"/>
        </w:rPr>
        <w:t>Represents consolidated portfolio in addition to our managed portfolio of unconsolidated joint ventures based on our ownership percentage.</w:t>
      </w:r>
    </w:p>
    <w:p>
      <w:pPr>
        <w:spacing w:after="0" w:line="156" w:lineRule="exact"/>
        <w:rPr>
          <w:sz w:val="20"/>
          <w:szCs w:val="20"/>
          <w:color w:val="auto"/>
        </w:rPr>
      </w:pPr>
    </w:p>
    <w:p>
      <w:pPr>
        <w:ind w:left="260" w:right="319" w:hanging="235"/>
        <w:spacing w:after="0" w:line="254" w:lineRule="auto"/>
        <w:tabs>
          <w:tab w:leader="none" w:pos="2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estimate the total net rentable square feet available for lease based on a number of factors in addition to contractually leased square feet, including available power, required support space and common area.</w:t>
      </w:r>
    </w:p>
    <w:p>
      <w:pPr>
        <w:ind w:left="260" w:hanging="235"/>
        <w:spacing w:after="0"/>
        <w:tabs>
          <w:tab w:leader="none" w:pos="26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rent represents the monthly contractual base rent (defined as cash base rent before abatements) under existing leases as of December 31, 2020 multiplied by 12.</w:t>
      </w:r>
    </w:p>
    <w:p>
      <w:pPr>
        <w:spacing w:after="0" w:line="13" w:lineRule="exact"/>
        <w:rPr>
          <w:rFonts w:ascii="Times New Roman" w:cs="Times New Roman" w:eastAsia="Times New Roman" w:hAnsi="Times New Roman"/>
          <w:sz w:val="12"/>
          <w:szCs w:val="12"/>
          <w:color w:val="auto"/>
        </w:rPr>
      </w:pPr>
    </w:p>
    <w:p>
      <w:pPr>
        <w:ind w:left="260" w:hanging="235"/>
        <w:spacing w:after="0"/>
        <w:tabs>
          <w:tab w:leader="none" w:pos="26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includes unimproved building shell capacity as well as storage and office space within fully improved data center facilities.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7" w:name="page58"/>
    <w:bookmarkEnd w:id="5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Lease Expirations</w:t>
      </w:r>
    </w:p>
    <w:p>
      <w:pPr>
        <w:spacing w:after="0" w:line="156" w:lineRule="exact"/>
        <w:rPr>
          <w:sz w:val="20"/>
          <w:szCs w:val="20"/>
          <w:color w:val="auto"/>
        </w:rPr>
      </w:pPr>
    </w:p>
    <w:p>
      <w:pPr>
        <w:ind w:left="20" w:right="199" w:firstLine="228"/>
        <w:spacing w:after="0" w:line="252" w:lineRule="auto"/>
        <w:rPr>
          <w:sz w:val="20"/>
          <w:szCs w:val="20"/>
          <w:color w:val="auto"/>
        </w:rPr>
      </w:pPr>
      <w:r>
        <w:rPr>
          <w:rFonts w:ascii="Times New Roman" w:cs="Times New Roman" w:eastAsia="Times New Roman" w:hAnsi="Times New Roman"/>
          <w:sz w:val="13"/>
          <w:szCs w:val="13"/>
          <w:color w:val="auto"/>
        </w:rPr>
        <w:t>The following table sets forth a summary schedule of the lease expirations for leases in place as of December 31, 2020 plus available space for ten calendar years at the properties in our portfolio, excluding approximately 5.4 million square feet of space under active development and approximately 2.3 million square feet of space held for development at December 31, 2020. Unless otherwise stated in the footnotes to the table below, the information set forth in the table assumes that tenants exercise no renewal options and all early termination rights (dollar amounts in thousands).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Annualized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49"/>
              <w:spacing w:after="0" w:line="114" w:lineRule="exact"/>
              <w:rPr>
                <w:sz w:val="20"/>
                <w:szCs w:val="20"/>
                <w:color w:val="auto"/>
              </w:rPr>
            </w:pPr>
            <w:r>
              <w:rPr>
                <w:rFonts w:ascii="Times New Roman" w:cs="Times New Roman" w:eastAsia="Times New Roman" w:hAnsi="Times New Roman"/>
                <w:sz w:val="10"/>
                <w:szCs w:val="10"/>
                <w:b w:val="1"/>
                <w:bCs w:val="1"/>
                <w:color w:val="auto"/>
                <w:w w:val="98"/>
              </w:rPr>
              <w:t>Annualized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40"/>
              <w:spacing w:after="0" w:line="114" w:lineRule="exact"/>
              <w:rPr>
                <w:sz w:val="20"/>
                <w:szCs w:val="20"/>
                <w:color w:val="auto"/>
              </w:rPr>
            </w:pPr>
            <w:r>
              <w:rPr>
                <w:rFonts w:ascii="Times New Roman" w:cs="Times New Roman" w:eastAsia="Times New Roman" w:hAnsi="Times New Roman"/>
                <w:sz w:val="10"/>
                <w:szCs w:val="10"/>
                <w:b w:val="1"/>
                <w:bCs w:val="1"/>
                <w:color w:val="auto"/>
              </w:rPr>
              <w:t>Rent Per</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ind w:right="170"/>
              <w:spacing w:after="0" w:line="114" w:lineRule="exact"/>
              <w:rPr>
                <w:sz w:val="20"/>
                <w:szCs w:val="20"/>
                <w:color w:val="auto"/>
              </w:rPr>
            </w:pPr>
            <w:r>
              <w:rPr>
                <w:rFonts w:ascii="Times New Roman" w:cs="Times New Roman" w:eastAsia="Times New Roman" w:hAnsi="Times New Roman"/>
                <w:sz w:val="10"/>
                <w:szCs w:val="10"/>
                <w:b w:val="1"/>
                <w:bCs w:val="1"/>
                <w:color w:val="auto"/>
              </w:rPr>
              <w:t>Square</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right"/>
              <w:ind w:right="49"/>
              <w:spacing w:after="0" w:line="114"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49"/>
              <w:spacing w:after="0" w:line="114" w:lineRule="exact"/>
              <w:rPr>
                <w:sz w:val="20"/>
                <w:szCs w:val="20"/>
                <w:color w:val="auto"/>
              </w:rPr>
            </w:pPr>
            <w:r>
              <w:rPr>
                <w:rFonts w:ascii="Times New Roman" w:cs="Times New Roman" w:eastAsia="Times New Roman" w:hAnsi="Times New Roman"/>
                <w:sz w:val="10"/>
                <w:szCs w:val="10"/>
                <w:b w:val="1"/>
                <w:bCs w:val="1"/>
                <w:color w:val="auto"/>
              </w:rPr>
              <w:t>Rent Per</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40"/>
              <w:spacing w:after="0" w:line="114" w:lineRule="exact"/>
              <w:rPr>
                <w:sz w:val="20"/>
                <w:szCs w:val="20"/>
                <w:color w:val="auto"/>
              </w:rPr>
            </w:pPr>
            <w:r>
              <w:rPr>
                <w:rFonts w:ascii="Times New Roman" w:cs="Times New Roman" w:eastAsia="Times New Roman" w:hAnsi="Times New Roman"/>
                <w:sz w:val="10"/>
                <w:szCs w:val="10"/>
                <w:b w:val="1"/>
                <w:bCs w:val="1"/>
                <w:color w:val="auto"/>
                <w:w w:val="98"/>
              </w:rPr>
              <w:t>Occupied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ind w:right="130"/>
              <w:spacing w:after="0" w:line="104" w:lineRule="exact"/>
              <w:rPr>
                <w:sz w:val="20"/>
                <w:szCs w:val="20"/>
                <w:color w:val="auto"/>
              </w:rPr>
            </w:pPr>
            <w:r>
              <w:rPr>
                <w:rFonts w:ascii="Times New Roman" w:cs="Times New Roman" w:eastAsia="Times New Roman" w:hAnsi="Times New Roman"/>
                <w:sz w:val="10"/>
                <w:szCs w:val="10"/>
                <w:b w:val="1"/>
                <w:bCs w:val="1"/>
                <w:color w:val="auto"/>
              </w:rPr>
              <w:t>Footage of</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Annualized</w:t>
            </w:r>
          </w:p>
        </w:tc>
        <w:tc>
          <w:tcPr>
            <w:tcW w:w="700" w:type="dxa"/>
            <w:vAlign w:val="bottom"/>
          </w:tcPr>
          <w:p>
            <w:pPr>
              <w:jc w:val="right"/>
              <w:ind w:right="289"/>
              <w:spacing w:after="0" w:line="104" w:lineRule="exact"/>
              <w:rPr>
                <w:sz w:val="20"/>
                <w:szCs w:val="20"/>
                <w:color w:val="auto"/>
              </w:rPr>
            </w:pPr>
            <w:r>
              <w:rPr>
                <w:rFonts w:ascii="Times New Roman" w:cs="Times New Roman" w:eastAsia="Times New Roman" w:hAnsi="Times New Roman"/>
                <w:sz w:val="10"/>
                <w:szCs w:val="10"/>
                <w:b w:val="1"/>
                <w:bCs w:val="1"/>
                <w:color w:val="auto"/>
              </w:rPr>
              <w:t>of</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49"/>
              <w:spacing w:after="0" w:line="104" w:lineRule="exact"/>
              <w:rPr>
                <w:sz w:val="20"/>
                <w:szCs w:val="20"/>
                <w:color w:val="auto"/>
              </w:rPr>
            </w:pPr>
            <w:r>
              <w:rPr>
                <w:rFonts w:ascii="Times New Roman" w:cs="Times New Roman" w:eastAsia="Times New Roman" w:hAnsi="Times New Roman"/>
                <w:sz w:val="10"/>
                <w:szCs w:val="10"/>
                <w:b w:val="1"/>
                <w:bCs w:val="1"/>
                <w:color w:val="auto"/>
                <w:w w:val="98"/>
              </w:rPr>
              <w:t>Occupied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0"/>
                <w:szCs w:val="10"/>
                <w:b w:val="1"/>
                <w:bCs w:val="1"/>
                <w:color w:val="auto"/>
              </w:rPr>
              <w:t>Square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49"/>
              <w:spacing w:after="0" w:line="104" w:lineRule="exact"/>
              <w:rPr>
                <w:sz w:val="20"/>
                <w:szCs w:val="20"/>
                <w:color w:val="auto"/>
              </w:rPr>
            </w:pPr>
            <w:r>
              <w:rPr>
                <w:rFonts w:ascii="Times New Roman" w:cs="Times New Roman" w:eastAsia="Times New Roman" w:hAnsi="Times New Roman"/>
                <w:sz w:val="10"/>
                <w:szCs w:val="10"/>
                <w:b w:val="1"/>
                <w:bCs w:val="1"/>
                <w:color w:val="auto"/>
                <w:w w:val="98"/>
              </w:rPr>
              <w:t>Annualized</w:t>
            </w:r>
          </w:p>
        </w:tc>
        <w:tc>
          <w:tcPr>
            <w:tcW w:w="0" w:type="dxa"/>
            <w:vAlign w:val="bottom"/>
          </w:tcPr>
          <w:p>
            <w:pPr>
              <w:spacing w:after="0"/>
              <w:rPr>
                <w:sz w:val="1"/>
                <w:szCs w:val="1"/>
                <w:color w:val="auto"/>
              </w:rPr>
            </w:pPr>
          </w:p>
        </w:tc>
      </w:tr>
      <w:tr>
        <w:trPr>
          <w:trHeight w:val="102"/>
        </w:trPr>
        <w:tc>
          <w:tcPr>
            <w:tcW w:w="354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Year</w:t>
            </w:r>
          </w:p>
        </w:tc>
        <w:tc>
          <w:tcPr>
            <w:tcW w:w="760" w:type="dxa"/>
            <w:vAlign w:val="bottom"/>
          </w:tcPr>
          <w:p>
            <w:pPr>
              <w:jc w:val="right"/>
              <w:ind w:right="170"/>
              <w:spacing w:after="0" w:line="103" w:lineRule="exact"/>
              <w:rPr>
                <w:sz w:val="20"/>
                <w:szCs w:val="20"/>
                <w:color w:val="auto"/>
              </w:rPr>
            </w:pPr>
            <w:r>
              <w:rPr>
                <w:rFonts w:ascii="Times New Roman" w:cs="Times New Roman" w:eastAsia="Times New Roman" w:hAnsi="Times New Roman"/>
                <w:sz w:val="10"/>
                <w:szCs w:val="10"/>
                <w:b w:val="1"/>
                <w:bCs w:val="1"/>
                <w:color w:val="auto"/>
              </w:rPr>
              <w:t>Expiring</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00" w:type="dxa"/>
            <w:vAlign w:val="bottom"/>
          </w:tcPr>
          <w:p>
            <w:pPr>
              <w:jc w:val="right"/>
              <w:ind w:right="69"/>
              <w:spacing w:after="0" w:line="103" w:lineRule="exact"/>
              <w:rPr>
                <w:sz w:val="20"/>
                <w:szCs w:val="20"/>
                <w:color w:val="auto"/>
              </w:rPr>
            </w:pPr>
            <w:r>
              <w:rPr>
                <w:rFonts w:ascii="Times New Roman" w:cs="Times New Roman" w:eastAsia="Times New Roman" w:hAnsi="Times New Roman"/>
                <w:sz w:val="10"/>
                <w:szCs w:val="10"/>
                <w:b w:val="1"/>
                <w:bCs w:val="1"/>
                <w:color w:val="auto"/>
              </w:rPr>
              <w:t>Annualized</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ind w:right="209"/>
              <w:spacing w:after="0" w:line="103" w:lineRule="exact"/>
              <w:rPr>
                <w:sz w:val="20"/>
                <w:szCs w:val="20"/>
                <w:color w:val="auto"/>
              </w:rPr>
            </w:pPr>
            <w:r>
              <w:rPr>
                <w:rFonts w:ascii="Times New Roman" w:cs="Times New Roman" w:eastAsia="Times New Roman" w:hAnsi="Times New Roman"/>
                <w:sz w:val="10"/>
                <w:szCs w:val="10"/>
                <w:b w:val="1"/>
                <w:bCs w:val="1"/>
                <w:color w:val="auto"/>
              </w:rPr>
              <w:t>Square</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ind w:left="120"/>
              <w:spacing w:after="0" w:line="103" w:lineRule="exact"/>
              <w:rPr>
                <w:sz w:val="20"/>
                <w:szCs w:val="20"/>
                <w:color w:val="auto"/>
              </w:rPr>
            </w:pPr>
            <w:r>
              <w:rPr>
                <w:rFonts w:ascii="Times New Roman" w:cs="Times New Roman" w:eastAsia="Times New Roman" w:hAnsi="Times New Roman"/>
                <w:sz w:val="10"/>
                <w:szCs w:val="10"/>
                <w:b w:val="1"/>
                <w:bCs w:val="1"/>
                <w:color w:val="auto"/>
              </w:rPr>
              <w:t>Foot at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49"/>
              <w:spacing w:after="0" w:line="103" w:lineRule="exact"/>
              <w:rPr>
                <w:sz w:val="20"/>
                <w:szCs w:val="20"/>
                <w:color w:val="auto"/>
              </w:rPr>
            </w:pPr>
            <w:r>
              <w:rPr>
                <w:rFonts w:ascii="Times New Roman" w:cs="Times New Roman" w:eastAsia="Times New Roman" w:hAnsi="Times New Roman"/>
                <w:sz w:val="10"/>
                <w:szCs w:val="10"/>
                <w:b w:val="1"/>
                <w:bCs w:val="1"/>
                <w:color w:val="auto"/>
              </w:rPr>
              <w:t>Rent at</w:t>
            </w:r>
          </w:p>
        </w:tc>
        <w:tc>
          <w:tcPr>
            <w:tcW w:w="0" w:type="dxa"/>
            <w:vAlign w:val="bottom"/>
          </w:tcPr>
          <w:p>
            <w:pPr>
              <w:spacing w:after="0"/>
              <w:rPr>
                <w:sz w:val="1"/>
                <w:szCs w:val="1"/>
                <w:color w:val="auto"/>
              </w:rPr>
            </w:pPr>
          </w:p>
        </w:tc>
      </w:tr>
      <w:tr>
        <w:trPr>
          <w:trHeight w:val="123"/>
        </w:trPr>
        <w:tc>
          <w:tcPr>
            <w:tcW w:w="3540" w:type="dxa"/>
            <w:vAlign w:val="bottom"/>
            <w:gridSpan w:val="4"/>
            <w:vMerge w:val="continue"/>
          </w:tcPr>
          <w:p>
            <w:pPr>
              <w:spacing w:after="0"/>
              <w:rPr>
                <w:sz w:val="10"/>
                <w:szCs w:val="10"/>
                <w:color w:val="auto"/>
              </w:rPr>
            </w:pPr>
          </w:p>
        </w:tc>
        <w:tc>
          <w:tcPr>
            <w:tcW w:w="760" w:type="dxa"/>
            <w:vAlign w:val="bottom"/>
          </w:tcPr>
          <w:p>
            <w:pPr>
              <w:jc w:val="right"/>
              <w:ind w:right="130"/>
              <w:spacing w:after="0" w:line="123" w:lineRule="exact"/>
              <w:rPr>
                <w:sz w:val="20"/>
                <w:szCs w:val="20"/>
                <w:color w:val="auto"/>
              </w:rPr>
            </w:pPr>
            <w:r>
              <w:rPr>
                <w:rFonts w:ascii="Times New Roman" w:cs="Times New Roman" w:eastAsia="Times New Roman" w:hAnsi="Times New Roman"/>
                <w:sz w:val="10"/>
                <w:szCs w:val="10"/>
                <w:b w:val="1"/>
                <w:bCs w:val="1"/>
                <w:color w:val="auto"/>
              </w:rPr>
              <w:t xml:space="preserve">Leases </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40"/>
              <w:spacing w:after="0" w:line="123" w:lineRule="exact"/>
              <w:rPr>
                <w:sz w:val="20"/>
                <w:szCs w:val="20"/>
                <w:color w:val="auto"/>
              </w:rPr>
            </w:pPr>
            <w:r>
              <w:rPr>
                <w:rFonts w:ascii="Times New Roman" w:cs="Times New Roman" w:eastAsia="Times New Roman" w:hAnsi="Times New Roman"/>
                <w:sz w:val="10"/>
                <w:szCs w:val="10"/>
                <w:b w:val="1"/>
                <w:bCs w:val="1"/>
                <w:color w:val="auto"/>
                <w:w w:val="94"/>
              </w:rPr>
              <w:t xml:space="preserve">Rent </w:t>
            </w:r>
            <w:r>
              <w:rPr>
                <w:rFonts w:ascii="Times New Roman" w:cs="Times New Roman" w:eastAsia="Times New Roman" w:hAnsi="Times New Roman"/>
                <w:sz w:val="14"/>
                <w:szCs w:val="14"/>
                <w:b w:val="1"/>
                <w:bCs w:val="1"/>
                <w:color w:val="auto"/>
                <w:w w:val="94"/>
                <w:vertAlign w:val="superscript"/>
              </w:rPr>
              <w:t>(2)</w:t>
            </w:r>
          </w:p>
        </w:tc>
        <w:tc>
          <w:tcPr>
            <w:tcW w:w="700" w:type="dxa"/>
            <w:vAlign w:val="bottom"/>
          </w:tcPr>
          <w:p>
            <w:pPr>
              <w:jc w:val="right"/>
              <w:ind w:right="189"/>
              <w:spacing w:after="0"/>
              <w:rPr>
                <w:sz w:val="20"/>
                <w:szCs w:val="20"/>
                <w:color w:val="auto"/>
              </w:rPr>
            </w:pPr>
            <w:r>
              <w:rPr>
                <w:rFonts w:ascii="Times New Roman" w:cs="Times New Roman" w:eastAsia="Times New Roman" w:hAnsi="Times New Roman"/>
                <w:sz w:val="10"/>
                <w:szCs w:val="10"/>
                <w:b w:val="1"/>
                <w:bCs w:val="1"/>
                <w:color w:val="auto"/>
              </w:rPr>
              <w:t>Rent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9"/>
              <w:spacing w:after="0"/>
              <w:rPr>
                <w:sz w:val="20"/>
                <w:szCs w:val="20"/>
                <w:color w:val="auto"/>
              </w:rPr>
            </w:pPr>
            <w:r>
              <w:rPr>
                <w:rFonts w:ascii="Times New Roman" w:cs="Times New Roman" w:eastAsia="Times New Roman" w:hAnsi="Times New Roman"/>
                <w:sz w:val="10"/>
                <w:szCs w:val="10"/>
                <w:b w:val="1"/>
                <w:bCs w:val="1"/>
                <w:color w:val="auto"/>
              </w:rPr>
              <w:t>Foot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49"/>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380" w:type="dxa"/>
            <w:vAlign w:val="bottom"/>
            <w:tcBorders>
              <w:top w:val="single" w:sz="8" w:color="auto"/>
            </w:tcBorders>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Available</w:t>
            </w:r>
          </w:p>
        </w:tc>
        <w:tc>
          <w:tcPr>
            <w:tcW w:w="14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4,680,127</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52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color w:val="auto"/>
              </w:rPr>
              <w:t>Month to Month (3)</w:t>
            </w:r>
          </w:p>
        </w:tc>
        <w:tc>
          <w:tcPr>
            <w:tcW w:w="7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371,993</w:t>
            </w:r>
          </w:p>
        </w:tc>
        <w:tc>
          <w:tcPr>
            <w:tcW w:w="240" w:type="dxa"/>
            <w:vAlign w:val="bottom"/>
            <w:gridSpan w:val="2"/>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56,340</w:t>
            </w:r>
          </w:p>
        </w:tc>
        <w:tc>
          <w:tcPr>
            <w:tcW w:w="14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1.9</w:t>
            </w:r>
          </w:p>
        </w:tc>
        <w:tc>
          <w:tcPr>
            <w:tcW w:w="160" w:type="dxa"/>
            <w:vAlign w:val="bottom"/>
            <w:gridSpan w:val="2"/>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w w:val="95"/>
              </w:rPr>
              <w:t>%</w:t>
            </w:r>
          </w:p>
        </w:tc>
        <w:tc>
          <w:tcPr>
            <w:tcW w:w="140" w:type="dxa"/>
            <w:vAlign w:val="bottom"/>
            <w:gridSpan w:val="2"/>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151</w:t>
            </w:r>
          </w:p>
        </w:tc>
        <w:tc>
          <w:tcPr>
            <w:tcW w:w="240" w:type="dxa"/>
            <w:vAlign w:val="bottom"/>
            <w:gridSpan w:val="2"/>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151</w:t>
            </w:r>
          </w:p>
        </w:tc>
        <w:tc>
          <w:tcPr>
            <w:tcW w:w="140" w:type="dxa"/>
            <w:vAlign w:val="bottom"/>
          </w:tcPr>
          <w:p>
            <w:pPr>
              <w:spacing w:after="0"/>
              <w:rPr>
                <w:sz w:val="9"/>
                <w:szCs w:val="9"/>
                <w:color w:val="auto"/>
              </w:rPr>
            </w:pPr>
          </w:p>
        </w:tc>
        <w:tc>
          <w:tcPr>
            <w:tcW w:w="100" w:type="dxa"/>
            <w:vAlign w:val="bottom"/>
            <w:gridSpan w:val="2"/>
          </w:tcPr>
          <w:p>
            <w:pPr>
              <w:jc w:val="right"/>
              <w:ind w:right="15"/>
              <w:spacing w:after="0" w:line="104"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56,337</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2021</w:t>
            </w:r>
          </w:p>
        </w:tc>
        <w:tc>
          <w:tcPr>
            <w:tcW w:w="1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4,890,094</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817,901</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27.0</w:t>
            </w:r>
          </w:p>
        </w:tc>
        <w:tc>
          <w:tcPr>
            <w:tcW w:w="160" w:type="dxa"/>
            <w:vAlign w:val="bottom"/>
            <w:gridSpan w:val="2"/>
            <w:shd w:val="clear" w:color="auto" w:fill="CCEEFF"/>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w w:val="95"/>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167</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168</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819,973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2022</w:t>
            </w: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3,401,680</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484,725</w:t>
            </w:r>
          </w:p>
        </w:tc>
        <w:tc>
          <w:tcPr>
            <w:tcW w:w="14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16.0</w:t>
            </w:r>
          </w:p>
        </w:tc>
        <w:tc>
          <w:tcPr>
            <w:tcW w:w="160" w:type="dxa"/>
            <w:vAlign w:val="bottom"/>
            <w:gridSpan w:val="2"/>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w w:val="95"/>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142</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145</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493,983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2023</w:t>
            </w:r>
          </w:p>
        </w:tc>
        <w:tc>
          <w:tcPr>
            <w:tcW w:w="1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2,742,258</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328,240</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10.8</w:t>
            </w:r>
          </w:p>
        </w:tc>
        <w:tc>
          <w:tcPr>
            <w:tcW w:w="160" w:type="dxa"/>
            <w:vAlign w:val="bottom"/>
            <w:gridSpan w:val="2"/>
            <w:shd w:val="clear" w:color="auto" w:fill="CCEEFF"/>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w w:val="95"/>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120</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123</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337,448</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2024</w:t>
            </w: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2,660,949</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291,519</w:t>
            </w:r>
          </w:p>
        </w:tc>
        <w:tc>
          <w:tcPr>
            <w:tcW w:w="14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9.6</w:t>
            </w:r>
          </w:p>
        </w:tc>
        <w:tc>
          <w:tcPr>
            <w:tcW w:w="160" w:type="dxa"/>
            <w:vAlign w:val="bottom"/>
            <w:gridSpan w:val="2"/>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w w:val="95"/>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110</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116</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309,259</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2025</w:t>
            </w:r>
          </w:p>
        </w:tc>
        <w:tc>
          <w:tcPr>
            <w:tcW w:w="1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2,988,107</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314,197</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10.4</w:t>
            </w:r>
          </w:p>
        </w:tc>
        <w:tc>
          <w:tcPr>
            <w:tcW w:w="160" w:type="dxa"/>
            <w:vAlign w:val="bottom"/>
            <w:gridSpan w:val="2"/>
            <w:shd w:val="clear" w:color="auto" w:fill="CCEEFF"/>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w w:val="95"/>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105</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114</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339,491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2026</w:t>
            </w: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1,434,017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156,647</w:t>
            </w:r>
          </w:p>
        </w:tc>
        <w:tc>
          <w:tcPr>
            <w:tcW w:w="14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5.2</w:t>
            </w:r>
          </w:p>
        </w:tc>
        <w:tc>
          <w:tcPr>
            <w:tcW w:w="160" w:type="dxa"/>
            <w:vAlign w:val="bottom"/>
            <w:gridSpan w:val="2"/>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w w:val="95"/>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109</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125</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179,091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2027</w:t>
            </w:r>
          </w:p>
        </w:tc>
        <w:tc>
          <w:tcPr>
            <w:tcW w:w="1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1,111,798</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114,081</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3.8</w:t>
            </w:r>
          </w:p>
        </w:tc>
        <w:tc>
          <w:tcPr>
            <w:tcW w:w="160" w:type="dxa"/>
            <w:vAlign w:val="bottom"/>
            <w:gridSpan w:val="2"/>
            <w:shd w:val="clear" w:color="auto" w:fill="CCEEFF"/>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w w:val="95"/>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103</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118</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131,168</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2028</w:t>
            </w: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600,057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51,177</w:t>
            </w:r>
          </w:p>
        </w:tc>
        <w:tc>
          <w:tcPr>
            <w:tcW w:w="14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1.7</w:t>
            </w:r>
          </w:p>
        </w:tc>
        <w:tc>
          <w:tcPr>
            <w:tcW w:w="160" w:type="dxa"/>
            <w:vAlign w:val="bottom"/>
            <w:gridSpan w:val="2"/>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w w:val="95"/>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85</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100</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60,272</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2029</w:t>
            </w:r>
          </w:p>
        </w:tc>
        <w:tc>
          <w:tcPr>
            <w:tcW w:w="1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1,080,449</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83,573</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2.8</w:t>
            </w:r>
          </w:p>
        </w:tc>
        <w:tc>
          <w:tcPr>
            <w:tcW w:w="160" w:type="dxa"/>
            <w:vAlign w:val="bottom"/>
            <w:gridSpan w:val="2"/>
            <w:shd w:val="clear" w:color="auto" w:fill="CCEEFF"/>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w w:val="95"/>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77</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91</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98,702</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2030</w:t>
            </w: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1,220,243</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82,288</w:t>
            </w:r>
          </w:p>
        </w:tc>
        <w:tc>
          <w:tcPr>
            <w:tcW w:w="14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2.7</w:t>
            </w:r>
          </w:p>
        </w:tc>
        <w:tc>
          <w:tcPr>
            <w:tcW w:w="160" w:type="dxa"/>
            <w:vAlign w:val="bottom"/>
            <w:gridSpan w:val="2"/>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w w:val="95"/>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67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81</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99,093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520" w:type="dxa"/>
            <w:vAlign w:val="bottom"/>
            <w:gridSpan w:val="3"/>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Thereafter</w:t>
            </w:r>
          </w:p>
        </w:tc>
        <w:tc>
          <w:tcPr>
            <w:tcW w:w="76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4,673,261</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0"/>
              <w:spacing w:after="0" w:line="104" w:lineRule="exact"/>
              <w:rPr>
                <w:sz w:val="20"/>
                <w:szCs w:val="20"/>
                <w:color w:val="auto"/>
              </w:rPr>
            </w:pPr>
            <w:r>
              <w:rPr>
                <w:rFonts w:ascii="Times New Roman" w:cs="Times New Roman" w:eastAsia="Times New Roman" w:hAnsi="Times New Roman"/>
                <w:sz w:val="10"/>
                <w:szCs w:val="10"/>
                <w:color w:val="auto"/>
              </w:rPr>
              <w:t>244,870</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8.1</w:t>
            </w:r>
          </w:p>
        </w:tc>
        <w:tc>
          <w:tcPr>
            <w:tcW w:w="160" w:type="dxa"/>
            <w:vAlign w:val="bottom"/>
            <w:gridSpan w:val="2"/>
            <w:shd w:val="clear" w:color="auto" w:fill="CCEEFF"/>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w w:val="95"/>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52</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66</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310,518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gridSpan w:val="3"/>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Portfolio Total / Weighted Average</w:t>
            </w:r>
          </w:p>
        </w:tc>
        <w:tc>
          <w:tcPr>
            <w:tcW w:w="76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31,855,032</w:t>
            </w: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ind w:right="10"/>
              <w:spacing w:after="0" w:line="94" w:lineRule="exact"/>
              <w:rPr>
                <w:sz w:val="20"/>
                <w:szCs w:val="20"/>
                <w:color w:val="auto"/>
              </w:rPr>
            </w:pPr>
            <w:r>
              <w:rPr>
                <w:rFonts w:ascii="Times New Roman" w:cs="Times New Roman" w:eastAsia="Times New Roman" w:hAnsi="Times New Roman"/>
                <w:sz w:val="10"/>
                <w:szCs w:val="10"/>
                <w:color w:val="auto"/>
              </w:rPr>
              <w:t>3,025,558</w:t>
            </w:r>
          </w:p>
        </w:tc>
        <w:tc>
          <w:tcPr>
            <w:tcW w:w="140" w:type="dxa"/>
            <w:vAlign w:val="bottom"/>
          </w:tcPr>
          <w:p>
            <w:pPr>
              <w:spacing w:after="0"/>
              <w:rPr>
                <w:sz w:val="8"/>
                <w:szCs w:val="8"/>
                <w:color w:val="auto"/>
              </w:rPr>
            </w:pPr>
          </w:p>
        </w:tc>
        <w:tc>
          <w:tcPr>
            <w:tcW w:w="70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100.0</w:t>
            </w:r>
          </w:p>
        </w:tc>
        <w:tc>
          <w:tcPr>
            <w:tcW w:w="20" w:type="dxa"/>
            <w:vAlign w:val="bottom"/>
            <w:tcBorders>
              <w:top w:val="single" w:sz="8" w:color="auto"/>
              <w:bottom w:val="single" w:sz="8" w:color="auto"/>
            </w:tcBorders>
          </w:tcPr>
          <w:p>
            <w:pPr>
              <w:spacing w:after="0"/>
              <w:rPr>
                <w:sz w:val="8"/>
                <w:szCs w:val="8"/>
                <w:color w:val="auto"/>
              </w:rPr>
            </w:pPr>
          </w:p>
        </w:tc>
        <w:tc>
          <w:tcPr>
            <w:tcW w:w="140" w:type="dxa"/>
            <w:vAlign w:val="bottom"/>
          </w:tcPr>
          <w:p>
            <w:pPr>
              <w:jc w:val="right"/>
              <w:ind w:right="9"/>
              <w:spacing w:after="0" w:line="94" w:lineRule="exact"/>
              <w:rPr>
                <w:sz w:val="20"/>
                <w:szCs w:val="20"/>
                <w:color w:val="auto"/>
              </w:rPr>
            </w:pPr>
            <w:r>
              <w:rPr>
                <w:rFonts w:ascii="Times New Roman" w:cs="Times New Roman" w:eastAsia="Times New Roman" w:hAnsi="Times New Roman"/>
                <w:sz w:val="10"/>
                <w:szCs w:val="10"/>
                <w:color w:val="auto"/>
                <w:w w:val="71"/>
              </w:rPr>
              <w:t>%</w:t>
            </w:r>
          </w:p>
        </w:tc>
        <w:tc>
          <w:tcPr>
            <w:tcW w:w="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111</w:t>
            </w: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119</w:t>
            </w:r>
          </w:p>
        </w:tc>
        <w:tc>
          <w:tcPr>
            <w:tcW w:w="1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3,235,336</w:t>
            </w:r>
          </w:p>
        </w:tc>
        <w:tc>
          <w:tcPr>
            <w:tcW w:w="0" w:type="dxa"/>
            <w:vAlign w:val="bottom"/>
          </w:tcPr>
          <w:p>
            <w:pPr>
              <w:spacing w:after="0"/>
              <w:rPr>
                <w:sz w:val="1"/>
                <w:szCs w:val="1"/>
                <w:color w:val="auto"/>
              </w:rPr>
            </w:pPr>
          </w:p>
        </w:tc>
      </w:tr>
      <w:tr>
        <w:trPr>
          <w:trHeight w:val="76"/>
        </w:trPr>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3"/>
          <w:szCs w:val="13"/>
          <w:b w:val="1"/>
          <w:bCs w:val="1"/>
          <w:color w:val="auto"/>
        </w:rPr>
        <w:t>Note:</w:t>
      </w:r>
      <w:r>
        <w:rPr>
          <w:sz w:val="20"/>
          <w:szCs w:val="20"/>
          <w:color w:val="auto"/>
        </w:rPr>
        <w:tab/>
      </w:r>
      <w:r>
        <w:rPr>
          <w:rFonts w:ascii="Times New Roman" w:cs="Times New Roman" w:eastAsia="Times New Roman" w:hAnsi="Times New Roman"/>
          <w:sz w:val="13"/>
          <w:szCs w:val="13"/>
          <w:color w:val="auto"/>
        </w:rPr>
        <w:t>Represents consolidated portfolio in addition to our managed portfolio of unconsolidated joint ventures based on our ownership percentage.</w:t>
      </w:r>
    </w:p>
    <w:p>
      <w:pPr>
        <w:spacing w:after="0" w:line="156" w:lineRule="exact"/>
        <w:rPr>
          <w:sz w:val="20"/>
          <w:szCs w:val="20"/>
          <w:color w:val="auto"/>
        </w:rPr>
      </w:pPr>
    </w:p>
    <w:p>
      <w:pPr>
        <w:jc w:val="both"/>
        <w:ind w:left="260" w:right="179" w:hanging="235"/>
        <w:spacing w:after="0" w:line="250" w:lineRule="auto"/>
        <w:tabs>
          <w:tab w:leader="none" w:pos="2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some of our properties, we calculate square footage based on factors in addition to contractually leased square feet, including available power, required support space and common area. We estimate the total net rentable square feet available for lease based on a number of factors in addition to contractually leased square feet, including available power, required support space and common area.</w:t>
      </w:r>
    </w:p>
    <w:p>
      <w:pPr>
        <w:spacing w:after="0" w:line="1"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rent represents the monthly contractual base rent (defined as cash base rent before abatements) under existing leases as of December 31, 2020 multiplied by 12.</w:t>
      </w:r>
    </w:p>
    <w:p>
      <w:pPr>
        <w:spacing w:after="0" w:line="13" w:lineRule="exact"/>
        <w:rPr>
          <w:rFonts w:ascii="Times New Roman" w:cs="Times New Roman" w:eastAsia="Times New Roman" w:hAnsi="Times New Roman"/>
          <w:sz w:val="12"/>
          <w:szCs w:val="12"/>
          <w:color w:val="auto"/>
        </w:rPr>
      </w:pPr>
    </w:p>
    <w:p>
      <w:pPr>
        <w:ind w:left="260" w:hanging="235"/>
        <w:spacing w:after="0"/>
        <w:tabs>
          <w:tab w:leader="none" w:pos="2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leases, licenses and similar agreements that upon expiration have been automatically renewed on a month-to-month basis.</w:t>
      </w:r>
    </w:p>
    <w:p>
      <w:pPr>
        <w:spacing w:after="0" w:line="291"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3"/>
          <w:szCs w:val="13"/>
          <w:b w:val="1"/>
          <w:bCs w:val="1"/>
          <w:color w:val="auto"/>
        </w:rPr>
        <w:t>ITEM 3.</w:t>
      </w:r>
      <w:r>
        <w:rPr>
          <w:sz w:val="20"/>
          <w:szCs w:val="20"/>
          <w:color w:val="auto"/>
        </w:rPr>
        <w:tab/>
      </w:r>
      <w:r>
        <w:rPr>
          <w:rFonts w:ascii="Times New Roman" w:cs="Times New Roman" w:eastAsia="Times New Roman" w:hAnsi="Times New Roman"/>
          <w:sz w:val="12"/>
          <w:szCs w:val="12"/>
          <w:b w:val="1"/>
          <w:bCs w:val="1"/>
          <w:color w:val="auto"/>
        </w:rPr>
        <w:t>LEGAL PROCEEDINGS</w:t>
      </w:r>
    </w:p>
    <w:p>
      <w:pPr>
        <w:spacing w:after="0" w:line="156" w:lineRule="exact"/>
        <w:rPr>
          <w:sz w:val="20"/>
          <w:szCs w:val="20"/>
          <w:color w:val="auto"/>
        </w:rPr>
      </w:pPr>
    </w:p>
    <w:p>
      <w:pPr>
        <w:ind w:left="20" w:right="99" w:firstLine="228"/>
        <w:spacing w:after="0" w:line="268" w:lineRule="auto"/>
        <w:rPr>
          <w:sz w:val="20"/>
          <w:szCs w:val="20"/>
          <w:color w:val="auto"/>
        </w:rPr>
      </w:pPr>
      <w:r>
        <w:rPr>
          <w:rFonts w:ascii="Times New Roman" w:cs="Times New Roman" w:eastAsia="Times New Roman" w:hAnsi="Times New Roman"/>
          <w:sz w:val="13"/>
          <w:szCs w:val="13"/>
          <w:color w:val="auto"/>
        </w:rPr>
        <w:t>In the ordinary course of our business, we may become subject to various legal proceedings. As of December 31, 2020, we were not a party to any legal proceedings which we believe would have a material adverse effect on our operations or financial position.</w:t>
      </w:r>
    </w:p>
    <w:p>
      <w:pPr>
        <w:spacing w:after="0" w:line="120"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2"/>
          <w:szCs w:val="12"/>
          <w:b w:val="1"/>
          <w:bCs w:val="1"/>
          <w:color w:val="auto"/>
        </w:rPr>
        <w:t>MINE SAFETY DISCLOSURES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Not applicable.</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8" w:name="page59"/>
    <w:bookmarkEnd w:id="5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54" w:lineRule="exact"/>
        <w:rPr>
          <w:sz w:val="20"/>
          <w:szCs w:val="20"/>
          <w:color w:val="auto"/>
        </w:rPr>
      </w:pPr>
    </w:p>
    <w:p>
      <w:pPr>
        <w:ind w:left="20" w:right="659"/>
        <w:spacing w:after="0" w:line="271" w:lineRule="auto"/>
        <w:rPr>
          <w:sz w:val="20"/>
          <w:szCs w:val="20"/>
          <w:color w:val="auto"/>
        </w:rPr>
      </w:pPr>
      <w:r>
        <w:rPr>
          <w:rFonts w:ascii="Times New Roman" w:cs="Times New Roman" w:eastAsia="Times New Roman" w:hAnsi="Times New Roman"/>
          <w:sz w:val="13"/>
          <w:szCs w:val="13"/>
          <w:b w:val="1"/>
          <w:bCs w:val="1"/>
          <w:color w:val="auto"/>
        </w:rPr>
        <w:t>ITEM 5. MARKET FOR REGISTRANT’S COMMON EQUITY, RELATED STOCKHOLDER MATTERS AND ISSUER PURCHASES OF EQUITY SECURITIES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Digital Realty Trust, Inc.</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Digital Realty Trust, Inc.’s common stock has been listed, and is traded, on the New York Stock Exchange, or the NYSE, under the symbol “DLR” since October 29, 2004.</w:t>
      </w:r>
    </w:p>
    <w:p>
      <w:pPr>
        <w:spacing w:after="0" w:line="166" w:lineRule="exact"/>
        <w:rPr>
          <w:sz w:val="20"/>
          <w:szCs w:val="20"/>
          <w:color w:val="auto"/>
        </w:rPr>
      </w:pPr>
    </w:p>
    <w:p>
      <w:pPr>
        <w:jc w:val="both"/>
        <w:ind w:left="20" w:right="279" w:firstLine="228"/>
        <w:spacing w:after="0" w:line="256" w:lineRule="auto"/>
        <w:rPr>
          <w:sz w:val="20"/>
          <w:szCs w:val="20"/>
          <w:color w:val="auto"/>
        </w:rPr>
      </w:pPr>
      <w:r>
        <w:rPr>
          <w:rFonts w:ascii="Times New Roman" w:cs="Times New Roman" w:eastAsia="Times New Roman" w:hAnsi="Times New Roman"/>
          <w:sz w:val="13"/>
          <w:szCs w:val="13"/>
          <w:color w:val="auto"/>
        </w:rPr>
        <w:t>Subject to the distribution requirements applicable to REITs under the Code, Digital Realty Trust, Inc. intends, to the extent practicable, to invest substantially all of the proceeds from sales and refinancings of its assets in real estate-related assets and other assets. Digital Realty Trust, Inc. may, however, under certain circumstances, make a dividend of capital or of assets. Such dividends, if any, will be made at the discretion of Digital Realty Trust, Inc.’s Board of Directors.</w:t>
      </w:r>
    </w:p>
    <w:p>
      <w:pPr>
        <w:spacing w:after="0" w:line="129" w:lineRule="exact"/>
        <w:rPr>
          <w:sz w:val="20"/>
          <w:szCs w:val="20"/>
          <w:color w:val="auto"/>
        </w:rPr>
      </w:pPr>
    </w:p>
    <w:p>
      <w:pPr>
        <w:ind w:left="20" w:right="119" w:firstLine="228"/>
        <w:spacing w:after="0" w:line="268" w:lineRule="auto"/>
        <w:rPr>
          <w:sz w:val="20"/>
          <w:szCs w:val="20"/>
          <w:color w:val="auto"/>
        </w:rPr>
      </w:pPr>
      <w:r>
        <w:rPr>
          <w:rFonts w:ascii="Times New Roman" w:cs="Times New Roman" w:eastAsia="Times New Roman" w:hAnsi="Times New Roman"/>
          <w:sz w:val="13"/>
          <w:szCs w:val="13"/>
          <w:color w:val="auto"/>
        </w:rPr>
        <w:t>As of February 22, 2021, there were approximately 54 holders of record of Digital Realty Trust, Inc.’s common stock. This figure does not reflect the beneficial ownership of shares held in nominee name.</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Digital Realty Trust, L.P.</w:t>
      </w:r>
    </w:p>
    <w:p>
      <w:pPr>
        <w:spacing w:after="0" w:line="156" w:lineRule="exact"/>
        <w:rPr>
          <w:sz w:val="20"/>
          <w:szCs w:val="20"/>
          <w:color w:val="auto"/>
        </w:rPr>
      </w:pPr>
    </w:p>
    <w:p>
      <w:pPr>
        <w:ind w:left="20" w:right="299" w:firstLine="228"/>
        <w:spacing w:after="0" w:line="268" w:lineRule="auto"/>
        <w:rPr>
          <w:sz w:val="20"/>
          <w:szCs w:val="20"/>
          <w:color w:val="auto"/>
        </w:rPr>
      </w:pPr>
      <w:r>
        <w:rPr>
          <w:rFonts w:ascii="Times New Roman" w:cs="Times New Roman" w:eastAsia="Times New Roman" w:hAnsi="Times New Roman"/>
          <w:sz w:val="13"/>
          <w:szCs w:val="13"/>
          <w:color w:val="auto"/>
        </w:rPr>
        <w:t>There is no established trading market for Digital Realty Trust, L.P.’s common units of limited partnership. As of February 22, 2021, there were 87 holders of record of common units, including Digital Realty Trust, L.P.’s general partner, Digital Realty Trust, Inc.</w:t>
      </w:r>
    </w:p>
    <w:p>
      <w:pPr>
        <w:spacing w:after="0" w:line="122" w:lineRule="exact"/>
        <w:rPr>
          <w:sz w:val="20"/>
          <w:szCs w:val="20"/>
          <w:color w:val="auto"/>
        </w:rPr>
      </w:pPr>
    </w:p>
    <w:p>
      <w:pPr>
        <w:jc w:val="both"/>
        <w:ind w:left="20" w:right="219" w:firstLine="228"/>
        <w:spacing w:after="0" w:line="287" w:lineRule="auto"/>
        <w:rPr>
          <w:sz w:val="20"/>
          <w:szCs w:val="20"/>
          <w:color w:val="auto"/>
        </w:rPr>
      </w:pPr>
      <w:r>
        <w:rPr>
          <w:rFonts w:ascii="Times New Roman" w:cs="Times New Roman" w:eastAsia="Times New Roman" w:hAnsi="Times New Roman"/>
          <w:sz w:val="12"/>
          <w:szCs w:val="12"/>
          <w:color w:val="auto"/>
        </w:rPr>
        <w:t>Digital Realty Trust, L.P. currently intends to continue to make regular quarterly distributions to holders of its common units. Any future distributions will be declared at the discretion of the Board of Directors of Digital Realty Trust, L.P.’s general partner, Digital Realty Trust, Inc., and will depend on our actual cash flow, financial condition, capital requirements, the annual distribution requirements under the REIT provisions of the Code, and such other factors as the Board of Directors may deem relevant.</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9" w:name="page60"/>
    <w:bookmarkEnd w:id="5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STOCK PERFORMANCE GRAPH</w:t>
      </w:r>
    </w:p>
    <w:p>
      <w:pPr>
        <w:spacing w:after="0" w:line="156" w:lineRule="exact"/>
        <w:rPr>
          <w:sz w:val="20"/>
          <w:szCs w:val="20"/>
          <w:color w:val="auto"/>
        </w:rPr>
      </w:pPr>
    </w:p>
    <w:p>
      <w:pPr>
        <w:ind w:left="20" w:right="99" w:firstLine="228"/>
        <w:spacing w:after="0" w:line="287" w:lineRule="auto"/>
        <w:rPr>
          <w:sz w:val="20"/>
          <w:szCs w:val="20"/>
          <w:color w:val="auto"/>
        </w:rPr>
      </w:pPr>
      <w:r>
        <w:rPr>
          <w:rFonts w:ascii="Times New Roman" w:cs="Times New Roman" w:eastAsia="Times New Roman" w:hAnsi="Times New Roman"/>
          <w:sz w:val="12"/>
          <w:szCs w:val="12"/>
          <w:color w:val="auto"/>
        </w:rPr>
        <w:t>The following graph compares the yearly change in the cumulative total stockholder return on Digital Realty Trust, Inc.’s common stock during the period from December 31, 2015 through December 31, 2020, with the cumulative total returns on the MSCI US REIT Index (RMS) and the S&amp;P 500 Market Index. The comparison assumes that $100 was invested on December 31, 2015 in Digital Realty Trust, Inc.’s common stock and in each of these indices and assumes reinvestment of dividends, if any.</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COMPARISON OF CUMULATIVE TOTAL RETURNS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AMONG DIGITAL REALTY TRUST, INC., S&amp;P 500 INDEX AND RMS INDEX</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Assumes $100 invested on December 31, 2015 and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dividends reinvested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To fiscal year ending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913130</wp:posOffset>
            </wp:positionH>
            <wp:positionV relativeFrom="paragraph">
              <wp:posOffset>107315</wp:posOffset>
            </wp:positionV>
            <wp:extent cx="3893820" cy="3044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9382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0" w:name="page61"/>
    <w:bookmarkEnd w:id="60"/>
    <w:p>
      <w:pPr>
        <w:ind w:left="20"/>
        <w:spacing w:after="0" w:line="175" w:lineRule="exact"/>
        <w:rPr>
          <w:rFonts w:ascii="Arial Unicode MS" w:cs="Arial Unicode MS" w:eastAsia="Arial Unicode MS" w:hAnsi="Arial Unicode MS"/>
          <w:sz w:val="13"/>
          <w:szCs w:val="13"/>
          <w:u w:val="single" w:color="auto"/>
          <w:color w:val="0000EE"/>
        </w:rPr>
      </w:pPr>
      <w:hyperlink w:anchor="page5">
        <w:r>
          <w:rPr>
            <w:rFonts w:ascii="Arial Unicode MS" w:cs="Arial Unicode MS" w:eastAsia="Arial Unicode MS" w:hAnsi="Arial Unicode MS"/>
            <w:sz w:val="13"/>
            <w:szCs w:val="13"/>
            <w:u w:val="single" w:color="auto"/>
            <w:color w:val="0000EE"/>
          </w:rPr>
          <w:t>Table of Contents</w:t>
        </w:r>
      </w:hyperlink>
    </w:p>
    <w:p>
      <w:pPr>
        <w:spacing w:after="0" w:line="196" w:lineRule="exact"/>
        <w:rPr>
          <w:sz w:val="20"/>
          <w:szCs w:val="20"/>
          <w:color w:val="auto"/>
        </w:rPr>
      </w:pPr>
    </w:p>
    <w:p>
      <w:pPr>
        <w:ind w:left="20"/>
        <w:spacing w:after="0" w:line="175" w:lineRule="exact"/>
        <w:rPr>
          <w:rFonts w:ascii="Arial Unicode MS" w:cs="Arial Unicode MS" w:eastAsia="Arial Unicode MS" w:hAnsi="Arial Unicode MS"/>
          <w:sz w:val="13"/>
          <w:szCs w:val="13"/>
          <w:u w:val="single" w:color="auto"/>
          <w:color w:val="0000FF"/>
        </w:rPr>
      </w:pPr>
      <w:hyperlink w:anchor="page102">
        <w:r>
          <w:rPr>
            <w:rFonts w:ascii="Arial Unicode MS" w:cs="Arial Unicode MS" w:eastAsia="Arial Unicode MS" w:hAnsi="Arial Unicode MS"/>
            <w:sz w:val="13"/>
            <w:szCs w:val="13"/>
            <w:u w:val="single" w:color="auto"/>
            <w:color w:val="0000FF"/>
          </w:rPr>
          <w:t>Index to Financial Statements</w:t>
        </w:r>
      </w:hyperlink>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60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Pricing Date</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DLR($)</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S&amp;P 500($)</w:t>
            </w: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0"/>
                <w:szCs w:val="10"/>
                <w:b w:val="1"/>
                <w:bCs w:val="1"/>
                <w:color w:val="auto"/>
              </w:rPr>
              <w:t>RMS($)</w:t>
            </w:r>
          </w:p>
        </w:tc>
      </w:tr>
      <w:tr>
        <w:trPr>
          <w:trHeight w:val="141"/>
        </w:trPr>
        <w:tc>
          <w:tcPr>
            <w:tcW w:w="20" w:type="dxa"/>
            <w:vAlign w:val="bottom"/>
          </w:tcPr>
          <w:p>
            <w:pPr>
              <w:spacing w:after="0"/>
              <w:rPr>
                <w:sz w:val="12"/>
                <w:szCs w:val="12"/>
                <w:color w:val="auto"/>
              </w:rPr>
            </w:pPr>
          </w:p>
        </w:tc>
        <w:tc>
          <w:tcPr>
            <w:tcW w:w="5840" w:type="dxa"/>
            <w:vAlign w:val="bottom"/>
            <w:tcBorders>
              <w:top w:val="single" w:sz="8" w:color="auto"/>
            </w:tcBorders>
            <w:shd w:val="clear" w:color="auto" w:fill="CCEEFF"/>
          </w:tcPr>
          <w:p>
            <w:pPr>
              <w:spacing w:after="0" w:line="141" w:lineRule="exact"/>
              <w:rPr>
                <w:sz w:val="20"/>
                <w:szCs w:val="20"/>
                <w:color w:val="auto"/>
              </w:rPr>
            </w:pPr>
            <w:r>
              <w:rPr>
                <w:rFonts w:ascii="Arial Unicode MS" w:cs="Arial Unicode MS" w:eastAsia="Arial Unicode MS" w:hAnsi="Arial Unicode MS"/>
                <w:sz w:val="13"/>
                <w:szCs w:val="13"/>
                <w:color w:val="auto"/>
              </w:rPr>
              <w:t>December 31, 2015</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1" w:lineRule="exact"/>
              <w:rPr>
                <w:sz w:val="20"/>
                <w:szCs w:val="20"/>
                <w:color w:val="auto"/>
              </w:rPr>
            </w:pPr>
            <w:r>
              <w:rPr>
                <w:rFonts w:ascii="Arial Unicode MS" w:cs="Arial Unicode MS" w:eastAsia="Arial Unicode MS" w:hAnsi="Arial Unicode MS"/>
                <w:sz w:val="13"/>
                <w:szCs w:val="13"/>
                <w:color w:val="auto"/>
              </w:rPr>
              <w:t>100.0</w:t>
            </w: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1" w:lineRule="exact"/>
              <w:rPr>
                <w:sz w:val="20"/>
                <w:szCs w:val="20"/>
                <w:color w:val="auto"/>
              </w:rPr>
            </w:pPr>
            <w:r>
              <w:rPr>
                <w:rFonts w:ascii="Arial Unicode MS" w:cs="Arial Unicode MS" w:eastAsia="Arial Unicode MS" w:hAnsi="Arial Unicode MS"/>
                <w:sz w:val="13"/>
                <w:szCs w:val="13"/>
                <w:color w:val="auto"/>
              </w:rPr>
              <w:t>100.0</w:t>
            </w: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1" w:lineRule="exact"/>
              <w:rPr>
                <w:sz w:val="20"/>
                <w:szCs w:val="20"/>
                <w:color w:val="auto"/>
              </w:rPr>
            </w:pPr>
            <w:r>
              <w:rPr>
                <w:rFonts w:ascii="Arial Unicode MS" w:cs="Arial Unicode MS" w:eastAsia="Arial Unicode MS" w:hAnsi="Arial Unicode MS"/>
                <w:sz w:val="13"/>
                <w:szCs w:val="13"/>
                <w:color w:val="auto"/>
              </w:rPr>
              <w:t>100.0</w:t>
            </w:r>
          </w:p>
        </w:tc>
      </w:tr>
      <w:tr>
        <w:trPr>
          <w:trHeight w:val="152"/>
        </w:trPr>
        <w:tc>
          <w:tcPr>
            <w:tcW w:w="20" w:type="dxa"/>
            <w:vAlign w:val="bottom"/>
          </w:tcPr>
          <w:p>
            <w:pPr>
              <w:spacing w:after="0"/>
              <w:rPr>
                <w:sz w:val="13"/>
                <w:szCs w:val="13"/>
                <w:color w:val="auto"/>
              </w:rPr>
            </w:pPr>
          </w:p>
        </w:tc>
        <w:tc>
          <w:tcPr>
            <w:tcW w:w="6060" w:type="dxa"/>
            <w:vAlign w:val="bottom"/>
            <w:gridSpan w:val="2"/>
          </w:tcPr>
          <w:p>
            <w:pPr>
              <w:spacing w:after="0" w:line="152" w:lineRule="exact"/>
              <w:rPr>
                <w:sz w:val="20"/>
                <w:szCs w:val="20"/>
                <w:color w:val="auto"/>
              </w:rPr>
            </w:pPr>
            <w:r>
              <w:rPr>
                <w:rFonts w:ascii="Arial Unicode MS" w:cs="Arial Unicode MS" w:eastAsia="Arial Unicode MS" w:hAnsi="Arial Unicode MS"/>
                <w:sz w:val="13"/>
                <w:szCs w:val="13"/>
                <w:color w:val="auto"/>
              </w:rPr>
              <w:t>December 31, 2016</w:t>
            </w:r>
          </w:p>
        </w:tc>
        <w:tc>
          <w:tcPr>
            <w:tcW w:w="800" w:type="dxa"/>
            <w:vAlign w:val="bottom"/>
          </w:tcPr>
          <w:p>
            <w:pPr>
              <w:jc w:val="right"/>
              <w:spacing w:after="0" w:line="152" w:lineRule="exact"/>
              <w:rPr>
                <w:sz w:val="20"/>
                <w:szCs w:val="20"/>
                <w:color w:val="auto"/>
              </w:rPr>
            </w:pPr>
            <w:r>
              <w:rPr>
                <w:rFonts w:ascii="Arial Unicode MS" w:cs="Arial Unicode MS" w:eastAsia="Arial Unicode MS" w:hAnsi="Arial Unicode MS"/>
                <w:sz w:val="13"/>
                <w:szCs w:val="13"/>
                <w:color w:val="auto"/>
              </w:rPr>
              <w:t>134.9</w:t>
            </w:r>
          </w:p>
        </w:tc>
        <w:tc>
          <w:tcPr>
            <w:tcW w:w="24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Arial Unicode MS" w:cs="Arial Unicode MS" w:eastAsia="Arial Unicode MS" w:hAnsi="Arial Unicode MS"/>
                <w:sz w:val="13"/>
                <w:szCs w:val="13"/>
                <w:color w:val="auto"/>
              </w:rPr>
              <w:t>112.0</w:t>
            </w:r>
          </w:p>
        </w:tc>
        <w:tc>
          <w:tcPr>
            <w:tcW w:w="24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Arial Unicode MS" w:cs="Arial Unicode MS" w:eastAsia="Arial Unicode MS" w:hAnsi="Arial Unicode MS"/>
                <w:sz w:val="13"/>
                <w:szCs w:val="13"/>
                <w:color w:val="auto"/>
              </w:rPr>
              <w:t>108.6</w:t>
            </w:r>
          </w:p>
        </w:tc>
      </w:tr>
      <w:tr>
        <w:trPr>
          <w:trHeight w:val="152"/>
        </w:trPr>
        <w:tc>
          <w:tcPr>
            <w:tcW w:w="20" w:type="dxa"/>
            <w:vAlign w:val="bottom"/>
          </w:tcPr>
          <w:p>
            <w:pPr>
              <w:spacing w:after="0"/>
              <w:rPr>
                <w:sz w:val="13"/>
                <w:szCs w:val="13"/>
                <w:color w:val="auto"/>
              </w:rPr>
            </w:pPr>
          </w:p>
        </w:tc>
        <w:tc>
          <w:tcPr>
            <w:tcW w:w="6060" w:type="dxa"/>
            <w:vAlign w:val="bottom"/>
            <w:gridSpan w:val="2"/>
            <w:shd w:val="clear" w:color="auto" w:fill="CCEEFF"/>
          </w:tcPr>
          <w:p>
            <w:pPr>
              <w:spacing w:after="0" w:line="152" w:lineRule="exact"/>
              <w:rPr>
                <w:sz w:val="20"/>
                <w:szCs w:val="20"/>
                <w:color w:val="auto"/>
              </w:rPr>
            </w:pPr>
            <w:r>
              <w:rPr>
                <w:rFonts w:ascii="Arial Unicode MS" w:cs="Arial Unicode MS" w:eastAsia="Arial Unicode MS" w:hAnsi="Arial Unicode MS"/>
                <w:sz w:val="13"/>
                <w:szCs w:val="13"/>
                <w:color w:val="auto"/>
              </w:rPr>
              <w:t>December 31, 2017</w:t>
            </w:r>
          </w:p>
        </w:tc>
        <w:tc>
          <w:tcPr>
            <w:tcW w:w="800" w:type="dxa"/>
            <w:vAlign w:val="bottom"/>
            <w:shd w:val="clear" w:color="auto" w:fill="CCEEFF"/>
          </w:tcPr>
          <w:p>
            <w:pPr>
              <w:jc w:val="right"/>
              <w:spacing w:after="0" w:line="152" w:lineRule="exact"/>
              <w:rPr>
                <w:sz w:val="20"/>
                <w:szCs w:val="20"/>
                <w:color w:val="auto"/>
              </w:rPr>
            </w:pPr>
            <w:r>
              <w:rPr>
                <w:rFonts w:ascii="Arial Unicode MS" w:cs="Arial Unicode MS" w:eastAsia="Arial Unicode MS" w:hAnsi="Arial Unicode MS"/>
                <w:sz w:val="13"/>
                <w:szCs w:val="13"/>
                <w:color w:val="auto"/>
              </w:rPr>
              <w:t>161.6</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2" w:lineRule="exact"/>
              <w:rPr>
                <w:sz w:val="20"/>
                <w:szCs w:val="20"/>
                <w:color w:val="auto"/>
              </w:rPr>
            </w:pPr>
            <w:r>
              <w:rPr>
                <w:rFonts w:ascii="Arial Unicode MS" w:cs="Arial Unicode MS" w:eastAsia="Arial Unicode MS" w:hAnsi="Arial Unicode MS"/>
                <w:sz w:val="13"/>
                <w:szCs w:val="13"/>
                <w:color w:val="auto"/>
              </w:rPr>
              <w:t>136.4</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2" w:lineRule="exact"/>
              <w:rPr>
                <w:sz w:val="20"/>
                <w:szCs w:val="20"/>
                <w:color w:val="auto"/>
              </w:rPr>
            </w:pPr>
            <w:r>
              <w:rPr>
                <w:rFonts w:ascii="Arial Unicode MS" w:cs="Arial Unicode MS" w:eastAsia="Arial Unicode MS" w:hAnsi="Arial Unicode MS"/>
                <w:sz w:val="13"/>
                <w:szCs w:val="13"/>
                <w:color w:val="auto"/>
              </w:rPr>
              <w:t>114.1</w:t>
            </w:r>
          </w:p>
        </w:tc>
      </w:tr>
      <w:tr>
        <w:trPr>
          <w:trHeight w:val="152"/>
        </w:trPr>
        <w:tc>
          <w:tcPr>
            <w:tcW w:w="20" w:type="dxa"/>
            <w:vAlign w:val="bottom"/>
          </w:tcPr>
          <w:p>
            <w:pPr>
              <w:spacing w:after="0"/>
              <w:rPr>
                <w:sz w:val="13"/>
                <w:szCs w:val="13"/>
                <w:color w:val="auto"/>
              </w:rPr>
            </w:pPr>
          </w:p>
        </w:tc>
        <w:tc>
          <w:tcPr>
            <w:tcW w:w="6060" w:type="dxa"/>
            <w:vAlign w:val="bottom"/>
            <w:gridSpan w:val="2"/>
          </w:tcPr>
          <w:p>
            <w:pPr>
              <w:spacing w:after="0" w:line="152" w:lineRule="exact"/>
              <w:rPr>
                <w:sz w:val="20"/>
                <w:szCs w:val="20"/>
                <w:color w:val="auto"/>
              </w:rPr>
            </w:pPr>
            <w:r>
              <w:rPr>
                <w:rFonts w:ascii="Arial Unicode MS" w:cs="Arial Unicode MS" w:eastAsia="Arial Unicode MS" w:hAnsi="Arial Unicode MS"/>
                <w:sz w:val="13"/>
                <w:szCs w:val="13"/>
                <w:color w:val="auto"/>
              </w:rPr>
              <w:t>December 31, 2018</w:t>
            </w:r>
          </w:p>
        </w:tc>
        <w:tc>
          <w:tcPr>
            <w:tcW w:w="800" w:type="dxa"/>
            <w:vAlign w:val="bottom"/>
          </w:tcPr>
          <w:p>
            <w:pPr>
              <w:jc w:val="right"/>
              <w:spacing w:after="0" w:line="152" w:lineRule="exact"/>
              <w:rPr>
                <w:sz w:val="20"/>
                <w:szCs w:val="20"/>
                <w:color w:val="auto"/>
              </w:rPr>
            </w:pPr>
            <w:r>
              <w:rPr>
                <w:rFonts w:ascii="Arial Unicode MS" w:cs="Arial Unicode MS" w:eastAsia="Arial Unicode MS" w:hAnsi="Arial Unicode MS"/>
                <w:sz w:val="13"/>
                <w:szCs w:val="13"/>
                <w:color w:val="auto"/>
              </w:rPr>
              <w:t>156.7</w:t>
            </w:r>
          </w:p>
        </w:tc>
        <w:tc>
          <w:tcPr>
            <w:tcW w:w="24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Arial Unicode MS" w:cs="Arial Unicode MS" w:eastAsia="Arial Unicode MS" w:hAnsi="Arial Unicode MS"/>
                <w:sz w:val="13"/>
                <w:szCs w:val="13"/>
                <w:color w:val="auto"/>
              </w:rPr>
              <w:t>130.4</w:t>
            </w:r>
          </w:p>
        </w:tc>
        <w:tc>
          <w:tcPr>
            <w:tcW w:w="24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Arial Unicode MS" w:cs="Arial Unicode MS" w:eastAsia="Arial Unicode MS" w:hAnsi="Arial Unicode MS"/>
                <w:sz w:val="13"/>
                <w:szCs w:val="13"/>
                <w:color w:val="auto"/>
              </w:rPr>
              <w:t>108.9</w:t>
            </w:r>
          </w:p>
        </w:tc>
      </w:tr>
      <w:tr>
        <w:trPr>
          <w:trHeight w:val="152"/>
        </w:trPr>
        <w:tc>
          <w:tcPr>
            <w:tcW w:w="20" w:type="dxa"/>
            <w:vAlign w:val="bottom"/>
          </w:tcPr>
          <w:p>
            <w:pPr>
              <w:spacing w:after="0"/>
              <w:rPr>
                <w:sz w:val="13"/>
                <w:szCs w:val="13"/>
                <w:color w:val="auto"/>
              </w:rPr>
            </w:pPr>
          </w:p>
        </w:tc>
        <w:tc>
          <w:tcPr>
            <w:tcW w:w="6060" w:type="dxa"/>
            <w:vAlign w:val="bottom"/>
            <w:gridSpan w:val="2"/>
            <w:shd w:val="clear" w:color="auto" w:fill="CCEEFF"/>
          </w:tcPr>
          <w:p>
            <w:pPr>
              <w:spacing w:after="0" w:line="152" w:lineRule="exact"/>
              <w:rPr>
                <w:sz w:val="20"/>
                <w:szCs w:val="20"/>
                <w:color w:val="auto"/>
              </w:rPr>
            </w:pPr>
            <w:r>
              <w:rPr>
                <w:rFonts w:ascii="Arial Unicode MS" w:cs="Arial Unicode MS" w:eastAsia="Arial Unicode MS" w:hAnsi="Arial Unicode MS"/>
                <w:sz w:val="13"/>
                <w:szCs w:val="13"/>
                <w:color w:val="auto"/>
              </w:rPr>
              <w:t>December 31, 2019</w:t>
            </w:r>
          </w:p>
        </w:tc>
        <w:tc>
          <w:tcPr>
            <w:tcW w:w="800" w:type="dxa"/>
            <w:vAlign w:val="bottom"/>
            <w:shd w:val="clear" w:color="auto" w:fill="CCEEFF"/>
          </w:tcPr>
          <w:p>
            <w:pPr>
              <w:jc w:val="right"/>
              <w:spacing w:after="0" w:line="152" w:lineRule="exact"/>
              <w:rPr>
                <w:sz w:val="20"/>
                <w:szCs w:val="20"/>
                <w:color w:val="auto"/>
              </w:rPr>
            </w:pPr>
            <w:r>
              <w:rPr>
                <w:rFonts w:ascii="Arial Unicode MS" w:cs="Arial Unicode MS" w:eastAsia="Arial Unicode MS" w:hAnsi="Arial Unicode MS"/>
                <w:sz w:val="13"/>
                <w:szCs w:val="13"/>
                <w:color w:val="auto"/>
              </w:rPr>
              <w:t>182.6</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2" w:lineRule="exact"/>
              <w:rPr>
                <w:sz w:val="20"/>
                <w:szCs w:val="20"/>
                <w:color w:val="auto"/>
              </w:rPr>
            </w:pPr>
            <w:r>
              <w:rPr>
                <w:rFonts w:ascii="Arial Unicode MS" w:cs="Arial Unicode MS" w:eastAsia="Arial Unicode MS" w:hAnsi="Arial Unicode MS"/>
                <w:sz w:val="13"/>
                <w:szCs w:val="13"/>
                <w:color w:val="auto"/>
              </w:rPr>
              <w:t>171.5</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2" w:lineRule="exact"/>
              <w:rPr>
                <w:sz w:val="20"/>
                <w:szCs w:val="20"/>
                <w:color w:val="auto"/>
              </w:rPr>
            </w:pPr>
            <w:r>
              <w:rPr>
                <w:rFonts w:ascii="Arial Unicode MS" w:cs="Arial Unicode MS" w:eastAsia="Arial Unicode MS" w:hAnsi="Arial Unicode MS"/>
                <w:sz w:val="13"/>
                <w:szCs w:val="13"/>
                <w:color w:val="auto"/>
              </w:rPr>
              <w:t>137.0</w:t>
            </w:r>
          </w:p>
        </w:tc>
      </w:tr>
      <w:tr>
        <w:trPr>
          <w:trHeight w:val="165"/>
        </w:trPr>
        <w:tc>
          <w:tcPr>
            <w:tcW w:w="20" w:type="dxa"/>
            <w:vAlign w:val="bottom"/>
          </w:tcPr>
          <w:p>
            <w:pPr>
              <w:spacing w:after="0"/>
              <w:rPr>
                <w:sz w:val="14"/>
                <w:szCs w:val="14"/>
                <w:color w:val="auto"/>
              </w:rPr>
            </w:pPr>
          </w:p>
        </w:tc>
        <w:tc>
          <w:tcPr>
            <w:tcW w:w="6060" w:type="dxa"/>
            <w:vAlign w:val="bottom"/>
            <w:gridSpan w:val="2"/>
          </w:tcPr>
          <w:p>
            <w:pPr>
              <w:spacing w:after="0" w:line="165" w:lineRule="exact"/>
              <w:rPr>
                <w:sz w:val="20"/>
                <w:szCs w:val="20"/>
                <w:color w:val="auto"/>
              </w:rPr>
            </w:pPr>
            <w:r>
              <w:rPr>
                <w:rFonts w:ascii="Arial Unicode MS" w:cs="Arial Unicode MS" w:eastAsia="Arial Unicode MS" w:hAnsi="Arial Unicode MS"/>
                <w:sz w:val="13"/>
                <w:szCs w:val="13"/>
                <w:color w:val="auto"/>
              </w:rPr>
              <w:t>December 31, 2020</w:t>
            </w:r>
          </w:p>
        </w:tc>
        <w:tc>
          <w:tcPr>
            <w:tcW w:w="800" w:type="dxa"/>
            <w:vAlign w:val="bottom"/>
          </w:tcPr>
          <w:p>
            <w:pPr>
              <w:jc w:val="right"/>
              <w:spacing w:after="0" w:line="165" w:lineRule="exact"/>
              <w:rPr>
                <w:sz w:val="20"/>
                <w:szCs w:val="20"/>
                <w:color w:val="auto"/>
              </w:rPr>
            </w:pPr>
            <w:r>
              <w:rPr>
                <w:rFonts w:ascii="Arial Unicode MS" w:cs="Arial Unicode MS" w:eastAsia="Arial Unicode MS" w:hAnsi="Arial Unicode MS"/>
                <w:sz w:val="13"/>
                <w:szCs w:val="13"/>
                <w:color w:val="auto"/>
              </w:rPr>
              <w:t>219.9</w:t>
            </w:r>
          </w:p>
        </w:tc>
        <w:tc>
          <w:tcPr>
            <w:tcW w:w="240" w:type="dxa"/>
            <w:vAlign w:val="bottom"/>
          </w:tcPr>
          <w:p>
            <w:pPr>
              <w:spacing w:after="0"/>
              <w:rPr>
                <w:sz w:val="14"/>
                <w:szCs w:val="14"/>
                <w:color w:val="auto"/>
              </w:rPr>
            </w:pPr>
          </w:p>
        </w:tc>
        <w:tc>
          <w:tcPr>
            <w:tcW w:w="800" w:type="dxa"/>
            <w:vAlign w:val="bottom"/>
          </w:tcPr>
          <w:p>
            <w:pPr>
              <w:jc w:val="right"/>
              <w:spacing w:after="0" w:line="165" w:lineRule="exact"/>
              <w:rPr>
                <w:sz w:val="20"/>
                <w:szCs w:val="20"/>
                <w:color w:val="auto"/>
              </w:rPr>
            </w:pPr>
            <w:r>
              <w:rPr>
                <w:rFonts w:ascii="Arial Unicode MS" w:cs="Arial Unicode MS" w:eastAsia="Arial Unicode MS" w:hAnsi="Arial Unicode MS"/>
                <w:sz w:val="13"/>
                <w:szCs w:val="13"/>
                <w:color w:val="auto"/>
              </w:rPr>
              <w:t>203.0</w:t>
            </w:r>
          </w:p>
        </w:tc>
        <w:tc>
          <w:tcPr>
            <w:tcW w:w="240" w:type="dxa"/>
            <w:vAlign w:val="bottom"/>
          </w:tcPr>
          <w:p>
            <w:pPr>
              <w:spacing w:after="0"/>
              <w:rPr>
                <w:sz w:val="14"/>
                <w:szCs w:val="14"/>
                <w:color w:val="auto"/>
              </w:rPr>
            </w:pPr>
          </w:p>
        </w:tc>
        <w:tc>
          <w:tcPr>
            <w:tcW w:w="800" w:type="dxa"/>
            <w:vAlign w:val="bottom"/>
          </w:tcPr>
          <w:p>
            <w:pPr>
              <w:jc w:val="right"/>
              <w:spacing w:after="0" w:line="165" w:lineRule="exact"/>
              <w:rPr>
                <w:sz w:val="20"/>
                <w:szCs w:val="20"/>
                <w:color w:val="auto"/>
              </w:rPr>
            </w:pPr>
            <w:r>
              <w:rPr>
                <w:rFonts w:ascii="Arial Unicode MS" w:cs="Arial Unicode MS" w:eastAsia="Arial Unicode MS" w:hAnsi="Arial Unicode MS"/>
                <w:sz w:val="13"/>
                <w:szCs w:val="13"/>
                <w:color w:val="auto"/>
              </w:rPr>
              <w:t>126.7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40005</wp:posOffset>
            </wp:positionV>
            <wp:extent cx="142240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22400" cy="5715"/>
                    </a:xfrm>
                    <a:prstGeom prst="rect">
                      <a:avLst/>
                    </a:prstGeom>
                    <a:noFill/>
                  </pic:spPr>
                </pic:pic>
              </a:graphicData>
            </a:graphic>
          </wp:anchor>
        </w:drawing>
      </w:r>
    </w:p>
    <w:p>
      <w:pPr>
        <w:spacing w:after="0" w:line="106" w:lineRule="exact"/>
        <w:rPr>
          <w:sz w:val="20"/>
          <w:szCs w:val="20"/>
          <w:color w:val="auto"/>
        </w:rPr>
      </w:pPr>
    </w:p>
    <w:p>
      <w:pPr>
        <w:ind w:left="260" w:right="99" w:hanging="235"/>
        <w:spacing w:after="0" w:line="157" w:lineRule="exact"/>
        <w:tabs>
          <w:tab w:leader="none" w:pos="260" w:val="left"/>
        </w:tabs>
        <w:numPr>
          <w:ilvl w:val="0"/>
          <w:numId w:val="35"/>
        </w:numPr>
        <w:rPr>
          <w:rFonts w:ascii="Arial Unicode MS" w:cs="Arial Unicode MS" w:eastAsia="Arial Unicode MS" w:hAnsi="Arial Unicode MS"/>
          <w:sz w:val="13"/>
          <w:szCs w:val="13"/>
          <w:color w:val="auto"/>
        </w:rPr>
      </w:pPr>
      <w:r>
        <w:rPr>
          <w:rFonts w:ascii="Arial Unicode MS" w:cs="Arial Unicode MS" w:eastAsia="Arial Unicode MS" w:hAnsi="Arial Unicode MS"/>
          <w:sz w:val="13"/>
          <w:szCs w:val="13"/>
          <w:color w:val="auto"/>
        </w:rPr>
        <w:t>This graph and the accompanying text are not “soliciting material,” are not deemed filed with the SEC and are not to be incorporated by reference in any filing by us under the Securities Act of 1933, as amended, or the Securities Exchange Act of 1934, as amended, whether made before or after the date hereof and irrespective of any general incorporation language in any such filing.</w:t>
      </w:r>
    </w:p>
    <w:p>
      <w:pPr>
        <w:spacing w:after="0" w:line="129" w:lineRule="exact"/>
        <w:rPr>
          <w:rFonts w:ascii="Arial Unicode MS" w:cs="Arial Unicode MS" w:eastAsia="Arial Unicode MS" w:hAnsi="Arial Unicode MS"/>
          <w:sz w:val="13"/>
          <w:szCs w:val="13"/>
          <w:color w:val="auto"/>
        </w:rPr>
      </w:pPr>
    </w:p>
    <w:p>
      <w:pPr>
        <w:ind w:left="260" w:hanging="235"/>
        <w:spacing w:after="0" w:line="175" w:lineRule="exact"/>
        <w:tabs>
          <w:tab w:leader="none" w:pos="260" w:val="left"/>
        </w:tabs>
        <w:numPr>
          <w:ilvl w:val="0"/>
          <w:numId w:val="35"/>
        </w:numPr>
        <w:rPr>
          <w:rFonts w:ascii="Arial Unicode MS" w:cs="Arial Unicode MS" w:eastAsia="Arial Unicode MS" w:hAnsi="Arial Unicode MS"/>
          <w:sz w:val="13"/>
          <w:szCs w:val="13"/>
          <w:color w:val="auto"/>
        </w:rPr>
      </w:pPr>
      <w:r>
        <w:rPr>
          <w:rFonts w:ascii="Arial Unicode MS" w:cs="Arial Unicode MS" w:eastAsia="Arial Unicode MS" w:hAnsi="Arial Unicode MS"/>
          <w:sz w:val="13"/>
          <w:szCs w:val="13"/>
          <w:color w:val="auto"/>
        </w:rPr>
        <w:t>The stock price performance shown on the graph is not necessarily indicative of future price performance.</w:t>
      </w:r>
    </w:p>
    <w:p>
      <w:pPr>
        <w:spacing w:after="0" w:line="139" w:lineRule="exact"/>
        <w:rPr>
          <w:rFonts w:ascii="Arial Unicode MS" w:cs="Arial Unicode MS" w:eastAsia="Arial Unicode MS" w:hAnsi="Arial Unicode MS"/>
          <w:sz w:val="13"/>
          <w:szCs w:val="13"/>
          <w:color w:val="auto"/>
        </w:rPr>
      </w:pPr>
    </w:p>
    <w:p>
      <w:pPr>
        <w:ind w:left="260" w:right="319" w:hanging="235"/>
        <w:spacing w:after="0" w:line="159" w:lineRule="exact"/>
        <w:tabs>
          <w:tab w:leader="none" w:pos="260" w:val="left"/>
        </w:tabs>
        <w:numPr>
          <w:ilvl w:val="0"/>
          <w:numId w:val="35"/>
        </w:numPr>
        <w:rPr>
          <w:rFonts w:ascii="Arial Unicode MS" w:cs="Arial Unicode MS" w:eastAsia="Arial Unicode MS" w:hAnsi="Arial Unicode MS"/>
          <w:sz w:val="13"/>
          <w:szCs w:val="13"/>
          <w:color w:val="auto"/>
        </w:rPr>
      </w:pPr>
      <w:r>
        <w:rPr>
          <w:rFonts w:ascii="Arial Unicode MS" w:cs="Arial Unicode MS" w:eastAsia="Arial Unicode MS" w:hAnsi="Arial Unicode MS"/>
          <w:sz w:val="13"/>
          <w:szCs w:val="13"/>
          <w:color w:val="auto"/>
        </w:rPr>
        <w:t>The hypothetical investment in Digital Realty Trust, Inc.’s common stock presented in the stock performance graph above is based on the closing price of the common stock on December 31, 2015.</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SALES OF UNREGISTERED EQUITY SECURITIES</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Digital Realty Trust, Inc.</w:t>
      </w:r>
    </w:p>
    <w:p>
      <w:pPr>
        <w:spacing w:after="0" w:line="156" w:lineRule="exact"/>
        <w:rPr>
          <w:sz w:val="20"/>
          <w:szCs w:val="20"/>
          <w:color w:val="auto"/>
        </w:rPr>
      </w:pPr>
    </w:p>
    <w:p>
      <w:pPr>
        <w:ind w:left="20" w:right="179" w:firstLine="228"/>
        <w:spacing w:after="0" w:line="154" w:lineRule="exact"/>
        <w:rPr>
          <w:sz w:val="20"/>
          <w:szCs w:val="20"/>
          <w:color w:val="auto"/>
        </w:rPr>
      </w:pPr>
      <w:r>
        <w:rPr>
          <w:rFonts w:ascii="Arial Unicode MS" w:cs="Arial Unicode MS" w:eastAsia="Arial Unicode MS" w:hAnsi="Arial Unicode MS"/>
          <w:sz w:val="13"/>
          <w:szCs w:val="13"/>
          <w:color w:val="auto"/>
        </w:rPr>
        <w:t>During the year ended December 31, 2020, we issued 189,402 shares of our Common Stock as partial consideration for our acquisition of Lamda Hellix. The shares were issued in reliance upon the exemption from the registration requirements of the Securities Act of 1933, as amended (the “Securities Act”), provided by Regulation S of the Securities Act, on the basis of representations that the recipients were not “US Persons” (as that term is dened in Regulation S) and were not in the United States at the time they received the shares. The Company did not engage in any form of “directed selling efforts” (as that term is defined in Regulation S) in connection with the issuance of the shares.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Digital Realty Trust, L.P.</w:t>
      </w:r>
    </w:p>
    <w:p>
      <w:pPr>
        <w:spacing w:after="0" w:line="156" w:lineRule="exact"/>
        <w:rPr>
          <w:sz w:val="20"/>
          <w:szCs w:val="20"/>
          <w:color w:val="auto"/>
        </w:rPr>
      </w:pPr>
    </w:p>
    <w:p>
      <w:pPr>
        <w:ind w:left="20" w:right="59" w:firstLine="228"/>
        <w:spacing w:after="0" w:line="159" w:lineRule="exact"/>
        <w:rPr>
          <w:sz w:val="20"/>
          <w:szCs w:val="20"/>
          <w:color w:val="auto"/>
        </w:rPr>
      </w:pPr>
      <w:r>
        <w:rPr>
          <w:rFonts w:ascii="Arial Unicode MS" w:cs="Arial Unicode MS" w:eastAsia="Arial Unicode MS" w:hAnsi="Arial Unicode MS"/>
          <w:sz w:val="13"/>
          <w:szCs w:val="13"/>
          <w:color w:val="auto"/>
        </w:rPr>
        <w:t>During the year ended December 31, 2020, our Operating Partnership issued partnership units in private placements in reliance on the exemption from registration provided by Section 4(a)(2) of the Securities Act, in the amounts and for the consideration set forth below:</w:t>
      </w:r>
    </w:p>
    <w:p>
      <w:pPr>
        <w:spacing w:after="0" w:line="139" w:lineRule="exact"/>
        <w:rPr>
          <w:sz w:val="20"/>
          <w:szCs w:val="20"/>
          <w:color w:val="auto"/>
        </w:rPr>
      </w:pPr>
    </w:p>
    <w:p>
      <w:pPr>
        <w:ind w:left="20" w:right="99" w:firstLine="228"/>
        <w:spacing w:after="0" w:line="155" w:lineRule="exact"/>
        <w:rPr>
          <w:sz w:val="20"/>
          <w:szCs w:val="20"/>
          <w:color w:val="auto"/>
        </w:rPr>
      </w:pPr>
      <w:r>
        <w:rPr>
          <w:rFonts w:ascii="Arial Unicode MS" w:cs="Arial Unicode MS" w:eastAsia="Arial Unicode MS" w:hAnsi="Arial Unicode MS"/>
          <w:sz w:val="11"/>
          <w:szCs w:val="11"/>
          <w:color w:val="auto"/>
        </w:rPr>
        <w:t>During the year ended December 31, 2020, Digital Realty Trust, Inc. issued an aggregate of 263,796 shares of its common stock in connection with restricted stock awards for no cash consideration. For each share of common stock issued by Digital Realty Trust, Inc. in connection with such awards, our Operating Partnership issued a restricted common unit to Digital Realty Trust, Inc. During the year ended December 31, 2020, our Operating Partnership issued an aggregate of 263,796 common units to Digital Realty Trust, Inc., as required by our Operating Partnership’s partnership agreement. During the year ended December 31, 2020, an aggregate of 35,274 shares of its common stock were forfeited to Digital Realty Trust, Inc. in connection with restricted stock awards for a net issuance of 228,522 shares of common stock.</w:t>
      </w:r>
    </w:p>
    <w:p>
      <w:pPr>
        <w:spacing w:after="0" w:line="141" w:lineRule="exact"/>
        <w:rPr>
          <w:sz w:val="20"/>
          <w:szCs w:val="20"/>
          <w:color w:val="auto"/>
        </w:rPr>
      </w:pPr>
    </w:p>
    <w:p>
      <w:pPr>
        <w:ind w:left="20" w:right="59" w:firstLine="228"/>
        <w:spacing w:after="0" w:line="155" w:lineRule="exact"/>
        <w:rPr>
          <w:sz w:val="20"/>
          <w:szCs w:val="20"/>
          <w:color w:val="auto"/>
        </w:rPr>
      </w:pPr>
      <w:r>
        <w:rPr>
          <w:rFonts w:ascii="Arial Unicode MS" w:cs="Arial Unicode MS" w:eastAsia="Arial Unicode MS" w:hAnsi="Arial Unicode MS"/>
          <w:sz w:val="13"/>
          <w:szCs w:val="13"/>
          <w:color w:val="auto"/>
        </w:rPr>
        <w:t>All other issuances of unregistered equity securities of our Operating Partnership during the year ended December 31, 2020 have been disclosed previously in filings with the SEC. For all issuances of units to Digital Realty Trust, Inc., our Operating Partnership relied on Digital Realty Trust, Inc.’s status as a publicly traded NYSE-listed company with over $36.1 billion in total consolidated assets and as our Operating Partnership’s majority owner and general partner as the basis for the exemption under Section 4(a)(2) of the Securities Act.</w:t>
      </w:r>
    </w:p>
    <w:p>
      <w:pPr>
        <w:spacing w:after="0" w:line="284" w:lineRule="exact"/>
        <w:rPr>
          <w:sz w:val="20"/>
          <w:szCs w:val="20"/>
          <w:color w:val="auto"/>
        </w:rPr>
      </w:pPr>
    </w:p>
    <w:p>
      <w:pPr>
        <w:jc w:val="center"/>
        <w:ind w:right="19"/>
        <w:spacing w:after="0" w:line="175" w:lineRule="exact"/>
        <w:rPr>
          <w:sz w:val="20"/>
          <w:szCs w:val="20"/>
          <w:color w:val="auto"/>
        </w:rPr>
      </w:pPr>
      <w:r>
        <w:rPr>
          <w:rFonts w:ascii="Arial Unicode MS" w:cs="Arial Unicode MS" w:eastAsia="Arial Unicode MS" w:hAnsi="Arial Unicode MS"/>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241300</wp:posOffset>
            </wp:positionV>
            <wp:extent cx="5690235" cy="12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sectPr>
      </w:pPr>
    </w:p>
    <w:bookmarkStart w:id="61" w:name="page62"/>
    <w:bookmarkEnd w:id="6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REPURCHASES OF EQUITY SECURITIES</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Digital Realty Trust, Inc.</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(c) Total Number of Shares (or</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(d) Maximum Number (or</w:t>
            </w:r>
          </w:p>
        </w:tc>
        <w:tc>
          <w:tcPr>
            <w:tcW w:w="0" w:type="dxa"/>
            <w:vAlign w:val="bottom"/>
          </w:tcPr>
          <w:p>
            <w:pPr>
              <w:spacing w:after="0"/>
              <w:rPr>
                <w:sz w:val="1"/>
                <w:szCs w:val="1"/>
                <w:color w:val="auto"/>
              </w:rPr>
            </w:pPr>
          </w:p>
        </w:tc>
      </w:tr>
      <w:tr>
        <w:trPr>
          <w:trHeight w:val="104"/>
        </w:trPr>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56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9"/>
              </w:rPr>
              <w:t>Approximate Dollar Value) of</w:t>
            </w:r>
          </w:p>
        </w:tc>
        <w:tc>
          <w:tcPr>
            <w:tcW w:w="0" w:type="dxa"/>
            <w:vAlign w:val="bottom"/>
          </w:tcPr>
          <w:p>
            <w:pPr>
              <w:spacing w:after="0"/>
              <w:rPr>
                <w:sz w:val="1"/>
                <w:szCs w:val="1"/>
                <w:color w:val="auto"/>
              </w:rPr>
            </w:pPr>
          </w:p>
        </w:tc>
      </w:tr>
      <w:tr>
        <w:trPr>
          <w:trHeight w:val="104"/>
        </w:trPr>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0"/>
                <w:szCs w:val="10"/>
                <w:b w:val="1"/>
                <w:bCs w:val="1"/>
                <w:color w:val="auto"/>
                <w:w w:val="99"/>
              </w:rPr>
              <w:t>(a) Total Number of Shares (or</w:t>
            </w:r>
          </w:p>
        </w:tc>
        <w:tc>
          <w:tcPr>
            <w:tcW w:w="80" w:type="dxa"/>
            <w:vAlign w:val="bottom"/>
          </w:tcPr>
          <w:p>
            <w:pPr>
              <w:spacing w:after="0"/>
              <w:rPr>
                <w:sz w:val="9"/>
                <w:szCs w:val="9"/>
                <w:color w:val="auto"/>
              </w:rPr>
            </w:pPr>
          </w:p>
        </w:tc>
        <w:tc>
          <w:tcPr>
            <w:tcW w:w="1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(b) Average Price Paid per</w:t>
            </w:r>
          </w:p>
        </w:tc>
        <w:tc>
          <w:tcPr>
            <w:tcW w:w="1680" w:type="dxa"/>
            <w:vAlign w:val="bottom"/>
            <w:gridSpan w:val="2"/>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Units) Purchased as Part of</w:t>
            </w:r>
          </w:p>
        </w:tc>
        <w:tc>
          <w:tcPr>
            <w:tcW w:w="156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Shares (or Units) that May Yet Be</w:t>
            </w:r>
          </w:p>
        </w:tc>
        <w:tc>
          <w:tcPr>
            <w:tcW w:w="0" w:type="dxa"/>
            <w:vAlign w:val="bottom"/>
          </w:tcPr>
          <w:p>
            <w:pPr>
              <w:spacing w:after="0"/>
              <w:rPr>
                <w:sz w:val="1"/>
                <w:szCs w:val="1"/>
                <w:color w:val="auto"/>
              </w:rPr>
            </w:pPr>
          </w:p>
        </w:tc>
      </w:tr>
      <w:tr>
        <w:trPr>
          <w:trHeight w:val="104"/>
        </w:trPr>
        <w:tc>
          <w:tcPr>
            <w:tcW w:w="1380" w:type="dxa"/>
            <w:vAlign w:val="bottom"/>
            <w:vMerge w:val="restart"/>
          </w:tcPr>
          <w:p>
            <w:pPr>
              <w:ind w:left="560"/>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40" w:type="dxa"/>
            <w:vAlign w:val="bottom"/>
            <w:vMerge w:val="restart"/>
          </w:tcPr>
          <w:p>
            <w:pPr>
              <w:spacing w:after="0"/>
              <w:rPr>
                <w:sz w:val="9"/>
                <w:szCs w:val="9"/>
                <w:color w:val="auto"/>
              </w:rPr>
            </w:pPr>
          </w:p>
        </w:tc>
        <w:tc>
          <w:tcPr>
            <w:tcW w:w="2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680" w:type="dxa"/>
            <w:vAlign w:val="bottom"/>
            <w:gridSpan w:val="2"/>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Publicly Announced Plans or</w:t>
            </w:r>
          </w:p>
        </w:tc>
        <w:tc>
          <w:tcPr>
            <w:tcW w:w="156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9"/>
              </w:rPr>
              <w:t>Purchased Under the Plans or</w:t>
            </w:r>
          </w:p>
        </w:tc>
        <w:tc>
          <w:tcPr>
            <w:tcW w:w="0" w:type="dxa"/>
            <w:vAlign w:val="bottom"/>
          </w:tcPr>
          <w:p>
            <w:pPr>
              <w:spacing w:after="0"/>
              <w:rPr>
                <w:sz w:val="1"/>
                <w:szCs w:val="1"/>
                <w:color w:val="auto"/>
              </w:rPr>
            </w:pPr>
          </w:p>
        </w:tc>
      </w:tr>
      <w:tr>
        <w:trPr>
          <w:trHeight w:val="121"/>
        </w:trPr>
        <w:tc>
          <w:tcPr>
            <w:tcW w:w="138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vMerge w:val="continue"/>
          </w:tcPr>
          <w:p>
            <w:pPr>
              <w:spacing w:after="0"/>
              <w:rPr>
                <w:sz w:val="10"/>
                <w:szCs w:val="1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Units) Purchased</w:t>
            </w:r>
          </w:p>
        </w:tc>
        <w:tc>
          <w:tcPr>
            <w:tcW w:w="6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0"/>
                <w:szCs w:val="10"/>
                <w:b w:val="1"/>
                <w:bCs w:val="1"/>
                <w:color w:val="auto"/>
              </w:rPr>
              <w:t>Share (or Unit)</w:t>
            </w:r>
          </w:p>
        </w:tc>
        <w:tc>
          <w:tcPr>
            <w:tcW w:w="600" w:type="dxa"/>
            <w:vAlign w:val="bottom"/>
            <w:tcBorders>
              <w:bottom w:val="single" w:sz="8" w:color="CCEEFF"/>
            </w:tcBorders>
          </w:tcPr>
          <w:p>
            <w:pPr>
              <w:spacing w:after="0"/>
              <w:rPr>
                <w:sz w:val="10"/>
                <w:szCs w:val="1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Programs (1)</w:t>
            </w:r>
          </w:p>
        </w:tc>
        <w:tc>
          <w:tcPr>
            <w:tcW w:w="120" w:type="dxa"/>
            <w:vAlign w:val="bottom"/>
            <w:tcBorders>
              <w:bottom w:val="single" w:sz="8" w:color="CCEEFF"/>
            </w:tcBorders>
          </w:tcPr>
          <w:p>
            <w:pPr>
              <w:spacing w:after="0"/>
              <w:rPr>
                <w:sz w:val="10"/>
                <w:szCs w:val="1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Programs (2)</w:t>
            </w:r>
          </w:p>
        </w:tc>
        <w:tc>
          <w:tcPr>
            <w:tcW w:w="0" w:type="dxa"/>
            <w:vAlign w:val="bottom"/>
          </w:tcPr>
          <w:p>
            <w:pPr>
              <w:spacing w:after="0"/>
              <w:rPr>
                <w:sz w:val="1"/>
                <w:szCs w:val="1"/>
                <w:color w:val="auto"/>
              </w:rPr>
            </w:pPr>
          </w:p>
        </w:tc>
      </w:tr>
      <w:tr>
        <w:trPr>
          <w:trHeight w:val="89"/>
        </w:trPr>
        <w:tc>
          <w:tcPr>
            <w:tcW w:w="1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October 1-31, 2020</w:t>
            </w:r>
          </w:p>
        </w:tc>
        <w:tc>
          <w:tcPr>
            <w:tcW w:w="1600" w:type="dxa"/>
            <w:vAlign w:val="bottom"/>
            <w:shd w:val="clear" w:color="auto" w:fill="CCEEFF"/>
          </w:tcPr>
          <w:p>
            <w:pPr>
              <w:jc w:val="center"/>
              <w:spacing w:after="0" w:line="89" w:lineRule="exact"/>
              <w:rPr>
                <w:sz w:val="20"/>
                <w:szCs w:val="20"/>
                <w:color w:val="auto"/>
              </w:rPr>
            </w:pPr>
            <w:r>
              <w:rPr>
                <w:rFonts w:ascii="Times New Roman" w:cs="Times New Roman" w:eastAsia="Times New Roman" w:hAnsi="Times New Roman"/>
                <w:sz w:val="10"/>
                <w:szCs w:val="10"/>
                <w:color w:val="auto"/>
                <w:w w:val="99"/>
              </w:rPr>
              <w:t>10,000,000 shares of Series G</w:t>
            </w:r>
          </w:p>
        </w:tc>
        <w:tc>
          <w:tcPr>
            <w:tcW w:w="62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25.00</w:t>
            </w:r>
          </w:p>
        </w:tc>
        <w:tc>
          <w:tcPr>
            <w:tcW w:w="600" w:type="dxa"/>
            <w:vAlign w:val="bottom"/>
            <w:shd w:val="clear" w:color="auto" w:fill="CCEEFF"/>
          </w:tcPr>
          <w:p>
            <w:pPr>
              <w:spacing w:after="0"/>
              <w:rPr>
                <w:sz w:val="7"/>
                <w:szCs w:val="7"/>
                <w:color w:val="auto"/>
              </w:rPr>
            </w:pPr>
          </w:p>
        </w:tc>
        <w:tc>
          <w:tcPr>
            <w:tcW w:w="1560" w:type="dxa"/>
            <w:vAlign w:val="bottom"/>
            <w:shd w:val="clear" w:color="auto" w:fill="CCEEFF"/>
          </w:tcPr>
          <w:p>
            <w:pPr>
              <w:jc w:val="center"/>
              <w:spacing w:after="0" w:line="89" w:lineRule="exact"/>
              <w:rPr>
                <w:sz w:val="20"/>
                <w:szCs w:val="20"/>
                <w:color w:val="auto"/>
              </w:rPr>
            </w:pPr>
            <w:r>
              <w:rPr>
                <w:rFonts w:ascii="Times New Roman" w:cs="Times New Roman" w:eastAsia="Times New Roman" w:hAnsi="Times New Roman"/>
                <w:sz w:val="10"/>
                <w:szCs w:val="10"/>
                <w:color w:val="auto"/>
                <w:w w:val="99"/>
              </w:rPr>
              <w:t>10,000,000 shares of Series G</w:t>
            </w:r>
          </w:p>
        </w:tc>
        <w:tc>
          <w:tcPr>
            <w:tcW w:w="120" w:type="dxa"/>
            <w:vAlign w:val="bottom"/>
            <w:shd w:val="clear" w:color="auto" w:fill="CCEEFF"/>
          </w:tcPr>
          <w:p>
            <w:pPr>
              <w:spacing w:after="0"/>
              <w:rPr>
                <w:sz w:val="7"/>
                <w:szCs w:val="7"/>
                <w:color w:val="auto"/>
              </w:rPr>
            </w:pPr>
          </w:p>
        </w:tc>
        <w:tc>
          <w:tcPr>
            <w:tcW w:w="1560" w:type="dxa"/>
            <w:vAlign w:val="bottom"/>
            <w:vMerge w:val="restart"/>
            <w:shd w:val="clear" w:color="auto" w:fill="CCEEFF"/>
          </w:tcPr>
          <w:p>
            <w:pPr>
              <w:ind w:left="14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1520" w:type="dxa"/>
            <w:vAlign w:val="bottom"/>
            <w:tcBorders>
              <w:bottom w:val="single" w:sz="8" w:color="CCEEFF"/>
            </w:tcBorders>
            <w:gridSpan w:val="2"/>
            <w:vMerge w:val="continue"/>
            <w:shd w:val="clear" w:color="auto" w:fill="CCEEFF"/>
          </w:tcPr>
          <w:p>
            <w:pPr>
              <w:spacing w:after="0"/>
              <w:rPr>
                <w:sz w:val="8"/>
                <w:szCs w:val="8"/>
                <w:color w:val="auto"/>
              </w:rPr>
            </w:pPr>
          </w:p>
        </w:tc>
        <w:tc>
          <w:tcPr>
            <w:tcW w:w="2220" w:type="dxa"/>
            <w:vAlign w:val="bottom"/>
            <w:tcBorders>
              <w:bottom w:val="single" w:sz="8" w:color="CCEEFF"/>
            </w:tcBorders>
            <w:gridSpan w:val="2"/>
            <w:shd w:val="clear" w:color="auto" w:fill="CCEEFF"/>
          </w:tcPr>
          <w:p>
            <w:pPr>
              <w:jc w:val="center"/>
              <w:ind w:right="620"/>
              <w:spacing w:after="0" w:line="99" w:lineRule="exact"/>
              <w:rPr>
                <w:sz w:val="20"/>
                <w:szCs w:val="20"/>
                <w:color w:val="auto"/>
              </w:rPr>
            </w:pPr>
            <w:r>
              <w:rPr>
                <w:rFonts w:ascii="Times New Roman" w:cs="Times New Roman" w:eastAsia="Times New Roman" w:hAnsi="Times New Roman"/>
                <w:sz w:val="10"/>
                <w:szCs w:val="10"/>
                <w:color w:val="auto"/>
              </w:rPr>
              <w:t>Preferred Stock</w:t>
            </w:r>
          </w:p>
        </w:tc>
        <w:tc>
          <w:tcPr>
            <w:tcW w:w="80" w:type="dxa"/>
            <w:vAlign w:val="bottom"/>
            <w:tcBorders>
              <w:bottom w:val="single" w:sz="8" w:color="CCEEFF"/>
            </w:tcBorders>
            <w:vMerge w:val="continue"/>
            <w:shd w:val="clear" w:color="auto" w:fill="CCEEFF"/>
          </w:tcPr>
          <w:p>
            <w:pPr>
              <w:spacing w:after="0"/>
              <w:rPr>
                <w:sz w:val="8"/>
                <w:szCs w:val="8"/>
                <w:color w:val="auto"/>
              </w:rPr>
            </w:pPr>
          </w:p>
        </w:tc>
        <w:tc>
          <w:tcPr>
            <w:tcW w:w="1300" w:type="dxa"/>
            <w:vAlign w:val="bottom"/>
            <w:tcBorders>
              <w:bottom w:val="single" w:sz="8" w:color="CCEEFF"/>
            </w:tcBorders>
            <w:vMerge w:val="continue"/>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1680" w:type="dxa"/>
            <w:vAlign w:val="bottom"/>
            <w:tcBorders>
              <w:bottom w:val="single" w:sz="8" w:color="CCEEFF"/>
            </w:tcBorders>
            <w:gridSpan w:val="2"/>
            <w:shd w:val="clear" w:color="auto" w:fill="CCEEFF"/>
          </w:tcPr>
          <w:p>
            <w:pPr>
              <w:jc w:val="center"/>
              <w:ind w:right="120"/>
              <w:spacing w:after="0" w:line="99" w:lineRule="exact"/>
              <w:rPr>
                <w:sz w:val="20"/>
                <w:szCs w:val="20"/>
                <w:color w:val="auto"/>
              </w:rPr>
            </w:pPr>
            <w:r>
              <w:rPr>
                <w:rFonts w:ascii="Times New Roman" w:cs="Times New Roman" w:eastAsia="Times New Roman" w:hAnsi="Times New Roman"/>
                <w:sz w:val="10"/>
                <w:szCs w:val="10"/>
                <w:color w:val="auto"/>
              </w:rPr>
              <w:t>Preferred Stock</w:t>
            </w:r>
          </w:p>
        </w:tc>
        <w:tc>
          <w:tcPr>
            <w:tcW w:w="15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2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November 1-30, 2020</w:t>
            </w:r>
          </w:p>
        </w:tc>
        <w:tc>
          <w:tcPr>
            <w:tcW w:w="2220" w:type="dxa"/>
            <w:vAlign w:val="bottom"/>
            <w:gridSpan w:val="2"/>
            <w:shd w:val="clear" w:color="auto" w:fill="CCEEFF"/>
          </w:tcPr>
          <w:p>
            <w:pPr>
              <w:jc w:val="right"/>
              <w:ind w:right="6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900" w:type="dxa"/>
            <w:vAlign w:val="bottom"/>
            <w:gridSpan w:val="2"/>
            <w:shd w:val="clear" w:color="auto" w:fill="CCEEFF"/>
          </w:tcPr>
          <w:p>
            <w:pPr>
              <w:jc w:val="right"/>
              <w:ind w:right="6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680" w:type="dxa"/>
            <w:vAlign w:val="bottom"/>
            <w:gridSpan w:val="2"/>
            <w:shd w:val="clear" w:color="auto" w:fill="CCEEFF"/>
          </w:tcPr>
          <w:p>
            <w:pPr>
              <w:jc w:val="right"/>
              <w:ind w:right="16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CEEFF"/>
          </w:tcPr>
          <w:p>
            <w:pPr>
              <w:ind w:left="14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2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December 1-31, 2020</w:t>
            </w:r>
          </w:p>
        </w:tc>
        <w:tc>
          <w:tcPr>
            <w:tcW w:w="2220" w:type="dxa"/>
            <w:vAlign w:val="bottom"/>
            <w:gridSpan w:val="2"/>
            <w:shd w:val="clear" w:color="auto" w:fill="CCEEFF"/>
          </w:tcPr>
          <w:p>
            <w:pPr>
              <w:jc w:val="right"/>
              <w:ind w:right="6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1900" w:type="dxa"/>
            <w:vAlign w:val="bottom"/>
            <w:gridSpan w:val="2"/>
            <w:shd w:val="clear" w:color="auto" w:fill="CCEEFF"/>
          </w:tcPr>
          <w:p>
            <w:pPr>
              <w:jc w:val="right"/>
              <w:ind w:right="64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680" w:type="dxa"/>
            <w:vAlign w:val="bottom"/>
            <w:gridSpan w:val="2"/>
            <w:shd w:val="clear" w:color="auto" w:fill="CCEEFF"/>
          </w:tcPr>
          <w:p>
            <w:pPr>
              <w:jc w:val="right"/>
              <w:ind w:right="16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CEEFF"/>
          </w:tcPr>
          <w:p>
            <w:pPr>
              <w:ind w:left="14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9"/>
        </w:trPr>
        <w:tc>
          <w:tcPr>
            <w:tcW w:w="1520" w:type="dxa"/>
            <w:vAlign w:val="bottom"/>
            <w:tcBorders>
              <w:top w:val="single" w:sz="8" w:color="CCEEFF"/>
            </w:tcBorders>
            <w:gridSpan w:val="2"/>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Total</w:t>
            </w:r>
          </w:p>
        </w:tc>
        <w:tc>
          <w:tcPr>
            <w:tcW w:w="16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0"/>
                <w:szCs w:val="10"/>
                <w:color w:val="auto"/>
              </w:rPr>
              <w:t>10,000,000</w:t>
            </w:r>
          </w:p>
        </w:tc>
        <w:tc>
          <w:tcPr>
            <w:tcW w:w="62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0"/>
                <w:szCs w:val="10"/>
                <w:color w:val="auto"/>
              </w:rPr>
              <w:t>25.00</w:t>
            </w:r>
          </w:p>
        </w:tc>
        <w:tc>
          <w:tcPr>
            <w:tcW w:w="600" w:type="dxa"/>
            <w:vAlign w:val="bottom"/>
            <w:tcBorders>
              <w:top w:val="single" w:sz="8" w:color="CCEEFF"/>
            </w:tcBorders>
          </w:tcPr>
          <w:p>
            <w:pPr>
              <w:spacing w:after="0"/>
              <w:rPr>
                <w:sz w:val="9"/>
                <w:szCs w:val="9"/>
                <w:color w:val="auto"/>
              </w:rPr>
            </w:pPr>
          </w:p>
        </w:tc>
        <w:tc>
          <w:tcPr>
            <w:tcW w:w="15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0"/>
                <w:szCs w:val="10"/>
                <w:color w:val="auto"/>
              </w:rPr>
              <w:t>10,000,000</w:t>
            </w:r>
          </w:p>
        </w:tc>
        <w:tc>
          <w:tcPr>
            <w:tcW w:w="120" w:type="dxa"/>
            <w:vAlign w:val="bottom"/>
            <w:tcBorders>
              <w:top w:val="single" w:sz="8" w:color="CCEEFF"/>
            </w:tcBorders>
          </w:tcPr>
          <w:p>
            <w:pPr>
              <w:spacing w:after="0"/>
              <w:rPr>
                <w:sz w:val="9"/>
                <w:szCs w:val="9"/>
                <w:color w:val="auto"/>
              </w:rPr>
            </w:pPr>
          </w:p>
        </w:tc>
        <w:tc>
          <w:tcPr>
            <w:tcW w:w="1560" w:type="dxa"/>
            <w:vAlign w:val="bottom"/>
            <w:tcBorders>
              <w:top w:val="single" w:sz="8" w:color="auto"/>
            </w:tcBorders>
          </w:tcPr>
          <w:p>
            <w:pPr>
              <w:ind w:left="1420"/>
              <w:spacing w:after="0" w:line="10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142240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22400" cy="5715"/>
                    </a:xfrm>
                    <a:prstGeom prst="rect">
                      <a:avLst/>
                    </a:prstGeom>
                    <a:noFill/>
                  </pic:spPr>
                </pic:pic>
              </a:graphicData>
            </a:graphic>
          </wp:anchor>
        </w:drawing>
      </w:r>
    </w:p>
    <w:p>
      <w:pPr>
        <w:spacing w:after="0" w:line="93" w:lineRule="exact"/>
        <w:rPr>
          <w:sz w:val="20"/>
          <w:szCs w:val="20"/>
          <w:color w:val="auto"/>
        </w:rPr>
      </w:pPr>
    </w:p>
    <w:p>
      <w:pPr>
        <w:ind w:left="260" w:right="59" w:hanging="235"/>
        <w:spacing w:after="0" w:line="247" w:lineRule="auto"/>
        <w:tabs>
          <w:tab w:leader="none" w:pos="2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September 15, 2020, the Company distributed a Notice of Redemption to all holders of record of its outstanding 5.875% series G cumulative redeemable preferred stock, or the series G preferred stock, announcing its redemption of all 10,000,000 outstanding shares of the series G preferred stock at a redemption price of $25.057118 per share. The redemption price was equal to the original issuance price of $25.00 per share, plus accrued and unpaid dividends up to but not including the redemption date. The redemption was made at the Company's option pursuant to Section 5(b) of the Articles Supplementary establishing and fixing the rights and preferences of the series G preferred stock. The redemption date was October 15, 2020.</w:t>
      </w:r>
    </w:p>
    <w:p>
      <w:pPr>
        <w:spacing w:after="0" w:line="3" w:lineRule="exact"/>
        <w:rPr>
          <w:rFonts w:ascii="Times New Roman" w:cs="Times New Roman" w:eastAsia="Times New Roman" w:hAnsi="Times New Roman"/>
          <w:sz w:val="13"/>
          <w:szCs w:val="13"/>
          <w:color w:val="auto"/>
        </w:rPr>
      </w:pPr>
    </w:p>
    <w:p>
      <w:pPr>
        <w:ind w:left="260" w:right="99" w:hanging="235"/>
        <w:spacing w:after="0" w:line="247" w:lineRule="auto"/>
        <w:tabs>
          <w:tab w:leader="none" w:pos="2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redeemed all outstanding shares of its series G preferred stock on October 15, 2020. The Operating Partnership also redeemed the corresponding 10,000,000 series G preferred units.</w:t>
      </w:r>
    </w:p>
    <w:p>
      <w:pPr>
        <w:spacing w:after="0" w:line="284" w:lineRule="exact"/>
        <w:rPr>
          <w:rFonts w:ascii="Times New Roman" w:cs="Times New Roman" w:eastAsia="Times New Roman" w:hAnsi="Times New Roman"/>
          <w:sz w:val="13"/>
          <w:szCs w:val="13"/>
          <w:color w:val="auto"/>
        </w:rPr>
      </w:pPr>
    </w:p>
    <w:p>
      <w:pPr>
        <w:ind w:left="260" w:right="7479"/>
        <w:spacing w:after="0" w:line="51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Digital Realty Trust, L.P. </w:t>
      </w:r>
      <w:r>
        <w:rPr>
          <w:rFonts w:ascii="Times New Roman" w:cs="Times New Roman" w:eastAsia="Times New Roman" w:hAnsi="Times New Roman"/>
          <w:sz w:val="13"/>
          <w:szCs w:val="13"/>
          <w:color w:val="auto"/>
        </w:rPr>
        <w:t>None.</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2" w:name="page63"/>
    <w:bookmarkEnd w:id="6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6.</w:t>
      </w:r>
      <w:r>
        <w:rPr>
          <w:sz w:val="20"/>
          <w:szCs w:val="20"/>
          <w:color w:val="auto"/>
        </w:rPr>
        <w:tab/>
      </w:r>
      <w:r>
        <w:rPr>
          <w:rFonts w:ascii="Times New Roman" w:cs="Times New Roman" w:eastAsia="Times New Roman" w:hAnsi="Times New Roman"/>
          <w:sz w:val="12"/>
          <w:szCs w:val="12"/>
          <w:b w:val="1"/>
          <w:bCs w:val="1"/>
          <w:color w:val="auto"/>
        </w:rPr>
        <w:t>SELECTED FINANCIAL DATA</w:t>
      </w:r>
    </w:p>
    <w:p>
      <w:pPr>
        <w:spacing w:after="0" w:line="156" w:lineRule="exact"/>
        <w:rPr>
          <w:sz w:val="20"/>
          <w:szCs w:val="20"/>
          <w:color w:val="auto"/>
        </w:rPr>
      </w:pPr>
    </w:p>
    <w:p>
      <w:pPr>
        <w:ind w:left="20" w:right="159" w:firstLine="228"/>
        <w:spacing w:after="0" w:line="310" w:lineRule="auto"/>
        <w:rPr>
          <w:sz w:val="20"/>
          <w:szCs w:val="20"/>
          <w:color w:val="auto"/>
        </w:rPr>
      </w:pPr>
      <w:r>
        <w:rPr>
          <w:rFonts w:ascii="Times New Roman" w:cs="Times New Roman" w:eastAsia="Times New Roman" w:hAnsi="Times New Roman"/>
          <w:sz w:val="12"/>
          <w:szCs w:val="12"/>
          <w:color w:val="auto"/>
        </w:rPr>
        <w:t>The following data should be read in conjunction with our financial statements and notes thereto and “Management’s Discussion and Analysis of Financial Condition and Results of Operations” included elsewhere in this Form 10-K. Certain prior year amounts have been reclassified to conform to the current year presentation.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SELECTED COMPANY FINANCIAL AND OTHER DATA (Digital Realty Trust, Inc.)</w:t>
      </w:r>
    </w:p>
    <w:p>
      <w:pPr>
        <w:spacing w:after="0" w:line="156" w:lineRule="exact"/>
        <w:rPr>
          <w:sz w:val="20"/>
          <w:szCs w:val="20"/>
          <w:color w:val="auto"/>
        </w:rPr>
      </w:pPr>
    </w:p>
    <w:p>
      <w:pPr>
        <w:ind w:left="20" w:right="79" w:firstLine="228"/>
        <w:spacing w:after="0" w:line="268" w:lineRule="auto"/>
        <w:rPr>
          <w:sz w:val="20"/>
          <w:szCs w:val="20"/>
          <w:color w:val="auto"/>
        </w:rPr>
      </w:pPr>
      <w:r>
        <w:rPr>
          <w:rFonts w:ascii="Times New Roman" w:cs="Times New Roman" w:eastAsia="Times New Roman" w:hAnsi="Times New Roman"/>
          <w:sz w:val="13"/>
          <w:szCs w:val="13"/>
          <w:color w:val="auto"/>
        </w:rPr>
        <w:t>The following table sets forth selected consolidated financial and operating data on an historical basis for Digital Realty Trust, Inc. (amounts in thousands, except share and per share data).</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40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9"/>
                <w:szCs w:val="9"/>
                <w:b w:val="1"/>
                <w:bCs w:val="1"/>
                <w:color w:val="auto"/>
                <w:w w:val="98"/>
              </w:rPr>
              <w:t>Year Ended December 31,</w:t>
            </w: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r>
        <w:trPr>
          <w:trHeight w:val="84"/>
        </w:trPr>
        <w:tc>
          <w:tcPr>
            <w:tcW w:w="40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96"/>
              <w:spacing w:after="0" w:line="85" w:lineRule="exact"/>
              <w:rPr>
                <w:sz w:val="20"/>
                <w:szCs w:val="20"/>
                <w:color w:val="auto"/>
              </w:rPr>
            </w:pPr>
            <w:r>
              <w:rPr>
                <w:rFonts w:ascii="Times New Roman" w:cs="Times New Roman" w:eastAsia="Times New Roman" w:hAnsi="Times New Roman"/>
                <w:sz w:val="9"/>
                <w:szCs w:val="9"/>
                <w:b w:val="1"/>
                <w:bCs w:val="1"/>
                <w:color w:val="auto"/>
              </w:rPr>
              <w:t>2020</w:t>
            </w: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96"/>
              <w:spacing w:after="0" w:line="85" w:lineRule="exact"/>
              <w:rPr>
                <w:sz w:val="20"/>
                <w:szCs w:val="20"/>
                <w:color w:val="auto"/>
              </w:rPr>
            </w:pPr>
            <w:r>
              <w:rPr>
                <w:rFonts w:ascii="Times New Roman" w:cs="Times New Roman" w:eastAsia="Times New Roman" w:hAnsi="Times New Roman"/>
                <w:sz w:val="9"/>
                <w:szCs w:val="9"/>
                <w:b w:val="1"/>
                <w:bCs w:val="1"/>
                <w:color w:val="auto"/>
              </w:rPr>
              <w:t>2019</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96"/>
              <w:spacing w:after="0" w:line="85" w:lineRule="exact"/>
              <w:rPr>
                <w:sz w:val="20"/>
                <w:szCs w:val="20"/>
                <w:color w:val="auto"/>
              </w:rPr>
            </w:pPr>
            <w:r>
              <w:rPr>
                <w:rFonts w:ascii="Times New Roman" w:cs="Times New Roman" w:eastAsia="Times New Roman" w:hAnsi="Times New Roman"/>
                <w:sz w:val="9"/>
                <w:szCs w:val="9"/>
                <w:b w:val="1"/>
                <w:bCs w:val="1"/>
                <w:color w:val="auto"/>
              </w:rPr>
              <w:t>2018</w:t>
            </w:r>
          </w:p>
        </w:tc>
        <w:tc>
          <w:tcPr>
            <w:tcW w:w="1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76"/>
              <w:spacing w:after="0" w:line="85" w:lineRule="exact"/>
              <w:rPr>
                <w:sz w:val="20"/>
                <w:szCs w:val="20"/>
                <w:color w:val="auto"/>
              </w:rPr>
            </w:pPr>
            <w:r>
              <w:rPr>
                <w:rFonts w:ascii="Times New Roman" w:cs="Times New Roman" w:eastAsia="Times New Roman" w:hAnsi="Times New Roman"/>
                <w:sz w:val="9"/>
                <w:szCs w:val="9"/>
                <w:b w:val="1"/>
                <w:bCs w:val="1"/>
                <w:color w:val="auto"/>
              </w:rPr>
              <w:t>2017</w:t>
            </w:r>
          </w:p>
        </w:tc>
        <w:tc>
          <w:tcPr>
            <w:tcW w:w="1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96"/>
              <w:spacing w:after="0" w:line="85" w:lineRule="exact"/>
              <w:rPr>
                <w:sz w:val="20"/>
                <w:szCs w:val="20"/>
                <w:color w:val="auto"/>
              </w:rPr>
            </w:pPr>
            <w:r>
              <w:rPr>
                <w:rFonts w:ascii="Times New Roman" w:cs="Times New Roman" w:eastAsia="Times New Roman" w:hAnsi="Times New Roman"/>
                <w:sz w:val="9"/>
                <w:szCs w:val="9"/>
                <w:b w:val="1"/>
                <w:bCs w:val="1"/>
                <w:color w:val="auto"/>
              </w:rPr>
              <w:t>2016</w:t>
            </w:r>
          </w:p>
        </w:tc>
      </w:tr>
      <w:tr>
        <w:trPr>
          <w:trHeight w:val="75"/>
        </w:trPr>
        <w:tc>
          <w:tcPr>
            <w:tcW w:w="4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60" w:type="dxa"/>
            <w:vAlign w:val="bottom"/>
            <w:gridSpan w:val="8"/>
          </w:tcPr>
          <w:p>
            <w:pPr>
              <w:jc w:val="right"/>
              <w:ind w:right="296"/>
              <w:spacing w:after="0" w:line="75" w:lineRule="exact"/>
              <w:rPr>
                <w:sz w:val="20"/>
                <w:szCs w:val="20"/>
                <w:color w:val="auto"/>
              </w:rPr>
            </w:pPr>
            <w:r>
              <w:rPr>
                <w:rFonts w:ascii="Times New Roman" w:cs="Times New Roman" w:eastAsia="Times New Roman" w:hAnsi="Times New Roman"/>
                <w:sz w:val="8"/>
                <w:szCs w:val="8"/>
                <w:b w:val="1"/>
                <w:bCs w:val="1"/>
                <w:color w:val="auto"/>
              </w:rPr>
              <w:t>(Amounts in thousands, except share and per share data)</w:t>
            </w: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95"/>
        </w:trPr>
        <w:tc>
          <w:tcPr>
            <w:tcW w:w="4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Statement of Operations Data:</w:t>
            </w: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r>
      <w:tr>
        <w:trPr>
          <w:trHeight w:val="95"/>
        </w:trPr>
        <w:tc>
          <w:tcPr>
            <w:tcW w:w="4080" w:type="dxa"/>
            <w:vAlign w:val="bottom"/>
          </w:tcPr>
          <w:p>
            <w:pPr>
              <w:spacing w:after="0" w:line="95" w:lineRule="exact"/>
              <w:rPr>
                <w:sz w:val="20"/>
                <w:szCs w:val="20"/>
                <w:color w:val="auto"/>
              </w:rPr>
            </w:pPr>
            <w:r>
              <w:rPr>
                <w:rFonts w:ascii="Times New Roman" w:cs="Times New Roman" w:eastAsia="Times New Roman" w:hAnsi="Times New Roman"/>
                <w:sz w:val="9"/>
                <w:szCs w:val="9"/>
                <w:b w:val="1"/>
                <w:bCs w:val="1"/>
                <w:color w:val="auto"/>
              </w:rPr>
              <w:t>Operating Revenues:</w:t>
            </w: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95"/>
        </w:trPr>
        <w:tc>
          <w:tcPr>
            <w:tcW w:w="4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Rental and other services</w:t>
            </w:r>
          </w:p>
        </w:tc>
        <w:tc>
          <w:tcPr>
            <w:tcW w:w="200" w:type="dxa"/>
            <w:vAlign w:val="bottom"/>
            <w:shd w:val="clear" w:color="auto" w:fill="CCEEFF"/>
          </w:tcPr>
          <w:p>
            <w:pPr>
              <w:jc w:val="right"/>
              <w:ind w:right="96"/>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3,886,546</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3,196,356</w:t>
            </w:r>
          </w:p>
        </w:tc>
        <w:tc>
          <w:tcPr>
            <w:tcW w:w="4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96"/>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2,412,076</w:t>
            </w: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2,010,301</w:t>
            </w: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1,746,828</w:t>
            </w:r>
          </w:p>
        </w:tc>
      </w:tr>
      <w:tr>
        <w:trPr>
          <w:trHeight w:val="95"/>
        </w:trPr>
        <w:tc>
          <w:tcPr>
            <w:tcW w:w="4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Tenant reimbursements</w:t>
            </w:r>
          </w:p>
        </w:tc>
        <w:tc>
          <w:tcPr>
            <w:tcW w:w="200" w:type="dxa"/>
            <w:vAlign w:val="bottom"/>
          </w:tcPr>
          <w:p>
            <w:pPr>
              <w:spacing w:after="0"/>
              <w:rPr>
                <w:sz w:val="8"/>
                <w:szCs w:val="8"/>
                <w:color w:val="auto"/>
              </w:rPr>
            </w:pPr>
          </w:p>
        </w:tc>
        <w:tc>
          <w:tcPr>
            <w:tcW w:w="800" w:type="dxa"/>
            <w:vAlign w:val="bottom"/>
            <w:gridSpan w:val="2"/>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700" w:type="dxa"/>
            <w:vAlign w:val="bottom"/>
            <w:gridSpan w:val="2"/>
          </w:tcPr>
          <w:p>
            <w:pPr>
              <w:jc w:val="right"/>
              <w:ind w:right="8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624,637</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440,224</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355,903</w:t>
            </w:r>
          </w:p>
        </w:tc>
      </w:tr>
      <w:tr>
        <w:trPr>
          <w:trHeight w:val="95"/>
        </w:trPr>
        <w:tc>
          <w:tcPr>
            <w:tcW w:w="4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Fee income and other</w:t>
            </w:r>
          </w:p>
        </w:tc>
        <w:tc>
          <w:tcPr>
            <w:tcW w:w="2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17,063</w:t>
            </w:r>
          </w:p>
        </w:tc>
        <w:tc>
          <w:tcPr>
            <w:tcW w:w="14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12,885</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9,765</w:t>
            </w:r>
          </w:p>
        </w:tc>
        <w:tc>
          <w:tcPr>
            <w:tcW w:w="16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7,403</w:t>
            </w:r>
          </w:p>
        </w:tc>
        <w:tc>
          <w:tcPr>
            <w:tcW w:w="16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39,482</w:t>
            </w:r>
          </w:p>
        </w:tc>
      </w:tr>
      <w:tr>
        <w:trPr>
          <w:trHeight w:val="84"/>
        </w:trPr>
        <w:tc>
          <w:tcPr>
            <w:tcW w:w="408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Total operating revenues</w:t>
            </w:r>
          </w:p>
        </w:tc>
        <w:tc>
          <w:tcPr>
            <w:tcW w:w="20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3,903,609</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3,209,241</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3,046,478</w:t>
            </w: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2,457,928</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2,142,213</w:t>
            </w:r>
          </w:p>
        </w:tc>
      </w:tr>
      <w:tr>
        <w:trPr>
          <w:trHeight w:val="95"/>
        </w:trPr>
        <w:tc>
          <w:tcPr>
            <w:tcW w:w="4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Operating Expenses:</w:t>
            </w: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r>
      <w:tr>
        <w:trPr>
          <w:trHeight w:val="95"/>
        </w:trPr>
        <w:tc>
          <w:tcPr>
            <w:tcW w:w="4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Rental property operating and maintenance</w:t>
            </w: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1,331,493</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1,020,578</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957,065</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759,616</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660,177</w:t>
            </w:r>
          </w:p>
        </w:tc>
      </w:tr>
      <w:tr>
        <w:trPr>
          <w:trHeight w:val="95"/>
        </w:trPr>
        <w:tc>
          <w:tcPr>
            <w:tcW w:w="4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Property taxes and insurance</w:t>
            </w: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182,623</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172,183</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140,918</w:t>
            </w: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134,995</w:t>
            </w: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111,989</w:t>
            </w:r>
          </w:p>
        </w:tc>
      </w:tr>
      <w:tr>
        <w:trPr>
          <w:trHeight w:val="95"/>
        </w:trPr>
        <w:tc>
          <w:tcPr>
            <w:tcW w:w="4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Depreciation and amortization</w:t>
            </w: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1,366,379</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1,163,774</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1,186,896</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842,464</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699,324</w:t>
            </w:r>
          </w:p>
        </w:tc>
      </w:tr>
      <w:tr>
        <w:trPr>
          <w:trHeight w:val="95"/>
        </w:trPr>
        <w:tc>
          <w:tcPr>
            <w:tcW w:w="4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General and administrative</w:t>
            </w: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351,369</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211,097</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163,667</w:t>
            </w: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161,441</w:t>
            </w: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152,733</w:t>
            </w:r>
          </w:p>
        </w:tc>
      </w:tr>
      <w:tr>
        <w:trPr>
          <w:trHeight w:val="95"/>
        </w:trPr>
        <w:tc>
          <w:tcPr>
            <w:tcW w:w="4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Transaction and integration expenses</w:t>
            </w: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106,662</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27,925</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45,327</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76,048</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20,491</w:t>
            </w:r>
          </w:p>
        </w:tc>
      </w:tr>
      <w:tr>
        <w:trPr>
          <w:trHeight w:val="95"/>
        </w:trPr>
        <w:tc>
          <w:tcPr>
            <w:tcW w:w="4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Impairment on investments in real estate</w:t>
            </w: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6,482</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5,351</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28,992</w:t>
            </w: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r>
      <w:tr>
        <w:trPr>
          <w:trHeight w:val="95"/>
        </w:trPr>
        <w:tc>
          <w:tcPr>
            <w:tcW w:w="4080" w:type="dxa"/>
            <w:vAlign w:val="bottom"/>
            <w:tcBorders>
              <w:bottom w:val="single" w:sz="8" w:color="CCEEFF"/>
            </w:tcBorders>
          </w:tcPr>
          <w:p>
            <w:pPr>
              <w:spacing w:after="0" w:line="95" w:lineRule="exact"/>
              <w:rPr>
                <w:sz w:val="20"/>
                <w:szCs w:val="20"/>
                <w:color w:val="auto"/>
              </w:rPr>
            </w:pPr>
            <w:r>
              <w:rPr>
                <w:rFonts w:ascii="Times New Roman" w:cs="Times New Roman" w:eastAsia="Times New Roman" w:hAnsi="Times New Roman"/>
                <w:sz w:val="9"/>
                <w:szCs w:val="9"/>
                <w:color w:val="auto"/>
              </w:rPr>
              <w:t>Other</w:t>
            </w: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1,075</w:t>
            </w:r>
          </w:p>
        </w:tc>
        <w:tc>
          <w:tcPr>
            <w:tcW w:w="14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14,118</w:t>
            </w:r>
          </w:p>
        </w:tc>
        <w:tc>
          <w:tcPr>
            <w:tcW w:w="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2,818</w:t>
            </w:r>
          </w:p>
        </w:tc>
        <w:tc>
          <w:tcPr>
            <w:tcW w:w="16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3,077</w:t>
            </w:r>
          </w:p>
        </w:tc>
        <w:tc>
          <w:tcPr>
            <w:tcW w:w="16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213</w:t>
            </w:r>
          </w:p>
        </w:tc>
      </w:tr>
      <w:tr>
        <w:trPr>
          <w:trHeight w:val="84"/>
        </w:trPr>
        <w:tc>
          <w:tcPr>
            <w:tcW w:w="408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Total operating expenses</w:t>
            </w:r>
          </w:p>
        </w:tc>
        <w:tc>
          <w:tcPr>
            <w:tcW w:w="20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3,346,083</w:t>
            </w:r>
          </w:p>
        </w:tc>
        <w:tc>
          <w:tcPr>
            <w:tcW w:w="14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2,615,026</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2,496,691</w:t>
            </w:r>
          </w:p>
        </w:tc>
        <w:tc>
          <w:tcPr>
            <w:tcW w:w="16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2,006,633</w:t>
            </w:r>
          </w:p>
        </w:tc>
        <w:tc>
          <w:tcPr>
            <w:tcW w:w="16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1,644,927</w:t>
            </w:r>
          </w:p>
        </w:tc>
      </w:tr>
      <w:tr>
        <w:trPr>
          <w:trHeight w:val="84"/>
        </w:trPr>
        <w:tc>
          <w:tcPr>
            <w:tcW w:w="408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Operating income</w:t>
            </w:r>
          </w:p>
        </w:tc>
        <w:tc>
          <w:tcPr>
            <w:tcW w:w="20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557,526</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594,215</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549,787</w:t>
            </w: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451,295</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497,286</w:t>
            </w:r>
          </w:p>
        </w:tc>
      </w:tr>
      <w:tr>
        <w:trPr>
          <w:trHeight w:val="95"/>
        </w:trPr>
        <w:tc>
          <w:tcPr>
            <w:tcW w:w="4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Other Income (Expenses):</w:t>
            </w: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r>
      <w:tr>
        <w:trPr>
          <w:trHeight w:val="95"/>
        </w:trPr>
        <w:tc>
          <w:tcPr>
            <w:tcW w:w="4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Equity in (loss) earnings of unconsolidated joint ventures</w:t>
            </w:r>
          </w:p>
        </w:tc>
        <w:tc>
          <w:tcPr>
            <w:tcW w:w="200" w:type="dxa"/>
            <w:vAlign w:val="bottom"/>
          </w:tcPr>
          <w:p>
            <w:pPr>
              <w:spacing w:after="0"/>
              <w:rPr>
                <w:sz w:val="8"/>
                <w:szCs w:val="8"/>
                <w:color w:val="auto"/>
              </w:rPr>
            </w:pPr>
          </w:p>
        </w:tc>
        <w:tc>
          <w:tcPr>
            <w:tcW w:w="800" w:type="dxa"/>
            <w:vAlign w:val="bottom"/>
            <w:gridSpan w:val="2"/>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(57,629)</w:t>
            </w: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8,067</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32,979</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25,516</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17,104</w:t>
            </w:r>
          </w:p>
        </w:tc>
      </w:tr>
      <w:tr>
        <w:trPr>
          <w:trHeight w:val="95"/>
        </w:trPr>
        <w:tc>
          <w:tcPr>
            <w:tcW w:w="4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Gain on disposition of properties, net</w:t>
            </w: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316,894</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267,651</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80,049</w:t>
            </w: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40,354</w:t>
            </w: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169,902</w:t>
            </w:r>
          </w:p>
        </w:tc>
      </w:tr>
      <w:tr>
        <w:trPr>
          <w:trHeight w:val="95"/>
        </w:trPr>
        <w:tc>
          <w:tcPr>
            <w:tcW w:w="4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Gain on deconsolidation, net</w:t>
            </w:r>
          </w:p>
        </w:tc>
        <w:tc>
          <w:tcPr>
            <w:tcW w:w="200" w:type="dxa"/>
            <w:vAlign w:val="bottom"/>
          </w:tcPr>
          <w:p>
            <w:pPr>
              <w:spacing w:after="0"/>
              <w:rPr>
                <w:sz w:val="8"/>
                <w:szCs w:val="8"/>
                <w:color w:val="auto"/>
              </w:rPr>
            </w:pPr>
          </w:p>
        </w:tc>
        <w:tc>
          <w:tcPr>
            <w:tcW w:w="800" w:type="dxa"/>
            <w:vAlign w:val="bottom"/>
            <w:gridSpan w:val="2"/>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67,497</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820" w:type="dxa"/>
            <w:vAlign w:val="bottom"/>
            <w:gridSpan w:val="2"/>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r>
      <w:tr>
        <w:trPr>
          <w:trHeight w:val="95"/>
        </w:trPr>
        <w:tc>
          <w:tcPr>
            <w:tcW w:w="4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Interest and other income (expense)</w:t>
            </w: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20,222</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66,000</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3,481</w:t>
            </w: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3,655</w:t>
            </w: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(4,564)</w:t>
            </w:r>
          </w:p>
        </w:tc>
      </w:tr>
      <w:tr>
        <w:trPr>
          <w:trHeight w:val="95"/>
        </w:trPr>
        <w:tc>
          <w:tcPr>
            <w:tcW w:w="4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Interest expense</w:t>
            </w:r>
          </w:p>
        </w:tc>
        <w:tc>
          <w:tcPr>
            <w:tcW w:w="200" w:type="dxa"/>
            <w:vAlign w:val="bottom"/>
          </w:tcPr>
          <w:p>
            <w:pPr>
              <w:spacing w:after="0"/>
              <w:rPr>
                <w:sz w:val="8"/>
                <w:szCs w:val="8"/>
                <w:color w:val="auto"/>
              </w:rPr>
            </w:pPr>
          </w:p>
        </w:tc>
        <w:tc>
          <w:tcPr>
            <w:tcW w:w="800" w:type="dxa"/>
            <w:vAlign w:val="bottom"/>
            <w:gridSpan w:val="2"/>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(333,021)</w:t>
            </w:r>
          </w:p>
        </w:tc>
        <w:tc>
          <w:tcPr>
            <w:tcW w:w="200" w:type="dxa"/>
            <w:vAlign w:val="bottom"/>
          </w:tcPr>
          <w:p>
            <w:pPr>
              <w:spacing w:after="0"/>
              <w:rPr>
                <w:sz w:val="8"/>
                <w:szCs w:val="8"/>
                <w:color w:val="auto"/>
              </w:rPr>
            </w:pPr>
          </w:p>
        </w:tc>
        <w:tc>
          <w:tcPr>
            <w:tcW w:w="70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(353,057)</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tcPr>
          <w:p>
            <w:pPr>
              <w:jc w:val="right"/>
              <w:ind w:right="160"/>
              <w:spacing w:after="0" w:line="95" w:lineRule="exact"/>
              <w:rPr>
                <w:sz w:val="20"/>
                <w:szCs w:val="20"/>
                <w:color w:val="auto"/>
              </w:rPr>
            </w:pPr>
            <w:r>
              <w:rPr>
                <w:rFonts w:ascii="Times New Roman" w:cs="Times New Roman" w:eastAsia="Times New Roman" w:hAnsi="Times New Roman"/>
                <w:sz w:val="9"/>
                <w:szCs w:val="9"/>
                <w:color w:val="auto"/>
              </w:rPr>
              <w:t>(321,529)</w:t>
            </w:r>
          </w:p>
        </w:tc>
        <w:tc>
          <w:tcPr>
            <w:tcW w:w="180" w:type="dxa"/>
            <w:vAlign w:val="bottom"/>
          </w:tcPr>
          <w:p>
            <w:pPr>
              <w:spacing w:after="0"/>
              <w:rPr>
                <w:sz w:val="8"/>
                <w:szCs w:val="8"/>
                <w:color w:val="auto"/>
              </w:rPr>
            </w:pPr>
          </w:p>
        </w:tc>
        <w:tc>
          <w:tcPr>
            <w:tcW w:w="820" w:type="dxa"/>
            <w:vAlign w:val="bottom"/>
            <w:gridSpan w:val="2"/>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(258,642)</w:t>
            </w: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(236,480)</w:t>
            </w:r>
          </w:p>
        </w:tc>
      </w:tr>
      <w:tr>
        <w:trPr>
          <w:trHeight w:val="95"/>
        </w:trPr>
        <w:tc>
          <w:tcPr>
            <w:tcW w:w="4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(Loss) gain from early extinguishment of debt</w:t>
            </w:r>
          </w:p>
        </w:tc>
        <w:tc>
          <w:tcPr>
            <w:tcW w:w="2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(103,215)</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(39,157)</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5" w:lineRule="exact"/>
              <w:rPr>
                <w:sz w:val="20"/>
                <w:szCs w:val="20"/>
                <w:color w:val="auto"/>
              </w:rPr>
            </w:pPr>
            <w:r>
              <w:rPr>
                <w:rFonts w:ascii="Times New Roman" w:cs="Times New Roman" w:eastAsia="Times New Roman" w:hAnsi="Times New Roman"/>
                <w:sz w:val="9"/>
                <w:szCs w:val="9"/>
                <w:color w:val="auto"/>
              </w:rPr>
              <w:t>(1,568)</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1,990</w:t>
            </w: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(1,011)</w:t>
            </w:r>
          </w:p>
        </w:tc>
      </w:tr>
      <w:tr>
        <w:trPr>
          <w:trHeight w:val="95"/>
        </w:trPr>
        <w:tc>
          <w:tcPr>
            <w:tcW w:w="4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Income tax expense</w:t>
            </w:r>
          </w:p>
        </w:tc>
        <w:tc>
          <w:tcPr>
            <w:tcW w:w="200" w:type="dxa"/>
            <w:vAlign w:val="bottom"/>
          </w:tcPr>
          <w:p>
            <w:pPr>
              <w:spacing w:after="0"/>
              <w:rPr>
                <w:sz w:val="8"/>
                <w:szCs w:val="8"/>
                <w:color w:val="auto"/>
              </w:rPr>
            </w:pPr>
          </w:p>
        </w:tc>
        <w:tc>
          <w:tcPr>
            <w:tcW w:w="800" w:type="dxa"/>
            <w:vAlign w:val="bottom"/>
            <w:gridSpan w:val="2"/>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(38,047)</w:t>
            </w:r>
          </w:p>
        </w:tc>
        <w:tc>
          <w:tcPr>
            <w:tcW w:w="200" w:type="dxa"/>
            <w:vAlign w:val="bottom"/>
          </w:tcPr>
          <w:p>
            <w:pPr>
              <w:spacing w:after="0"/>
              <w:rPr>
                <w:sz w:val="8"/>
                <w:szCs w:val="8"/>
                <w:color w:val="auto"/>
              </w:rPr>
            </w:pPr>
          </w:p>
        </w:tc>
        <w:tc>
          <w:tcPr>
            <w:tcW w:w="70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(11,995)</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tcPr>
          <w:p>
            <w:pPr>
              <w:jc w:val="right"/>
              <w:ind w:right="160"/>
              <w:spacing w:after="0" w:line="95" w:lineRule="exact"/>
              <w:rPr>
                <w:sz w:val="20"/>
                <w:szCs w:val="20"/>
                <w:color w:val="auto"/>
              </w:rPr>
            </w:pPr>
            <w:r>
              <w:rPr>
                <w:rFonts w:ascii="Times New Roman" w:cs="Times New Roman" w:eastAsia="Times New Roman" w:hAnsi="Times New Roman"/>
                <w:sz w:val="9"/>
                <w:szCs w:val="9"/>
                <w:color w:val="auto"/>
              </w:rPr>
              <w:t>(2,084)</w:t>
            </w:r>
          </w:p>
        </w:tc>
        <w:tc>
          <w:tcPr>
            <w:tcW w:w="180" w:type="dxa"/>
            <w:vAlign w:val="bottom"/>
          </w:tcPr>
          <w:p>
            <w:pPr>
              <w:spacing w:after="0"/>
              <w:rPr>
                <w:sz w:val="8"/>
                <w:szCs w:val="8"/>
                <w:color w:val="auto"/>
              </w:rPr>
            </w:pPr>
          </w:p>
        </w:tc>
        <w:tc>
          <w:tcPr>
            <w:tcW w:w="820" w:type="dxa"/>
            <w:vAlign w:val="bottom"/>
            <w:gridSpan w:val="2"/>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(7,901)</w:t>
            </w: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(10,385)</w:t>
            </w:r>
          </w:p>
        </w:tc>
      </w:tr>
      <w:tr>
        <w:trPr>
          <w:trHeight w:val="84"/>
        </w:trPr>
        <w:tc>
          <w:tcPr>
            <w:tcW w:w="4080" w:type="dxa"/>
            <w:vAlign w:val="bottom"/>
            <w:tcBorders>
              <w:top w:val="single" w:sz="8" w:color="CCEEFF"/>
            </w:tcBorders>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Net income</w:t>
            </w:r>
          </w:p>
        </w:tc>
        <w:tc>
          <w:tcPr>
            <w:tcW w:w="20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362,730</w:t>
            </w: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599,221</w:t>
            </w: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341,115</w:t>
            </w:r>
          </w:p>
        </w:tc>
        <w:tc>
          <w:tcPr>
            <w:tcW w:w="1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256,267</w:t>
            </w:r>
          </w:p>
        </w:tc>
        <w:tc>
          <w:tcPr>
            <w:tcW w:w="16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431,852</w:t>
            </w:r>
          </w:p>
        </w:tc>
      </w:tr>
      <w:tr>
        <w:trPr>
          <w:trHeight w:val="95"/>
        </w:trPr>
        <w:tc>
          <w:tcPr>
            <w:tcW w:w="4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Net income attributable to noncontrolling interests</w:t>
            </w:r>
          </w:p>
        </w:tc>
        <w:tc>
          <w:tcPr>
            <w:tcW w:w="200" w:type="dxa"/>
            <w:vAlign w:val="bottom"/>
          </w:tcPr>
          <w:p>
            <w:pPr>
              <w:spacing w:after="0"/>
              <w:rPr>
                <w:sz w:val="8"/>
                <w:szCs w:val="8"/>
                <w:color w:val="auto"/>
              </w:rPr>
            </w:pPr>
          </w:p>
        </w:tc>
        <w:tc>
          <w:tcPr>
            <w:tcW w:w="800" w:type="dxa"/>
            <w:vAlign w:val="bottom"/>
            <w:gridSpan w:val="2"/>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(6,332)</w:t>
            </w:r>
          </w:p>
        </w:tc>
        <w:tc>
          <w:tcPr>
            <w:tcW w:w="200" w:type="dxa"/>
            <w:vAlign w:val="bottom"/>
          </w:tcPr>
          <w:p>
            <w:pPr>
              <w:spacing w:after="0"/>
              <w:rPr>
                <w:sz w:val="8"/>
                <w:szCs w:val="8"/>
                <w:color w:val="auto"/>
              </w:rPr>
            </w:pPr>
          </w:p>
        </w:tc>
        <w:tc>
          <w:tcPr>
            <w:tcW w:w="70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(19,460)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tcPr>
          <w:p>
            <w:pPr>
              <w:jc w:val="right"/>
              <w:ind w:right="160"/>
              <w:spacing w:after="0" w:line="95" w:lineRule="exact"/>
              <w:rPr>
                <w:sz w:val="20"/>
                <w:szCs w:val="20"/>
                <w:color w:val="auto"/>
              </w:rPr>
            </w:pPr>
            <w:r>
              <w:rPr>
                <w:rFonts w:ascii="Times New Roman" w:cs="Times New Roman" w:eastAsia="Times New Roman" w:hAnsi="Times New Roman"/>
                <w:sz w:val="9"/>
                <w:szCs w:val="9"/>
                <w:color w:val="auto"/>
              </w:rPr>
              <w:t>(9,869)</w:t>
            </w:r>
          </w:p>
        </w:tc>
        <w:tc>
          <w:tcPr>
            <w:tcW w:w="180" w:type="dxa"/>
            <w:vAlign w:val="bottom"/>
          </w:tcPr>
          <w:p>
            <w:pPr>
              <w:spacing w:after="0"/>
              <w:rPr>
                <w:sz w:val="8"/>
                <w:szCs w:val="8"/>
                <w:color w:val="auto"/>
              </w:rPr>
            </w:pPr>
          </w:p>
        </w:tc>
        <w:tc>
          <w:tcPr>
            <w:tcW w:w="820" w:type="dxa"/>
            <w:vAlign w:val="bottom"/>
            <w:gridSpan w:val="2"/>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(8,008)</w:t>
            </w: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(5,665)</w:t>
            </w:r>
          </w:p>
        </w:tc>
      </w:tr>
      <w:tr>
        <w:trPr>
          <w:trHeight w:val="84"/>
        </w:trPr>
        <w:tc>
          <w:tcPr>
            <w:tcW w:w="4080" w:type="dxa"/>
            <w:vAlign w:val="bottom"/>
            <w:tcBorders>
              <w:top w:val="single" w:sz="8" w:color="CCEEFF"/>
            </w:tcBorders>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Net income attributable to Digital Realty Trust, Inc.</w:t>
            </w:r>
          </w:p>
        </w:tc>
        <w:tc>
          <w:tcPr>
            <w:tcW w:w="20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356,398</w:t>
            </w: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579,761</w:t>
            </w: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331,246</w:t>
            </w:r>
          </w:p>
        </w:tc>
        <w:tc>
          <w:tcPr>
            <w:tcW w:w="1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248,259</w:t>
            </w:r>
          </w:p>
        </w:tc>
        <w:tc>
          <w:tcPr>
            <w:tcW w:w="16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426,187</w:t>
            </w:r>
          </w:p>
        </w:tc>
      </w:tr>
      <w:tr>
        <w:trPr>
          <w:trHeight w:val="95"/>
        </w:trPr>
        <w:tc>
          <w:tcPr>
            <w:tcW w:w="4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Preferred stock dividends</w:t>
            </w:r>
          </w:p>
        </w:tc>
        <w:tc>
          <w:tcPr>
            <w:tcW w:w="200" w:type="dxa"/>
            <w:vAlign w:val="bottom"/>
          </w:tcPr>
          <w:p>
            <w:pPr>
              <w:spacing w:after="0"/>
              <w:rPr>
                <w:sz w:val="8"/>
                <w:szCs w:val="8"/>
                <w:color w:val="auto"/>
              </w:rPr>
            </w:pPr>
          </w:p>
        </w:tc>
        <w:tc>
          <w:tcPr>
            <w:tcW w:w="800" w:type="dxa"/>
            <w:vAlign w:val="bottom"/>
            <w:gridSpan w:val="2"/>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(76,536)</w:t>
            </w:r>
          </w:p>
        </w:tc>
        <w:tc>
          <w:tcPr>
            <w:tcW w:w="200" w:type="dxa"/>
            <w:vAlign w:val="bottom"/>
          </w:tcPr>
          <w:p>
            <w:pPr>
              <w:spacing w:after="0"/>
              <w:rPr>
                <w:sz w:val="8"/>
                <w:szCs w:val="8"/>
                <w:color w:val="auto"/>
              </w:rPr>
            </w:pPr>
          </w:p>
        </w:tc>
        <w:tc>
          <w:tcPr>
            <w:tcW w:w="70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(74,990)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tcPr>
          <w:p>
            <w:pPr>
              <w:jc w:val="right"/>
              <w:ind w:right="160"/>
              <w:spacing w:after="0" w:line="95" w:lineRule="exact"/>
              <w:rPr>
                <w:sz w:val="20"/>
                <w:szCs w:val="20"/>
                <w:color w:val="auto"/>
              </w:rPr>
            </w:pPr>
            <w:r>
              <w:rPr>
                <w:rFonts w:ascii="Times New Roman" w:cs="Times New Roman" w:eastAsia="Times New Roman" w:hAnsi="Times New Roman"/>
                <w:sz w:val="9"/>
                <w:szCs w:val="9"/>
                <w:color w:val="auto"/>
              </w:rPr>
              <w:t>(81,316)</w:t>
            </w:r>
          </w:p>
        </w:tc>
        <w:tc>
          <w:tcPr>
            <w:tcW w:w="180" w:type="dxa"/>
            <w:vAlign w:val="bottom"/>
          </w:tcPr>
          <w:p>
            <w:pPr>
              <w:spacing w:after="0"/>
              <w:rPr>
                <w:sz w:val="8"/>
                <w:szCs w:val="8"/>
                <w:color w:val="auto"/>
              </w:rPr>
            </w:pPr>
          </w:p>
        </w:tc>
        <w:tc>
          <w:tcPr>
            <w:tcW w:w="820" w:type="dxa"/>
            <w:vAlign w:val="bottom"/>
            <w:gridSpan w:val="2"/>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(68,802)</w:t>
            </w: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(83,771)</w:t>
            </w:r>
          </w:p>
        </w:tc>
      </w:tr>
      <w:tr>
        <w:trPr>
          <w:trHeight w:val="95"/>
        </w:trPr>
        <w:tc>
          <w:tcPr>
            <w:tcW w:w="4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Issuance costs associated with redeemed preferred stock</w:t>
            </w:r>
          </w:p>
        </w:tc>
        <w:tc>
          <w:tcPr>
            <w:tcW w:w="2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(16,520)</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(11,760)</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(6,309)</w:t>
            </w: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(10,328)</w:t>
            </w:r>
          </w:p>
        </w:tc>
      </w:tr>
      <w:tr>
        <w:trPr>
          <w:trHeight w:val="93"/>
        </w:trPr>
        <w:tc>
          <w:tcPr>
            <w:tcW w:w="4080" w:type="dxa"/>
            <w:vAlign w:val="bottom"/>
            <w:tcBorders>
              <w:bottom w:val="single" w:sz="8" w:color="CCEEFF"/>
            </w:tcBorders>
          </w:tcPr>
          <w:p>
            <w:pPr>
              <w:spacing w:after="0" w:line="85" w:lineRule="exact"/>
              <w:rPr>
                <w:sz w:val="20"/>
                <w:szCs w:val="20"/>
                <w:color w:val="auto"/>
              </w:rPr>
            </w:pPr>
            <w:r>
              <w:rPr>
                <w:rFonts w:ascii="Times New Roman" w:cs="Times New Roman" w:eastAsia="Times New Roman" w:hAnsi="Times New Roman"/>
                <w:sz w:val="9"/>
                <w:szCs w:val="9"/>
                <w:color w:val="auto"/>
              </w:rPr>
              <w:t>Net income available to common stockholders</w:t>
            </w:r>
          </w:p>
        </w:tc>
        <w:tc>
          <w:tcPr>
            <w:tcW w:w="200" w:type="dxa"/>
            <w:vAlign w:val="bottom"/>
            <w:tcBorders>
              <w:top w:val="single" w:sz="8" w:color="auto"/>
              <w:bottom w:val="single" w:sz="8" w:color="auto"/>
            </w:tcBorders>
          </w:tcPr>
          <w:p>
            <w:pPr>
              <w:jc w:val="right"/>
              <w:ind w:right="96"/>
              <w:spacing w:after="0" w:line="85"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263,342</w:t>
            </w:r>
          </w:p>
        </w:tc>
        <w:tc>
          <w:tcPr>
            <w:tcW w:w="140" w:type="dxa"/>
            <w:vAlign w:val="bottom"/>
            <w:tcBorders>
              <w:bottom w:val="single" w:sz="8" w:color="CCEEFF"/>
            </w:tcBorders>
          </w:tcPr>
          <w:p>
            <w:pPr>
              <w:spacing w:after="0"/>
              <w:rPr>
                <w:sz w:val="8"/>
                <w:szCs w:val="8"/>
                <w:color w:val="auto"/>
              </w:rPr>
            </w:pPr>
          </w:p>
        </w:tc>
        <w:tc>
          <w:tcPr>
            <w:tcW w:w="2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493,011</w:t>
            </w:r>
          </w:p>
        </w:tc>
        <w:tc>
          <w:tcPr>
            <w:tcW w:w="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top w:val="single" w:sz="8" w:color="auto"/>
              <w:bottom w:val="single" w:sz="8" w:color="auto"/>
            </w:tcBorders>
          </w:tcPr>
          <w:p>
            <w:pPr>
              <w:jc w:val="right"/>
              <w:ind w:right="96"/>
              <w:spacing w:after="0" w:line="85"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249,930</w:t>
            </w:r>
          </w:p>
        </w:tc>
        <w:tc>
          <w:tcPr>
            <w:tcW w:w="160" w:type="dxa"/>
            <w:vAlign w:val="bottom"/>
            <w:tcBorders>
              <w:bottom w:val="single" w:sz="8" w:color="CCEEFF"/>
            </w:tcBorders>
          </w:tcPr>
          <w:p>
            <w:pPr>
              <w:spacing w:after="0"/>
              <w:rPr>
                <w:sz w:val="8"/>
                <w:szCs w:val="8"/>
                <w:color w:val="auto"/>
              </w:rPr>
            </w:pPr>
          </w:p>
        </w:tc>
        <w:tc>
          <w:tcPr>
            <w:tcW w:w="1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173,148</w:t>
            </w:r>
          </w:p>
        </w:tc>
        <w:tc>
          <w:tcPr>
            <w:tcW w:w="160" w:type="dxa"/>
            <w:vAlign w:val="bottom"/>
            <w:tcBorders>
              <w:bottom w:val="single" w:sz="8" w:color="CCEEFF"/>
            </w:tcBorders>
          </w:tcPr>
          <w:p>
            <w:pPr>
              <w:spacing w:after="0"/>
              <w:rPr>
                <w:sz w:val="8"/>
                <w:szCs w:val="8"/>
                <w:color w:val="auto"/>
              </w:rPr>
            </w:pPr>
          </w:p>
        </w:tc>
        <w:tc>
          <w:tcPr>
            <w:tcW w:w="2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332,088</w:t>
            </w:r>
          </w:p>
        </w:tc>
      </w:tr>
      <w:tr>
        <w:trPr>
          <w:trHeight w:val="95"/>
        </w:trPr>
        <w:tc>
          <w:tcPr>
            <w:tcW w:w="4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Per Share Data:</w:t>
            </w: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r>
      <w:tr>
        <w:trPr>
          <w:trHeight w:val="95"/>
        </w:trPr>
        <w:tc>
          <w:tcPr>
            <w:tcW w:w="4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Basic income per share available to common stockholders</w:t>
            </w:r>
          </w:p>
        </w:tc>
        <w:tc>
          <w:tcPr>
            <w:tcW w:w="200" w:type="dxa"/>
            <w:vAlign w:val="bottom"/>
          </w:tcPr>
          <w:p>
            <w:pPr>
              <w:jc w:val="right"/>
              <w:ind w:right="96"/>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1.01</w:t>
            </w:r>
          </w:p>
        </w:tc>
        <w:tc>
          <w:tcPr>
            <w:tcW w:w="140" w:type="dxa"/>
            <w:vAlign w:val="bottom"/>
          </w:tcPr>
          <w:p>
            <w:pPr>
              <w:spacing w:after="0"/>
              <w:rPr>
                <w:sz w:val="8"/>
                <w:szCs w:val="8"/>
                <w:color w:val="auto"/>
              </w:rPr>
            </w:pPr>
          </w:p>
        </w:tc>
        <w:tc>
          <w:tcPr>
            <w:tcW w:w="200" w:type="dxa"/>
            <w:vAlign w:val="bottom"/>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2.37</w:t>
            </w:r>
          </w:p>
        </w:tc>
        <w:tc>
          <w:tcPr>
            <w:tcW w:w="40" w:type="dxa"/>
            <w:vAlign w:val="bottom"/>
          </w:tcPr>
          <w:p>
            <w:pPr>
              <w:spacing w:after="0"/>
              <w:rPr>
                <w:sz w:val="8"/>
                <w:szCs w:val="8"/>
                <w:color w:val="auto"/>
              </w:rPr>
            </w:pPr>
          </w:p>
        </w:tc>
        <w:tc>
          <w:tcPr>
            <w:tcW w:w="300" w:type="dxa"/>
            <w:vAlign w:val="bottom"/>
            <w:gridSpan w:val="2"/>
          </w:tcPr>
          <w:p>
            <w:pPr>
              <w:jc w:val="right"/>
              <w:ind w:right="96"/>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1.21</w:t>
            </w:r>
          </w:p>
        </w:tc>
        <w:tc>
          <w:tcPr>
            <w:tcW w:w="160" w:type="dxa"/>
            <w:vAlign w:val="bottom"/>
          </w:tcPr>
          <w:p>
            <w:pPr>
              <w:spacing w:after="0"/>
              <w:rPr>
                <w:sz w:val="8"/>
                <w:szCs w:val="8"/>
                <w:color w:val="auto"/>
              </w:rPr>
            </w:pP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0.99</w:t>
            </w:r>
          </w:p>
        </w:tc>
        <w:tc>
          <w:tcPr>
            <w:tcW w:w="160" w:type="dxa"/>
            <w:vAlign w:val="bottom"/>
          </w:tcPr>
          <w:p>
            <w:pPr>
              <w:spacing w:after="0"/>
              <w:rPr>
                <w:sz w:val="8"/>
                <w:szCs w:val="8"/>
                <w:color w:val="auto"/>
              </w:rPr>
            </w:pPr>
          </w:p>
        </w:tc>
        <w:tc>
          <w:tcPr>
            <w:tcW w:w="200" w:type="dxa"/>
            <w:vAlign w:val="bottom"/>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2.21</w:t>
            </w:r>
          </w:p>
        </w:tc>
      </w:tr>
      <w:tr>
        <w:trPr>
          <w:trHeight w:val="95"/>
        </w:trPr>
        <w:tc>
          <w:tcPr>
            <w:tcW w:w="4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Diluted income per share available to common stockholders</w:t>
            </w:r>
          </w:p>
        </w:tc>
        <w:tc>
          <w:tcPr>
            <w:tcW w:w="200" w:type="dxa"/>
            <w:vAlign w:val="bottom"/>
            <w:shd w:val="clear" w:color="auto" w:fill="CCEEFF"/>
          </w:tcPr>
          <w:p>
            <w:pPr>
              <w:jc w:val="right"/>
              <w:ind w:right="96"/>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1.00</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2.35</w:t>
            </w:r>
          </w:p>
        </w:tc>
        <w:tc>
          <w:tcPr>
            <w:tcW w:w="4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96"/>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1.21</w:t>
            </w: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0.99</w:t>
            </w: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2.20</w:t>
            </w:r>
          </w:p>
        </w:tc>
      </w:tr>
      <w:tr>
        <w:trPr>
          <w:trHeight w:val="95"/>
        </w:trPr>
        <w:tc>
          <w:tcPr>
            <w:tcW w:w="4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Cash dividend per common share</w:t>
            </w:r>
          </w:p>
        </w:tc>
        <w:tc>
          <w:tcPr>
            <w:tcW w:w="200" w:type="dxa"/>
            <w:vAlign w:val="bottom"/>
          </w:tcPr>
          <w:p>
            <w:pPr>
              <w:jc w:val="right"/>
              <w:ind w:right="96"/>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4.48</w:t>
            </w:r>
          </w:p>
        </w:tc>
        <w:tc>
          <w:tcPr>
            <w:tcW w:w="140" w:type="dxa"/>
            <w:vAlign w:val="bottom"/>
          </w:tcPr>
          <w:p>
            <w:pPr>
              <w:spacing w:after="0"/>
              <w:rPr>
                <w:sz w:val="8"/>
                <w:szCs w:val="8"/>
                <w:color w:val="auto"/>
              </w:rPr>
            </w:pPr>
          </w:p>
        </w:tc>
        <w:tc>
          <w:tcPr>
            <w:tcW w:w="200" w:type="dxa"/>
            <w:vAlign w:val="bottom"/>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4.32</w:t>
            </w:r>
          </w:p>
        </w:tc>
        <w:tc>
          <w:tcPr>
            <w:tcW w:w="40" w:type="dxa"/>
            <w:vAlign w:val="bottom"/>
          </w:tcPr>
          <w:p>
            <w:pPr>
              <w:spacing w:after="0"/>
              <w:rPr>
                <w:sz w:val="8"/>
                <w:szCs w:val="8"/>
                <w:color w:val="auto"/>
              </w:rPr>
            </w:pPr>
          </w:p>
        </w:tc>
        <w:tc>
          <w:tcPr>
            <w:tcW w:w="300" w:type="dxa"/>
            <w:vAlign w:val="bottom"/>
            <w:gridSpan w:val="2"/>
          </w:tcPr>
          <w:p>
            <w:pPr>
              <w:jc w:val="right"/>
              <w:ind w:right="96"/>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4.04</w:t>
            </w:r>
          </w:p>
        </w:tc>
        <w:tc>
          <w:tcPr>
            <w:tcW w:w="160" w:type="dxa"/>
            <w:vAlign w:val="bottom"/>
          </w:tcPr>
          <w:p>
            <w:pPr>
              <w:spacing w:after="0"/>
              <w:rPr>
                <w:sz w:val="8"/>
                <w:szCs w:val="8"/>
                <w:color w:val="auto"/>
              </w:rPr>
            </w:pP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3.72</w:t>
            </w:r>
          </w:p>
        </w:tc>
        <w:tc>
          <w:tcPr>
            <w:tcW w:w="160" w:type="dxa"/>
            <w:vAlign w:val="bottom"/>
          </w:tcPr>
          <w:p>
            <w:pPr>
              <w:spacing w:after="0"/>
              <w:rPr>
                <w:sz w:val="8"/>
                <w:szCs w:val="8"/>
                <w:color w:val="auto"/>
              </w:rPr>
            </w:pPr>
          </w:p>
        </w:tc>
        <w:tc>
          <w:tcPr>
            <w:tcW w:w="200" w:type="dxa"/>
            <w:vAlign w:val="bottom"/>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3.52</w:t>
            </w:r>
          </w:p>
        </w:tc>
      </w:tr>
      <w:tr>
        <w:trPr>
          <w:trHeight w:val="95"/>
        </w:trPr>
        <w:tc>
          <w:tcPr>
            <w:tcW w:w="4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Weighted average common shares outstanding:</w:t>
            </w: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r>
      <w:tr>
        <w:trPr>
          <w:trHeight w:val="95"/>
        </w:trPr>
        <w:tc>
          <w:tcPr>
            <w:tcW w:w="408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Basic</w:t>
            </w: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260,098,978</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208,325,823</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206,035,408</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174,059,386</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149,953,662</w:t>
            </w:r>
          </w:p>
        </w:tc>
      </w:tr>
      <w:tr>
        <w:trPr>
          <w:trHeight w:val="95"/>
        </w:trPr>
        <w:tc>
          <w:tcPr>
            <w:tcW w:w="408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Diluted</w:t>
            </w: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262,522,508</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209,462,247</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206,673,471</w:t>
            </w: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174,895,098</w:t>
            </w: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150,679,688</w:t>
            </w:r>
          </w:p>
        </w:tc>
      </w:tr>
    </w:tbl>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3" w:name="page64"/>
    <w:bookmarkEnd w:id="6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r>
        <w:trPr>
          <w:trHeight w:val="94"/>
        </w:trPr>
        <w:tc>
          <w:tcPr>
            <w:tcW w:w="20" w:type="dxa"/>
            <w:vAlign w:val="bottom"/>
          </w:tcPr>
          <w:p>
            <w:pPr>
              <w:spacing w:after="0"/>
              <w:rPr>
                <w:sz w:val="8"/>
                <w:szCs w:val="8"/>
                <w:color w:val="auto"/>
              </w:rPr>
            </w:pPr>
          </w:p>
        </w:tc>
        <w:tc>
          <w:tcPr>
            <w:tcW w:w="3000" w:type="dxa"/>
            <w:vAlign w:val="bottom"/>
            <w:tcBorders>
              <w:bottom w:val="single" w:sz="8" w:color="CCEEFF"/>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38"/>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58"/>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59"/>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c>
          <w:tcPr>
            <w:tcW w:w="4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38"/>
              <w:spacing w:after="0" w:line="94" w:lineRule="exact"/>
              <w:rPr>
                <w:sz w:val="20"/>
                <w:szCs w:val="20"/>
                <w:color w:val="auto"/>
              </w:rPr>
            </w:pPr>
            <w:r>
              <w:rPr>
                <w:rFonts w:ascii="Times New Roman" w:cs="Times New Roman" w:eastAsia="Times New Roman" w:hAnsi="Times New Roman"/>
                <w:sz w:val="10"/>
                <w:szCs w:val="10"/>
                <w:b w:val="1"/>
                <w:bCs w:val="1"/>
                <w:color w:val="auto"/>
              </w:rPr>
              <w:t>2017</w:t>
            </w:r>
          </w:p>
        </w:tc>
        <w:tc>
          <w:tcPr>
            <w:tcW w:w="2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58"/>
              <w:spacing w:after="0" w:line="94" w:lineRule="exact"/>
              <w:rPr>
                <w:sz w:val="20"/>
                <w:szCs w:val="20"/>
                <w:color w:val="auto"/>
              </w:rPr>
            </w:pPr>
            <w:r>
              <w:rPr>
                <w:rFonts w:ascii="Times New Roman" w:cs="Times New Roman" w:eastAsia="Times New Roman" w:hAnsi="Times New Roman"/>
                <w:sz w:val="10"/>
                <w:szCs w:val="10"/>
                <w:b w:val="1"/>
                <w:bCs w:val="1"/>
                <w:color w:val="auto"/>
              </w:rPr>
              <w:t>2016</w:t>
            </w:r>
          </w:p>
        </w:tc>
      </w:tr>
      <w:tr>
        <w:trPr>
          <w:trHeight w:val="141"/>
        </w:trPr>
        <w:tc>
          <w:tcPr>
            <w:tcW w:w="20" w:type="dxa"/>
            <w:vAlign w:val="bottom"/>
          </w:tcPr>
          <w:p>
            <w:pPr>
              <w:spacing w:after="0"/>
              <w:rPr>
                <w:sz w:val="12"/>
                <w:szCs w:val="12"/>
                <w:color w:val="auto"/>
              </w:rPr>
            </w:pPr>
          </w:p>
        </w:tc>
        <w:tc>
          <w:tcPr>
            <w:tcW w:w="30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Balance Sheet Data:</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Net investments in real estate</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21,731,112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15,517,684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15,079,726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13,841,186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8,996,362</w:t>
            </w:r>
          </w:p>
        </w:tc>
      </w:tr>
      <w:tr>
        <w:trPr>
          <w:trHeight w:val="152"/>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36,076,291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23,068,131</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23,766,695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21,404,345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12,192,585</w:t>
            </w:r>
          </w:p>
        </w:tc>
      </w:tr>
      <w:tr>
        <w:trPr>
          <w:trHeight w:val="152"/>
        </w:trPr>
        <w:tc>
          <w:tcPr>
            <w:tcW w:w="2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Global revolving credit facilities, net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531,905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234,105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1,647,735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550,946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199,209</w:t>
            </w:r>
          </w:p>
        </w:tc>
      </w:tr>
      <w:tr>
        <w:trPr>
          <w:trHeight w:val="152"/>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Unsecured term loans, net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536,580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810,219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1,178,904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1,420,333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1,482,361</w:t>
            </w:r>
          </w:p>
        </w:tc>
      </w:tr>
      <w:tr>
        <w:trPr>
          <w:trHeight w:val="152"/>
        </w:trPr>
        <w:tc>
          <w:tcPr>
            <w:tcW w:w="2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Unsecured senior notes, net of discount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11,997,010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8,973,190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7,589,126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6,570,757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4,153,797</w:t>
            </w:r>
          </w:p>
        </w:tc>
      </w:tr>
      <w:tr>
        <w:trPr>
          <w:trHeight w:val="152"/>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 including premiums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239,222</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104,934</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685,714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106,582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3,240</w:t>
            </w:r>
          </w:p>
        </w:tc>
      </w:tr>
      <w:tr>
        <w:trPr>
          <w:trHeight w:val="152"/>
        </w:trPr>
        <w:tc>
          <w:tcPr>
            <w:tcW w:w="2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17,587,944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12,418,566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12,892,653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10,300,993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7,060,288</w:t>
            </w:r>
          </w:p>
        </w:tc>
      </w:tr>
      <w:tr>
        <w:trPr>
          <w:trHeight w:val="152"/>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Redeemable noncontrolling interests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42,011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41,465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53,902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17,717,697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9,879,312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9,858,644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10,349,081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5,096,015</w:t>
            </w:r>
          </w:p>
        </w:tc>
      </w:tr>
      <w:tr>
        <w:trPr>
          <w:trHeight w:val="152"/>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 in operating partnership</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608,980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708,163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906,510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698,126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29,684</w:t>
            </w:r>
          </w:p>
        </w:tc>
      </w:tr>
      <w:tr>
        <w:trPr>
          <w:trHeight w:val="152"/>
        </w:trPr>
        <w:tc>
          <w:tcPr>
            <w:tcW w:w="2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interests in consolidated joint ventures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119,659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20,625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93,056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6,598</w:t>
            </w:r>
          </w:p>
        </w:tc>
      </w:tr>
      <w:tr>
        <w:trPr>
          <w:trHeight w:val="152"/>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36,076,291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23,068,131</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23,766,695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21,404,345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12,192,585</w:t>
            </w:r>
          </w:p>
        </w:tc>
      </w:tr>
      <w:tr>
        <w:trPr>
          <w:trHeight w:val="266"/>
        </w:trPr>
        <w:tc>
          <w:tcPr>
            <w:tcW w:w="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r>
      <w:tr>
        <w:trPr>
          <w:trHeight w:val="94"/>
        </w:trPr>
        <w:tc>
          <w:tcPr>
            <w:tcW w:w="20" w:type="dxa"/>
            <w:vAlign w:val="bottom"/>
            <w:tcBorders>
              <w:bottom w:val="single" w:sz="8" w:color="CCEEFF"/>
            </w:tcBorders>
          </w:tcPr>
          <w:p>
            <w:pPr>
              <w:spacing w:after="0"/>
              <w:rPr>
                <w:sz w:val="8"/>
                <w:szCs w:val="8"/>
                <w:color w:val="auto"/>
              </w:rPr>
            </w:pPr>
          </w:p>
        </w:tc>
        <w:tc>
          <w:tcPr>
            <w:tcW w:w="3000" w:type="dxa"/>
            <w:vAlign w:val="bottom"/>
            <w:tcBorders>
              <w:bottom w:val="single" w:sz="8" w:color="CCEEFF"/>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38"/>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78"/>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299"/>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18"/>
              <w:spacing w:after="0" w:line="94" w:lineRule="exact"/>
              <w:rPr>
                <w:sz w:val="20"/>
                <w:szCs w:val="20"/>
                <w:color w:val="auto"/>
              </w:rPr>
            </w:pPr>
            <w:r>
              <w:rPr>
                <w:rFonts w:ascii="Times New Roman" w:cs="Times New Roman" w:eastAsia="Times New Roman" w:hAnsi="Times New Roman"/>
                <w:sz w:val="10"/>
                <w:szCs w:val="10"/>
                <w:b w:val="1"/>
                <w:bCs w:val="1"/>
                <w:color w:val="auto"/>
              </w:rPr>
              <w:t>2017</w:t>
            </w: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58"/>
              <w:spacing w:after="0" w:line="94" w:lineRule="exact"/>
              <w:rPr>
                <w:sz w:val="20"/>
                <w:szCs w:val="20"/>
                <w:color w:val="auto"/>
              </w:rPr>
            </w:pPr>
            <w:r>
              <w:rPr>
                <w:rFonts w:ascii="Times New Roman" w:cs="Times New Roman" w:eastAsia="Times New Roman" w:hAnsi="Times New Roman"/>
                <w:sz w:val="10"/>
                <w:szCs w:val="10"/>
                <w:b w:val="1"/>
                <w:bCs w:val="1"/>
                <w:color w:val="auto"/>
              </w:rPr>
              <w:t>2016</w:t>
            </w:r>
          </w:p>
        </w:tc>
      </w:tr>
      <w:tr>
        <w:trPr>
          <w:trHeight w:val="141"/>
        </w:trPr>
        <w:tc>
          <w:tcPr>
            <w:tcW w:w="302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Cash flows from (used in):</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2"/>
        </w:trPr>
        <w:tc>
          <w:tcPr>
            <w:tcW w:w="3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activities</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1,706,541</w:t>
            </w:r>
          </w:p>
        </w:tc>
        <w:tc>
          <w:tcPr>
            <w:tcW w:w="2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1,513,817</w:t>
            </w:r>
          </w:p>
        </w:tc>
        <w:tc>
          <w:tcPr>
            <w:tcW w:w="40" w:type="dxa"/>
            <w:vAlign w:val="bottom"/>
          </w:tcPr>
          <w:p>
            <w:pPr>
              <w:spacing w:after="0"/>
              <w:rPr>
                <w:sz w:val="13"/>
                <w:szCs w:val="13"/>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1,385,324</w:t>
            </w:r>
          </w:p>
        </w:tc>
        <w:tc>
          <w:tcPr>
            <w:tcW w:w="80" w:type="dxa"/>
            <w:vAlign w:val="bottom"/>
          </w:tcPr>
          <w:p>
            <w:pPr>
              <w:spacing w:after="0"/>
              <w:rPr>
                <w:sz w:val="13"/>
                <w:szCs w:val="13"/>
                <w:color w:val="auto"/>
              </w:rPr>
            </w:pP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1,023,305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911,242</w:t>
            </w:r>
          </w:p>
        </w:tc>
      </w:tr>
      <w:tr>
        <w:trPr>
          <w:trHeight w:val="152"/>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Investing activities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(2,599,347)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(274,992)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(3,035,993)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(1,357,153)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(1,303,597)</w:t>
            </w:r>
          </w:p>
        </w:tc>
      </w:tr>
      <w:tr>
        <w:trPr>
          <w:trHeight w:val="165"/>
        </w:trPr>
        <w:tc>
          <w:tcPr>
            <w:tcW w:w="3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Financing activities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935,689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(1,272,021)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1,757,269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321,200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350,617</w:t>
            </w:r>
          </w:p>
        </w:tc>
      </w:tr>
      <w:tr>
        <w:trPr>
          <w:trHeight w:val="595"/>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59</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0"/>
        </w:trPr>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64" w:name="page65"/>
    <w:bookmarkEnd w:id="6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SELECTED COMPANY FINANCIAL AND OTHER DATA (Digital Realty Trust, L.P.)</w:t>
      </w:r>
    </w:p>
    <w:p>
      <w:pPr>
        <w:spacing w:after="0" w:line="156" w:lineRule="exact"/>
        <w:rPr>
          <w:sz w:val="20"/>
          <w:szCs w:val="20"/>
          <w:color w:val="auto"/>
        </w:rPr>
      </w:pPr>
    </w:p>
    <w:p>
      <w:pPr>
        <w:ind w:left="20" w:right="99" w:firstLine="228"/>
        <w:spacing w:after="0" w:line="268" w:lineRule="auto"/>
        <w:rPr>
          <w:sz w:val="20"/>
          <w:szCs w:val="20"/>
          <w:color w:val="auto"/>
        </w:rPr>
      </w:pPr>
      <w:r>
        <w:rPr>
          <w:rFonts w:ascii="Times New Roman" w:cs="Times New Roman" w:eastAsia="Times New Roman" w:hAnsi="Times New Roman"/>
          <w:sz w:val="13"/>
          <w:szCs w:val="13"/>
          <w:color w:val="auto"/>
        </w:rPr>
        <w:t>The following table sets forth selected consolidated financial and operating data on an historical basis for our Operating Partnership (amounts in thousands, except unit and per unit data)</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9"/>
                <w:szCs w:val="9"/>
                <w:b w:val="1"/>
                <w:bCs w:val="1"/>
                <w:color w:val="auto"/>
                <w:w w:val="96"/>
              </w:rPr>
              <w:t>Year Ended December 31,</w:t>
            </w: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84"/>
        </w:trPr>
        <w:tc>
          <w:tcPr>
            <w:tcW w:w="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256"/>
              <w:spacing w:after="0" w:line="85" w:lineRule="exact"/>
              <w:rPr>
                <w:sz w:val="20"/>
                <w:szCs w:val="20"/>
                <w:color w:val="auto"/>
              </w:rPr>
            </w:pPr>
            <w:r>
              <w:rPr>
                <w:rFonts w:ascii="Times New Roman" w:cs="Times New Roman" w:eastAsia="Times New Roman" w:hAnsi="Times New Roman"/>
                <w:sz w:val="9"/>
                <w:szCs w:val="9"/>
                <w:b w:val="1"/>
                <w:bCs w:val="1"/>
                <w:color w:val="auto"/>
              </w:rPr>
              <w:t>2020</w:t>
            </w:r>
          </w:p>
        </w:tc>
        <w:tc>
          <w:tcPr>
            <w:tcW w:w="1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56"/>
              <w:spacing w:after="0" w:line="85" w:lineRule="exact"/>
              <w:rPr>
                <w:sz w:val="20"/>
                <w:szCs w:val="20"/>
                <w:color w:val="auto"/>
              </w:rPr>
            </w:pPr>
            <w:r>
              <w:rPr>
                <w:rFonts w:ascii="Times New Roman" w:cs="Times New Roman" w:eastAsia="Times New Roman" w:hAnsi="Times New Roman"/>
                <w:sz w:val="9"/>
                <w:szCs w:val="9"/>
                <w:b w:val="1"/>
                <w:bCs w:val="1"/>
                <w:color w:val="auto"/>
              </w:rPr>
              <w:t>2019</w:t>
            </w:r>
          </w:p>
        </w:tc>
        <w:tc>
          <w:tcPr>
            <w:tcW w:w="1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76"/>
              <w:spacing w:after="0" w:line="85" w:lineRule="exact"/>
              <w:rPr>
                <w:sz w:val="20"/>
                <w:szCs w:val="20"/>
                <w:color w:val="auto"/>
              </w:rPr>
            </w:pPr>
            <w:r>
              <w:rPr>
                <w:rFonts w:ascii="Times New Roman" w:cs="Times New Roman" w:eastAsia="Times New Roman" w:hAnsi="Times New Roman"/>
                <w:sz w:val="9"/>
                <w:szCs w:val="9"/>
                <w:b w:val="1"/>
                <w:bCs w:val="1"/>
                <w:color w:val="auto"/>
              </w:rPr>
              <w:t>2018</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76"/>
              <w:spacing w:after="0" w:line="85" w:lineRule="exact"/>
              <w:rPr>
                <w:sz w:val="20"/>
                <w:szCs w:val="20"/>
                <w:color w:val="auto"/>
              </w:rPr>
            </w:pPr>
            <w:r>
              <w:rPr>
                <w:rFonts w:ascii="Times New Roman" w:cs="Times New Roman" w:eastAsia="Times New Roman" w:hAnsi="Times New Roman"/>
                <w:sz w:val="9"/>
                <w:szCs w:val="9"/>
                <w:b w:val="1"/>
                <w:bCs w:val="1"/>
                <w:color w:val="auto"/>
              </w:rPr>
              <w:t>2017</w:t>
            </w: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56"/>
              <w:spacing w:after="0" w:line="85" w:lineRule="exact"/>
              <w:rPr>
                <w:sz w:val="20"/>
                <w:szCs w:val="20"/>
                <w:color w:val="auto"/>
              </w:rPr>
            </w:pPr>
            <w:r>
              <w:rPr>
                <w:rFonts w:ascii="Times New Roman" w:cs="Times New Roman" w:eastAsia="Times New Roman" w:hAnsi="Times New Roman"/>
                <w:sz w:val="9"/>
                <w:szCs w:val="9"/>
                <w:b w:val="1"/>
                <w:bCs w:val="1"/>
                <w:color w:val="auto"/>
              </w:rPr>
              <w:t>2016</w:t>
            </w:r>
          </w:p>
        </w:tc>
      </w:tr>
      <w:tr>
        <w:trPr>
          <w:trHeight w:val="75"/>
        </w:trPr>
        <w:tc>
          <w:tcPr>
            <w:tcW w:w="20" w:type="dxa"/>
            <w:vAlign w:val="bottom"/>
          </w:tcPr>
          <w:p>
            <w:pPr>
              <w:spacing w:after="0"/>
              <w:rPr>
                <w:sz w:val="6"/>
                <w:szCs w:val="6"/>
                <w:color w:val="auto"/>
              </w:rPr>
            </w:pPr>
          </w:p>
        </w:tc>
        <w:tc>
          <w:tcPr>
            <w:tcW w:w="3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gridSpan w:val="6"/>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(Amounts in thousands, except unit and</w:t>
            </w:r>
          </w:p>
        </w:tc>
        <w:tc>
          <w:tcPr>
            <w:tcW w:w="780" w:type="dxa"/>
            <w:vAlign w:val="bottom"/>
            <w:gridSpan w:val="2"/>
          </w:tcPr>
          <w:p>
            <w:pPr>
              <w:jc w:val="right"/>
              <w:ind w:right="236"/>
              <w:spacing w:after="0" w:line="75" w:lineRule="exact"/>
              <w:rPr>
                <w:sz w:val="20"/>
                <w:szCs w:val="20"/>
                <w:color w:val="auto"/>
              </w:rPr>
            </w:pPr>
            <w:r>
              <w:rPr>
                <w:rFonts w:ascii="Times New Roman" w:cs="Times New Roman" w:eastAsia="Times New Roman" w:hAnsi="Times New Roman"/>
                <w:sz w:val="8"/>
                <w:szCs w:val="8"/>
                <w:b w:val="1"/>
                <w:bCs w:val="1"/>
                <w:color w:val="auto"/>
              </w:rPr>
              <w:t>per unit data)</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r>
      <w:tr>
        <w:trPr>
          <w:trHeight w:val="95"/>
        </w:trPr>
        <w:tc>
          <w:tcPr>
            <w:tcW w:w="33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Statement of Operations Data:</w:t>
            </w:r>
          </w:p>
        </w:tc>
        <w:tc>
          <w:tcPr>
            <w:tcW w:w="1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r>
      <w:tr>
        <w:trPr>
          <w:trHeight w:val="95"/>
        </w:trPr>
        <w:tc>
          <w:tcPr>
            <w:tcW w:w="33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b w:val="1"/>
                <w:bCs w:val="1"/>
                <w:color w:val="auto"/>
              </w:rPr>
              <w:t>Operating Revenues:</w:t>
            </w: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95"/>
        </w:trPr>
        <w:tc>
          <w:tcPr>
            <w:tcW w:w="33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Rental and other services</w:t>
            </w:r>
          </w:p>
        </w:tc>
        <w:tc>
          <w:tcPr>
            <w:tcW w:w="1440" w:type="dxa"/>
            <w:vAlign w:val="bottom"/>
            <w:gridSpan w:val="2"/>
            <w:shd w:val="clear" w:color="auto" w:fill="CCEEFF"/>
          </w:tcPr>
          <w:p>
            <w:pPr>
              <w:jc w:val="right"/>
              <w:ind w:right="98"/>
              <w:spacing w:after="0" w:line="9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3,886,546</w:t>
            </w:r>
          </w:p>
        </w:tc>
        <w:tc>
          <w:tcPr>
            <w:tcW w:w="280" w:type="dxa"/>
            <w:vAlign w:val="bottom"/>
            <w:gridSpan w:val="2"/>
            <w:shd w:val="clear" w:color="auto" w:fill="CCEEFF"/>
          </w:tcPr>
          <w:p>
            <w:pPr>
              <w:jc w:val="right"/>
              <w:ind w:right="78"/>
              <w:spacing w:after="0" w:line="95"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3,196,356</w:t>
            </w:r>
          </w:p>
        </w:tc>
        <w:tc>
          <w:tcPr>
            <w:tcW w:w="300" w:type="dxa"/>
            <w:vAlign w:val="bottom"/>
            <w:gridSpan w:val="2"/>
            <w:shd w:val="clear" w:color="auto" w:fill="CCEEFF"/>
          </w:tcPr>
          <w:p>
            <w:pPr>
              <w:jc w:val="right"/>
              <w:ind w:right="98"/>
              <w:spacing w:after="0" w:line="95"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2,412,076</w:t>
            </w:r>
          </w:p>
        </w:tc>
        <w:tc>
          <w:tcPr>
            <w:tcW w:w="10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90"/>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2,010,301</w:t>
            </w:r>
          </w:p>
        </w:tc>
        <w:tc>
          <w:tcPr>
            <w:tcW w:w="280" w:type="dxa"/>
            <w:vAlign w:val="bottom"/>
            <w:gridSpan w:val="2"/>
            <w:shd w:val="clear" w:color="auto" w:fill="CCEEFF"/>
          </w:tcPr>
          <w:p>
            <w:pPr>
              <w:jc w:val="right"/>
              <w:ind w:right="98"/>
              <w:spacing w:after="0" w:line="95"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1,746,828</w:t>
            </w:r>
          </w:p>
        </w:tc>
      </w:tr>
      <w:tr>
        <w:trPr>
          <w:trHeight w:val="95"/>
        </w:trPr>
        <w:tc>
          <w:tcPr>
            <w:tcW w:w="33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Tenant reimbursements</w:t>
            </w: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624,637</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440,224</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355,903</w:t>
            </w:r>
          </w:p>
        </w:tc>
      </w:tr>
      <w:tr>
        <w:trPr>
          <w:trHeight w:val="95"/>
        </w:trPr>
        <w:tc>
          <w:tcPr>
            <w:tcW w:w="33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Fee income and other</w:t>
            </w:r>
          </w:p>
        </w:tc>
        <w:tc>
          <w:tcPr>
            <w:tcW w:w="12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17,063</w:t>
            </w:r>
          </w:p>
        </w:tc>
        <w:tc>
          <w:tcPr>
            <w:tcW w:w="14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12,885</w:t>
            </w:r>
          </w:p>
        </w:tc>
        <w:tc>
          <w:tcPr>
            <w:tcW w:w="14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9,765</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7,403</w:t>
            </w:r>
          </w:p>
        </w:tc>
        <w:tc>
          <w:tcPr>
            <w:tcW w:w="12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39,482</w:t>
            </w:r>
          </w:p>
        </w:tc>
      </w:tr>
      <w:tr>
        <w:trPr>
          <w:trHeight w:val="84"/>
        </w:trPr>
        <w:tc>
          <w:tcPr>
            <w:tcW w:w="3300" w:type="dxa"/>
            <w:vAlign w:val="bottom"/>
            <w:gridSpan w:val="2"/>
          </w:tcPr>
          <w:p>
            <w:pPr>
              <w:spacing w:after="0" w:line="85" w:lineRule="exact"/>
              <w:rPr>
                <w:sz w:val="20"/>
                <w:szCs w:val="20"/>
                <w:color w:val="auto"/>
              </w:rPr>
            </w:pPr>
            <w:r>
              <w:rPr>
                <w:rFonts w:ascii="Times New Roman" w:cs="Times New Roman" w:eastAsia="Times New Roman" w:hAnsi="Times New Roman"/>
                <w:sz w:val="9"/>
                <w:szCs w:val="9"/>
                <w:color w:val="auto"/>
              </w:rPr>
              <w:t>Total operating revenues</w:t>
            </w:r>
          </w:p>
        </w:tc>
        <w:tc>
          <w:tcPr>
            <w:tcW w:w="1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3,903,609</w:t>
            </w: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3,209,241</w:t>
            </w: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3,046,478</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2,457,928</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2,142,213</w:t>
            </w:r>
          </w:p>
        </w:tc>
      </w:tr>
      <w:tr>
        <w:trPr>
          <w:trHeight w:val="95"/>
        </w:trPr>
        <w:tc>
          <w:tcPr>
            <w:tcW w:w="33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Operating Expenses:</w:t>
            </w:r>
          </w:p>
        </w:tc>
        <w:tc>
          <w:tcPr>
            <w:tcW w:w="1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r>
      <w:tr>
        <w:trPr>
          <w:trHeight w:val="95"/>
        </w:trPr>
        <w:tc>
          <w:tcPr>
            <w:tcW w:w="33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Rental property operating and maintenance</w:t>
            </w: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1,331,493</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1,020,578</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957,065</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759,616</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660,177</w:t>
            </w:r>
          </w:p>
        </w:tc>
      </w:tr>
      <w:tr>
        <w:trPr>
          <w:trHeight w:val="95"/>
        </w:trPr>
        <w:tc>
          <w:tcPr>
            <w:tcW w:w="33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Property taxes and insurance</w:t>
            </w:r>
          </w:p>
        </w:tc>
        <w:tc>
          <w:tcPr>
            <w:tcW w:w="1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182,623</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172,183</w:t>
            </w: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140,918</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134,995</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111,989</w:t>
            </w:r>
          </w:p>
        </w:tc>
      </w:tr>
      <w:tr>
        <w:trPr>
          <w:trHeight w:val="95"/>
        </w:trPr>
        <w:tc>
          <w:tcPr>
            <w:tcW w:w="33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Depreciation and amortization</w:t>
            </w: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1,366,379</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1,163,774</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1,186,896</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842,464</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699,324</w:t>
            </w:r>
          </w:p>
        </w:tc>
      </w:tr>
      <w:tr>
        <w:trPr>
          <w:trHeight w:val="95"/>
        </w:trPr>
        <w:tc>
          <w:tcPr>
            <w:tcW w:w="33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General and administrative</w:t>
            </w:r>
          </w:p>
        </w:tc>
        <w:tc>
          <w:tcPr>
            <w:tcW w:w="1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351,369</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211,097</w:t>
            </w: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163,667</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161,441</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152,733</w:t>
            </w:r>
          </w:p>
        </w:tc>
      </w:tr>
      <w:tr>
        <w:trPr>
          <w:trHeight w:val="95"/>
        </w:trPr>
        <w:tc>
          <w:tcPr>
            <w:tcW w:w="33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Transaction and integration expenses</w:t>
            </w: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106,662</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27,925</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45,327</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76,048</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20,491</w:t>
            </w:r>
          </w:p>
        </w:tc>
      </w:tr>
      <w:tr>
        <w:trPr>
          <w:trHeight w:val="95"/>
        </w:trPr>
        <w:tc>
          <w:tcPr>
            <w:tcW w:w="33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Impairment on investments in real estate</w:t>
            </w:r>
          </w:p>
        </w:tc>
        <w:tc>
          <w:tcPr>
            <w:tcW w:w="1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6,482</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5,351</w:t>
            </w: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28,992</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r>
      <w:tr>
        <w:trPr>
          <w:trHeight w:val="95"/>
        </w:trPr>
        <w:tc>
          <w:tcPr>
            <w:tcW w:w="33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Other</w:t>
            </w: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1,075</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14,118</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2,818</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3,077</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213</w:t>
            </w:r>
          </w:p>
        </w:tc>
      </w:tr>
      <w:tr>
        <w:trPr>
          <w:trHeight w:val="84"/>
        </w:trPr>
        <w:tc>
          <w:tcPr>
            <w:tcW w:w="20" w:type="dxa"/>
            <w:vAlign w:val="bottom"/>
          </w:tcPr>
          <w:p>
            <w:pPr>
              <w:spacing w:after="0"/>
              <w:rPr>
                <w:sz w:val="7"/>
                <w:szCs w:val="7"/>
                <w:color w:val="auto"/>
              </w:rPr>
            </w:pPr>
          </w:p>
        </w:tc>
        <w:tc>
          <w:tcPr>
            <w:tcW w:w="3280" w:type="dxa"/>
            <w:vAlign w:val="bottom"/>
            <w:tcBorders>
              <w:top w:val="single" w:sz="8" w:color="CCEEFF"/>
            </w:tcBorders>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Total operating expenses</w:t>
            </w:r>
          </w:p>
        </w:tc>
        <w:tc>
          <w:tcPr>
            <w:tcW w:w="12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bottom w:val="single" w:sz="8" w:color="auto"/>
            </w:tcBorders>
            <w:shd w:val="clear" w:color="auto" w:fill="CCEEFF"/>
          </w:tcPr>
          <w:p>
            <w:pPr>
              <w:spacing w:after="0"/>
              <w:rPr>
                <w:sz w:val="7"/>
                <w:szCs w:val="7"/>
                <w:color w:val="auto"/>
              </w:rPr>
            </w:pPr>
          </w:p>
        </w:tc>
        <w:tc>
          <w:tcPr>
            <w:tcW w:w="60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3,346,083</w:t>
            </w:r>
          </w:p>
        </w:tc>
        <w:tc>
          <w:tcPr>
            <w:tcW w:w="1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2,615,026</w:t>
            </w:r>
          </w:p>
        </w:tc>
        <w:tc>
          <w:tcPr>
            <w:tcW w:w="1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bottom w:val="single" w:sz="8" w:color="auto"/>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2,496,691</w:t>
            </w: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bottom w:val="single" w:sz="8" w:color="auto"/>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2,006,633</w:t>
            </w:r>
          </w:p>
        </w:tc>
        <w:tc>
          <w:tcPr>
            <w:tcW w:w="1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bottom w:val="single" w:sz="8" w:color="auto"/>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1,644,927</w:t>
            </w:r>
          </w:p>
        </w:tc>
      </w:tr>
      <w:tr>
        <w:trPr>
          <w:trHeight w:val="84"/>
        </w:trPr>
        <w:tc>
          <w:tcPr>
            <w:tcW w:w="20" w:type="dxa"/>
            <w:vAlign w:val="bottom"/>
          </w:tcPr>
          <w:p>
            <w:pPr>
              <w:spacing w:after="0"/>
              <w:rPr>
                <w:sz w:val="7"/>
                <w:szCs w:val="7"/>
                <w:color w:val="auto"/>
              </w:rPr>
            </w:pPr>
          </w:p>
        </w:tc>
        <w:tc>
          <w:tcPr>
            <w:tcW w:w="328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Operating income</w:t>
            </w:r>
          </w:p>
        </w:tc>
        <w:tc>
          <w:tcPr>
            <w:tcW w:w="1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557,526</w:t>
            </w: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594,215</w:t>
            </w: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549,787</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451,295</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497,286</w:t>
            </w:r>
          </w:p>
        </w:tc>
      </w:tr>
      <w:tr>
        <w:trPr>
          <w:trHeight w:val="95"/>
        </w:trPr>
        <w:tc>
          <w:tcPr>
            <w:tcW w:w="33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Other Income (Expenses):</w:t>
            </w:r>
          </w:p>
        </w:tc>
        <w:tc>
          <w:tcPr>
            <w:tcW w:w="1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r>
      <w:tr>
        <w:trPr>
          <w:trHeight w:val="95"/>
        </w:trPr>
        <w:tc>
          <w:tcPr>
            <w:tcW w:w="33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Equity in (loss) earnings of unconsolidated joint ventures</w:t>
            </w: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(57,629)</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8,067</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32,979</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25,516</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17,104</w:t>
            </w:r>
          </w:p>
        </w:tc>
      </w:tr>
      <w:tr>
        <w:trPr>
          <w:trHeight w:val="95"/>
        </w:trPr>
        <w:tc>
          <w:tcPr>
            <w:tcW w:w="33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Gain on disposition of properties, net</w:t>
            </w:r>
          </w:p>
        </w:tc>
        <w:tc>
          <w:tcPr>
            <w:tcW w:w="1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316,894</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267,651</w:t>
            </w: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80,049</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40,354</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169,902</w:t>
            </w:r>
          </w:p>
        </w:tc>
      </w:tr>
      <w:tr>
        <w:trPr>
          <w:trHeight w:val="95"/>
        </w:trPr>
        <w:tc>
          <w:tcPr>
            <w:tcW w:w="33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Gain on deconsolidation, net</w:t>
            </w: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67,497</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r>
      <w:tr>
        <w:trPr>
          <w:trHeight w:val="95"/>
        </w:trPr>
        <w:tc>
          <w:tcPr>
            <w:tcW w:w="33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Interest and other income (expense)</w:t>
            </w:r>
          </w:p>
        </w:tc>
        <w:tc>
          <w:tcPr>
            <w:tcW w:w="1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20,222</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66,000</w:t>
            </w: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3,481</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3,655</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(4,564)</w:t>
            </w:r>
          </w:p>
        </w:tc>
      </w:tr>
      <w:tr>
        <w:trPr>
          <w:trHeight w:val="95"/>
        </w:trPr>
        <w:tc>
          <w:tcPr>
            <w:tcW w:w="33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Interest expense</w:t>
            </w: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(333,021)</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(353,057)</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(321,529)</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(258,642)</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(236,480)</w:t>
            </w:r>
          </w:p>
        </w:tc>
      </w:tr>
      <w:tr>
        <w:trPr>
          <w:trHeight w:val="95"/>
        </w:trPr>
        <w:tc>
          <w:tcPr>
            <w:tcW w:w="33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(Loss) gain from early extinguishment of debt</w:t>
            </w:r>
          </w:p>
        </w:tc>
        <w:tc>
          <w:tcPr>
            <w:tcW w:w="1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(103,215)</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(39,157)</w:t>
            </w: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(1,568)</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1,990</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(1,011)</w:t>
            </w:r>
          </w:p>
        </w:tc>
      </w:tr>
      <w:tr>
        <w:trPr>
          <w:trHeight w:val="95"/>
        </w:trPr>
        <w:tc>
          <w:tcPr>
            <w:tcW w:w="33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Tax expense</w:t>
            </w: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(38,047)</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(11,995)</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(2,084)</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(7,901)</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(10,385)</w:t>
            </w:r>
          </w:p>
        </w:tc>
      </w:tr>
      <w:tr>
        <w:trPr>
          <w:trHeight w:val="84"/>
        </w:trPr>
        <w:tc>
          <w:tcPr>
            <w:tcW w:w="20" w:type="dxa"/>
            <w:vAlign w:val="bottom"/>
          </w:tcPr>
          <w:p>
            <w:pPr>
              <w:spacing w:after="0"/>
              <w:rPr>
                <w:sz w:val="7"/>
                <w:szCs w:val="7"/>
                <w:color w:val="auto"/>
              </w:rPr>
            </w:pPr>
          </w:p>
        </w:tc>
        <w:tc>
          <w:tcPr>
            <w:tcW w:w="3280" w:type="dxa"/>
            <w:vAlign w:val="bottom"/>
            <w:tcBorders>
              <w:top w:val="single" w:sz="8" w:color="CCEEFF"/>
            </w:tcBorders>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Net income</w:t>
            </w:r>
          </w:p>
        </w:tc>
        <w:tc>
          <w:tcPr>
            <w:tcW w:w="12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362,730</w:t>
            </w:r>
          </w:p>
        </w:tc>
        <w:tc>
          <w:tcPr>
            <w:tcW w:w="1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599,221</w:t>
            </w:r>
          </w:p>
        </w:tc>
        <w:tc>
          <w:tcPr>
            <w:tcW w:w="1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341,115</w:t>
            </w: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256,267</w:t>
            </w:r>
          </w:p>
        </w:tc>
        <w:tc>
          <w:tcPr>
            <w:tcW w:w="1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431,852</w:t>
            </w:r>
          </w:p>
        </w:tc>
      </w:tr>
      <w:tr>
        <w:trPr>
          <w:trHeight w:val="95"/>
        </w:trPr>
        <w:tc>
          <w:tcPr>
            <w:tcW w:w="20" w:type="dxa"/>
            <w:vAlign w:val="bottom"/>
          </w:tcPr>
          <w:p>
            <w:pPr>
              <w:spacing w:after="0"/>
              <w:rPr>
                <w:sz w:val="8"/>
                <w:szCs w:val="8"/>
                <w:color w:val="auto"/>
              </w:rPr>
            </w:pPr>
          </w:p>
        </w:tc>
        <w:tc>
          <w:tcPr>
            <w:tcW w:w="3280" w:type="dxa"/>
            <w:vAlign w:val="bottom"/>
            <w:tcBorders>
              <w:bottom w:val="single" w:sz="8" w:color="CCEEFF"/>
            </w:tcBorders>
          </w:tcPr>
          <w:p>
            <w:pPr>
              <w:spacing w:after="0" w:line="95" w:lineRule="exact"/>
              <w:rPr>
                <w:sz w:val="20"/>
                <w:szCs w:val="20"/>
                <w:color w:val="auto"/>
              </w:rPr>
            </w:pPr>
            <w:r>
              <w:rPr>
                <w:rFonts w:ascii="Times New Roman" w:cs="Times New Roman" w:eastAsia="Times New Roman" w:hAnsi="Times New Roman"/>
                <w:sz w:val="9"/>
                <w:szCs w:val="9"/>
                <w:color w:val="auto"/>
              </w:rPr>
              <w:t>Net loss (income) attributable to noncontrolling interests</w:t>
            </w:r>
          </w:p>
        </w:tc>
        <w:tc>
          <w:tcPr>
            <w:tcW w:w="128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3,168</w:t>
            </w:r>
          </w:p>
        </w:tc>
        <w:tc>
          <w:tcPr>
            <w:tcW w:w="14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1,640</w:t>
            </w:r>
          </w:p>
        </w:tc>
        <w:tc>
          <w:tcPr>
            <w:tcW w:w="1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311</w:t>
            </w:r>
          </w:p>
        </w:tc>
        <w:tc>
          <w:tcPr>
            <w:tcW w:w="1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(4,238)</w:t>
            </w: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(367)</w:t>
            </w:r>
          </w:p>
        </w:tc>
      </w:tr>
      <w:tr>
        <w:trPr>
          <w:trHeight w:val="84"/>
        </w:trPr>
        <w:tc>
          <w:tcPr>
            <w:tcW w:w="20" w:type="dxa"/>
            <w:vAlign w:val="bottom"/>
          </w:tcPr>
          <w:p>
            <w:pPr>
              <w:spacing w:after="0"/>
              <w:rPr>
                <w:sz w:val="7"/>
                <w:szCs w:val="7"/>
                <w:color w:val="auto"/>
              </w:rPr>
            </w:pPr>
          </w:p>
        </w:tc>
        <w:tc>
          <w:tcPr>
            <w:tcW w:w="328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Net income attributable to Digital Realty Trust, L.P.</w:t>
            </w:r>
          </w:p>
        </w:tc>
        <w:tc>
          <w:tcPr>
            <w:tcW w:w="1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365,898</w:t>
            </w: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600,861</w:t>
            </w: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341,426</w:t>
            </w: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252,029</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431,485</w:t>
            </w:r>
          </w:p>
        </w:tc>
      </w:tr>
      <w:tr>
        <w:trPr>
          <w:trHeight w:val="95"/>
        </w:trPr>
        <w:tc>
          <w:tcPr>
            <w:tcW w:w="20" w:type="dxa"/>
            <w:vAlign w:val="bottom"/>
          </w:tcPr>
          <w:p>
            <w:pPr>
              <w:spacing w:after="0"/>
              <w:rPr>
                <w:sz w:val="8"/>
                <w:szCs w:val="8"/>
                <w:color w:val="auto"/>
              </w:rPr>
            </w:pPr>
          </w:p>
        </w:tc>
        <w:tc>
          <w:tcPr>
            <w:tcW w:w="32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Preferred units distributions</w:t>
            </w: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(76,536)</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(74,990)</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(81,316)</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(68,802)</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(83,771)</w:t>
            </w:r>
          </w:p>
        </w:tc>
      </w:tr>
      <w:tr>
        <w:trPr>
          <w:trHeight w:val="95"/>
        </w:trPr>
        <w:tc>
          <w:tcPr>
            <w:tcW w:w="33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Issuance costs associated with redeemed preferred units</w:t>
            </w:r>
          </w:p>
        </w:tc>
        <w:tc>
          <w:tcPr>
            <w:tcW w:w="1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(16,520)</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(11,760)</w:t>
            </w: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(6,309)</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(10,328)</w:t>
            </w:r>
          </w:p>
        </w:tc>
      </w:tr>
      <w:tr>
        <w:trPr>
          <w:trHeight w:val="93"/>
        </w:trPr>
        <w:tc>
          <w:tcPr>
            <w:tcW w:w="3300" w:type="dxa"/>
            <w:vAlign w:val="bottom"/>
            <w:gridSpan w:val="2"/>
          </w:tcPr>
          <w:p>
            <w:pPr>
              <w:spacing w:after="0" w:line="85" w:lineRule="exact"/>
              <w:rPr>
                <w:sz w:val="20"/>
                <w:szCs w:val="20"/>
                <w:color w:val="auto"/>
              </w:rPr>
            </w:pPr>
            <w:r>
              <w:rPr>
                <w:rFonts w:ascii="Times New Roman" w:cs="Times New Roman" w:eastAsia="Times New Roman" w:hAnsi="Times New Roman"/>
                <w:sz w:val="9"/>
                <w:szCs w:val="9"/>
                <w:color w:val="auto"/>
              </w:rPr>
              <w:t>Net income available to common unitholders</w:t>
            </w:r>
          </w:p>
        </w:tc>
        <w:tc>
          <w:tcPr>
            <w:tcW w:w="1280" w:type="dxa"/>
            <w:vAlign w:val="bottom"/>
          </w:tcPr>
          <w:p>
            <w:pPr>
              <w:spacing w:after="0"/>
              <w:rPr>
                <w:sz w:val="8"/>
                <w:szCs w:val="8"/>
                <w:color w:val="auto"/>
              </w:rPr>
            </w:pPr>
          </w:p>
        </w:tc>
        <w:tc>
          <w:tcPr>
            <w:tcW w:w="1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4"/>
                <w:szCs w:val="4"/>
                <w:color w:val="auto"/>
                <w:w w:val="97"/>
              </w:rPr>
              <w:t>$</w:t>
            </w:r>
          </w:p>
        </w:tc>
        <w:tc>
          <w:tcPr>
            <w:tcW w:w="60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272,842</w:t>
            </w:r>
          </w:p>
        </w:tc>
        <w:tc>
          <w:tcPr>
            <w:tcW w:w="140" w:type="dxa"/>
            <w:vAlign w:val="bottom"/>
          </w:tcPr>
          <w:p>
            <w:pPr>
              <w:spacing w:after="0"/>
              <w:rPr>
                <w:sz w:val="8"/>
                <w:szCs w:val="8"/>
                <w:color w:val="auto"/>
              </w:rPr>
            </w:pPr>
          </w:p>
        </w:tc>
        <w:tc>
          <w:tcPr>
            <w:tcW w:w="1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2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514,111</w:t>
            </w:r>
          </w:p>
        </w:tc>
        <w:tc>
          <w:tcPr>
            <w:tcW w:w="140" w:type="dxa"/>
            <w:vAlign w:val="bottom"/>
          </w:tcPr>
          <w:p>
            <w:pPr>
              <w:spacing w:after="0"/>
              <w:rPr>
                <w:sz w:val="8"/>
                <w:szCs w:val="8"/>
                <w:color w:val="auto"/>
              </w:rPr>
            </w:pPr>
          </w:p>
        </w:tc>
        <w:tc>
          <w:tcPr>
            <w:tcW w:w="1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4"/>
                <w:szCs w:val="4"/>
                <w:color w:val="auto"/>
                <w:w w:val="97"/>
              </w:rPr>
              <w:t>$</w:t>
            </w:r>
          </w:p>
        </w:tc>
        <w:tc>
          <w:tcPr>
            <w:tcW w:w="62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260,110</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4"/>
                <w:szCs w:val="4"/>
                <w:color w:val="auto"/>
                <w:w w:val="97"/>
              </w:rPr>
              <w:t>$</w:t>
            </w:r>
          </w:p>
        </w:tc>
        <w:tc>
          <w:tcPr>
            <w:tcW w:w="62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176,918</w:t>
            </w:r>
          </w:p>
        </w:tc>
        <w:tc>
          <w:tcPr>
            <w:tcW w:w="120" w:type="dxa"/>
            <w:vAlign w:val="bottom"/>
          </w:tcPr>
          <w:p>
            <w:pPr>
              <w:spacing w:after="0"/>
              <w:rPr>
                <w:sz w:val="8"/>
                <w:szCs w:val="8"/>
                <w:color w:val="auto"/>
              </w:rPr>
            </w:pPr>
          </w:p>
        </w:tc>
        <w:tc>
          <w:tcPr>
            <w:tcW w:w="1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4"/>
                <w:szCs w:val="4"/>
                <w:color w:val="auto"/>
                <w:w w:val="97"/>
              </w:rPr>
              <w:t>$</w:t>
            </w:r>
          </w:p>
        </w:tc>
        <w:tc>
          <w:tcPr>
            <w:tcW w:w="62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337,386</w:t>
            </w:r>
          </w:p>
        </w:tc>
      </w:tr>
      <w:tr>
        <w:trPr>
          <w:trHeight w:val="95"/>
        </w:trPr>
        <w:tc>
          <w:tcPr>
            <w:tcW w:w="20" w:type="dxa"/>
            <w:vAlign w:val="bottom"/>
          </w:tcPr>
          <w:p>
            <w:pPr>
              <w:spacing w:after="0"/>
              <w:rPr>
                <w:sz w:val="8"/>
                <w:szCs w:val="8"/>
                <w:color w:val="auto"/>
              </w:rPr>
            </w:pPr>
          </w:p>
        </w:tc>
        <w:tc>
          <w:tcPr>
            <w:tcW w:w="328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Per Unit Data:</w:t>
            </w:r>
          </w:p>
        </w:tc>
        <w:tc>
          <w:tcPr>
            <w:tcW w:w="1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32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Basic income per unit available to common unitholders</w:t>
            </w:r>
          </w:p>
        </w:tc>
        <w:tc>
          <w:tcPr>
            <w:tcW w:w="1440" w:type="dxa"/>
            <w:vAlign w:val="bottom"/>
            <w:gridSpan w:val="2"/>
          </w:tcPr>
          <w:p>
            <w:pPr>
              <w:jc w:val="right"/>
              <w:ind w:right="98"/>
              <w:spacing w:after="0" w:line="9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1.02</w:t>
            </w:r>
          </w:p>
        </w:tc>
        <w:tc>
          <w:tcPr>
            <w:tcW w:w="280" w:type="dxa"/>
            <w:vAlign w:val="bottom"/>
            <w:gridSpan w:val="2"/>
          </w:tcPr>
          <w:p>
            <w:pPr>
              <w:jc w:val="right"/>
              <w:ind w:right="78"/>
              <w:spacing w:after="0" w:line="95"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2.37</w:t>
            </w:r>
          </w:p>
        </w:tc>
        <w:tc>
          <w:tcPr>
            <w:tcW w:w="300" w:type="dxa"/>
            <w:vAlign w:val="bottom"/>
            <w:gridSpan w:val="2"/>
          </w:tcPr>
          <w:p>
            <w:pPr>
              <w:jc w:val="right"/>
              <w:ind w:right="98"/>
              <w:spacing w:after="0" w:line="95"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1.21</w:t>
            </w:r>
          </w:p>
        </w:tc>
        <w:tc>
          <w:tcPr>
            <w:tcW w:w="100" w:type="dxa"/>
            <w:vAlign w:val="bottom"/>
          </w:tcPr>
          <w:p>
            <w:pPr>
              <w:spacing w:after="0"/>
              <w:rPr>
                <w:sz w:val="8"/>
                <w:szCs w:val="8"/>
                <w:color w:val="auto"/>
              </w:rPr>
            </w:pPr>
          </w:p>
        </w:tc>
        <w:tc>
          <w:tcPr>
            <w:tcW w:w="180" w:type="dxa"/>
            <w:vAlign w:val="bottom"/>
            <w:gridSpan w:val="2"/>
          </w:tcPr>
          <w:p>
            <w:pPr>
              <w:jc w:val="right"/>
              <w:ind w:right="90"/>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0.99</w:t>
            </w:r>
          </w:p>
        </w:tc>
        <w:tc>
          <w:tcPr>
            <w:tcW w:w="280" w:type="dxa"/>
            <w:vAlign w:val="bottom"/>
            <w:gridSpan w:val="2"/>
          </w:tcPr>
          <w:p>
            <w:pPr>
              <w:jc w:val="right"/>
              <w:ind w:right="98"/>
              <w:spacing w:after="0" w:line="95"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2.21</w:t>
            </w:r>
          </w:p>
        </w:tc>
      </w:tr>
      <w:tr>
        <w:trPr>
          <w:trHeight w:val="95"/>
        </w:trPr>
        <w:tc>
          <w:tcPr>
            <w:tcW w:w="33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Diluted income per unit available to common unitholders</w:t>
            </w:r>
          </w:p>
        </w:tc>
        <w:tc>
          <w:tcPr>
            <w:tcW w:w="1440" w:type="dxa"/>
            <w:vAlign w:val="bottom"/>
            <w:gridSpan w:val="2"/>
            <w:shd w:val="clear" w:color="auto" w:fill="CCEEFF"/>
          </w:tcPr>
          <w:p>
            <w:pPr>
              <w:jc w:val="right"/>
              <w:ind w:right="98"/>
              <w:spacing w:after="0" w:line="9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1.01</w:t>
            </w:r>
          </w:p>
        </w:tc>
        <w:tc>
          <w:tcPr>
            <w:tcW w:w="280" w:type="dxa"/>
            <w:vAlign w:val="bottom"/>
            <w:gridSpan w:val="2"/>
            <w:shd w:val="clear" w:color="auto" w:fill="CCEEFF"/>
          </w:tcPr>
          <w:p>
            <w:pPr>
              <w:jc w:val="right"/>
              <w:ind w:right="78"/>
              <w:spacing w:after="0" w:line="95"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2.35</w:t>
            </w:r>
          </w:p>
        </w:tc>
        <w:tc>
          <w:tcPr>
            <w:tcW w:w="300" w:type="dxa"/>
            <w:vAlign w:val="bottom"/>
            <w:gridSpan w:val="2"/>
            <w:shd w:val="clear" w:color="auto" w:fill="CCEEFF"/>
          </w:tcPr>
          <w:p>
            <w:pPr>
              <w:jc w:val="right"/>
              <w:ind w:right="98"/>
              <w:spacing w:after="0" w:line="95"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1.21</w:t>
            </w:r>
          </w:p>
        </w:tc>
        <w:tc>
          <w:tcPr>
            <w:tcW w:w="10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90"/>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0.99</w:t>
            </w:r>
          </w:p>
        </w:tc>
        <w:tc>
          <w:tcPr>
            <w:tcW w:w="280" w:type="dxa"/>
            <w:vAlign w:val="bottom"/>
            <w:gridSpan w:val="2"/>
            <w:shd w:val="clear" w:color="auto" w:fill="CCEEFF"/>
          </w:tcPr>
          <w:p>
            <w:pPr>
              <w:jc w:val="right"/>
              <w:ind w:right="98"/>
              <w:spacing w:after="0" w:line="95"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2.20</w:t>
            </w:r>
          </w:p>
        </w:tc>
      </w:tr>
      <w:tr>
        <w:trPr>
          <w:trHeight w:val="95"/>
        </w:trPr>
        <w:tc>
          <w:tcPr>
            <w:tcW w:w="33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Cash distributions per common unit</w:t>
            </w:r>
          </w:p>
        </w:tc>
        <w:tc>
          <w:tcPr>
            <w:tcW w:w="1440" w:type="dxa"/>
            <w:vAlign w:val="bottom"/>
            <w:gridSpan w:val="2"/>
          </w:tcPr>
          <w:p>
            <w:pPr>
              <w:jc w:val="right"/>
              <w:ind w:right="98"/>
              <w:spacing w:after="0" w:line="9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4.48</w:t>
            </w:r>
          </w:p>
        </w:tc>
        <w:tc>
          <w:tcPr>
            <w:tcW w:w="280" w:type="dxa"/>
            <w:vAlign w:val="bottom"/>
            <w:gridSpan w:val="2"/>
          </w:tcPr>
          <w:p>
            <w:pPr>
              <w:jc w:val="right"/>
              <w:ind w:right="78"/>
              <w:spacing w:after="0" w:line="95"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4.32</w:t>
            </w:r>
          </w:p>
        </w:tc>
        <w:tc>
          <w:tcPr>
            <w:tcW w:w="300" w:type="dxa"/>
            <w:vAlign w:val="bottom"/>
            <w:gridSpan w:val="2"/>
          </w:tcPr>
          <w:p>
            <w:pPr>
              <w:jc w:val="right"/>
              <w:ind w:right="98"/>
              <w:spacing w:after="0" w:line="95"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4.04</w:t>
            </w:r>
          </w:p>
        </w:tc>
        <w:tc>
          <w:tcPr>
            <w:tcW w:w="100" w:type="dxa"/>
            <w:vAlign w:val="bottom"/>
          </w:tcPr>
          <w:p>
            <w:pPr>
              <w:spacing w:after="0"/>
              <w:rPr>
                <w:sz w:val="8"/>
                <w:szCs w:val="8"/>
                <w:color w:val="auto"/>
              </w:rPr>
            </w:pPr>
          </w:p>
        </w:tc>
        <w:tc>
          <w:tcPr>
            <w:tcW w:w="180" w:type="dxa"/>
            <w:vAlign w:val="bottom"/>
            <w:gridSpan w:val="2"/>
          </w:tcPr>
          <w:p>
            <w:pPr>
              <w:jc w:val="right"/>
              <w:ind w:right="90"/>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3.72</w:t>
            </w:r>
          </w:p>
        </w:tc>
        <w:tc>
          <w:tcPr>
            <w:tcW w:w="280" w:type="dxa"/>
            <w:vAlign w:val="bottom"/>
            <w:gridSpan w:val="2"/>
          </w:tcPr>
          <w:p>
            <w:pPr>
              <w:jc w:val="right"/>
              <w:ind w:right="98"/>
              <w:spacing w:after="0" w:line="95"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3.52</w:t>
            </w:r>
          </w:p>
        </w:tc>
      </w:tr>
      <w:tr>
        <w:trPr>
          <w:trHeight w:val="95"/>
        </w:trPr>
        <w:tc>
          <w:tcPr>
            <w:tcW w:w="33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Weighted average common units outstanding:</w:t>
            </w:r>
          </w:p>
        </w:tc>
        <w:tc>
          <w:tcPr>
            <w:tcW w:w="1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r>
      <w:tr>
        <w:trPr>
          <w:trHeight w:val="95"/>
        </w:trPr>
        <w:tc>
          <w:tcPr>
            <w:tcW w:w="33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Basic</w:t>
            </w: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268,072,983</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217,284,755</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214,312,871</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178,055,936</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152,359,680</w:t>
            </w:r>
          </w:p>
        </w:tc>
      </w:tr>
      <w:tr>
        <w:trPr>
          <w:trHeight w:val="95"/>
        </w:trPr>
        <w:tc>
          <w:tcPr>
            <w:tcW w:w="33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Diluted</w:t>
            </w:r>
          </w:p>
        </w:tc>
        <w:tc>
          <w:tcPr>
            <w:tcW w:w="1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270,496,513</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218,421,179</w:t>
            </w: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214,950,934</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178,891,648</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153,085,706</w:t>
            </w:r>
          </w:p>
        </w:tc>
      </w:tr>
    </w:tbl>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5" w:name="page66"/>
    <w:bookmarkEnd w:id="6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r>
        <w:trPr>
          <w:trHeight w:val="94"/>
        </w:trPr>
        <w:tc>
          <w:tcPr>
            <w:tcW w:w="20" w:type="dxa"/>
            <w:vAlign w:val="bottom"/>
          </w:tcPr>
          <w:p>
            <w:pPr>
              <w:spacing w:after="0"/>
              <w:rPr>
                <w:sz w:val="8"/>
                <w:szCs w:val="8"/>
                <w:color w:val="auto"/>
              </w:rPr>
            </w:pPr>
          </w:p>
        </w:tc>
        <w:tc>
          <w:tcPr>
            <w:tcW w:w="3000" w:type="dxa"/>
            <w:vAlign w:val="bottom"/>
            <w:tcBorders>
              <w:bottom w:val="single" w:sz="8" w:color="CCEEFF"/>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38"/>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58"/>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59"/>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c>
          <w:tcPr>
            <w:tcW w:w="4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38"/>
              <w:spacing w:after="0" w:line="94" w:lineRule="exact"/>
              <w:rPr>
                <w:sz w:val="20"/>
                <w:szCs w:val="20"/>
                <w:color w:val="auto"/>
              </w:rPr>
            </w:pPr>
            <w:r>
              <w:rPr>
                <w:rFonts w:ascii="Times New Roman" w:cs="Times New Roman" w:eastAsia="Times New Roman" w:hAnsi="Times New Roman"/>
                <w:sz w:val="10"/>
                <w:szCs w:val="10"/>
                <w:b w:val="1"/>
                <w:bCs w:val="1"/>
                <w:color w:val="auto"/>
              </w:rPr>
              <w:t>2017</w:t>
            </w:r>
          </w:p>
        </w:tc>
        <w:tc>
          <w:tcPr>
            <w:tcW w:w="2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58"/>
              <w:spacing w:after="0" w:line="94" w:lineRule="exact"/>
              <w:rPr>
                <w:sz w:val="20"/>
                <w:szCs w:val="20"/>
                <w:color w:val="auto"/>
              </w:rPr>
            </w:pPr>
            <w:r>
              <w:rPr>
                <w:rFonts w:ascii="Times New Roman" w:cs="Times New Roman" w:eastAsia="Times New Roman" w:hAnsi="Times New Roman"/>
                <w:sz w:val="10"/>
                <w:szCs w:val="10"/>
                <w:b w:val="1"/>
                <w:bCs w:val="1"/>
                <w:color w:val="auto"/>
              </w:rPr>
              <w:t>2016</w:t>
            </w:r>
          </w:p>
        </w:tc>
      </w:tr>
      <w:tr>
        <w:trPr>
          <w:trHeight w:val="141"/>
        </w:trPr>
        <w:tc>
          <w:tcPr>
            <w:tcW w:w="20" w:type="dxa"/>
            <w:vAlign w:val="bottom"/>
          </w:tcPr>
          <w:p>
            <w:pPr>
              <w:spacing w:after="0"/>
              <w:rPr>
                <w:sz w:val="12"/>
                <w:szCs w:val="12"/>
                <w:color w:val="auto"/>
              </w:rPr>
            </w:pPr>
          </w:p>
        </w:tc>
        <w:tc>
          <w:tcPr>
            <w:tcW w:w="30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Balance Sheet Data:</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Net investments in real estate</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21,731,112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15,517,684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15,079,726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13,841,186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8,996,362</w:t>
            </w:r>
          </w:p>
        </w:tc>
      </w:tr>
      <w:tr>
        <w:trPr>
          <w:trHeight w:val="152"/>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36,076,291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23,068,131</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23,766,695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21,404,345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12,192,585</w:t>
            </w:r>
          </w:p>
        </w:tc>
      </w:tr>
      <w:tr>
        <w:trPr>
          <w:trHeight w:val="152"/>
        </w:trPr>
        <w:tc>
          <w:tcPr>
            <w:tcW w:w="2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Global revolving credit facilities, net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531,905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234,105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1,647,735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550,946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199,209</w:t>
            </w:r>
          </w:p>
        </w:tc>
      </w:tr>
      <w:tr>
        <w:trPr>
          <w:trHeight w:val="152"/>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Unsecured term loans, net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536,580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810,219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1,178,904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1,420,333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1,482,361</w:t>
            </w:r>
          </w:p>
        </w:tc>
      </w:tr>
      <w:tr>
        <w:trPr>
          <w:trHeight w:val="152"/>
        </w:trPr>
        <w:tc>
          <w:tcPr>
            <w:tcW w:w="2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Unsecured senior notes, net of discount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11,997,010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8,973,190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7,589,126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6,570,757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4,153,797</w:t>
            </w:r>
          </w:p>
        </w:tc>
      </w:tr>
      <w:tr>
        <w:trPr>
          <w:trHeight w:val="152"/>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 including premiums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239,222</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104,934</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685,714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106,582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3,240</w:t>
            </w:r>
          </w:p>
        </w:tc>
      </w:tr>
      <w:tr>
        <w:trPr>
          <w:trHeight w:val="152"/>
        </w:trPr>
        <w:tc>
          <w:tcPr>
            <w:tcW w:w="2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17,587,944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12,418,566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12,892,653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10,300,993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7,060,288</w:t>
            </w:r>
          </w:p>
        </w:tc>
      </w:tr>
      <w:tr>
        <w:trPr>
          <w:trHeight w:val="152"/>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Redeemable noncontrolling interests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42,011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41,465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53,902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General partner’s capital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17,582,687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9,967,234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9,974,291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10,457,513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5,231,620</w:t>
            </w:r>
          </w:p>
        </w:tc>
      </w:tr>
      <w:tr>
        <w:trPr>
          <w:trHeight w:val="152"/>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Limited partners’ capital</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609,190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711,650</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911,256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702,579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34,698</w:t>
            </w:r>
          </w:p>
        </w:tc>
      </w:tr>
      <w:tr>
        <w:trPr>
          <w:trHeight w:val="152"/>
        </w:trPr>
        <w:tc>
          <w:tcPr>
            <w:tcW w:w="2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134,800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(91,409)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(120,393)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(112,885)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(140,619)</w:t>
            </w:r>
          </w:p>
        </w:tc>
      </w:tr>
      <w:tr>
        <w:trPr>
          <w:trHeight w:val="152"/>
        </w:trPr>
        <w:tc>
          <w:tcPr>
            <w:tcW w:w="2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 in consolidated joint ventures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119,659</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20,625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93,056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6,598</w:t>
            </w:r>
          </w:p>
        </w:tc>
      </w:tr>
      <w:tr>
        <w:trPr>
          <w:trHeight w:val="165"/>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Total liabilities and capital</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36,076,291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23,068,131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23,766,695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21,404,345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12,192,585</w:t>
            </w:r>
          </w:p>
        </w:tc>
      </w:tr>
      <w:tr>
        <w:trPr>
          <w:trHeight w:val="253"/>
        </w:trPr>
        <w:tc>
          <w:tcPr>
            <w:tcW w:w="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r>
      <w:tr>
        <w:trPr>
          <w:trHeight w:val="94"/>
        </w:trPr>
        <w:tc>
          <w:tcPr>
            <w:tcW w:w="20" w:type="dxa"/>
            <w:vAlign w:val="bottom"/>
            <w:tcBorders>
              <w:bottom w:val="single" w:sz="8" w:color="CCEEFF"/>
            </w:tcBorders>
          </w:tcPr>
          <w:p>
            <w:pPr>
              <w:spacing w:after="0"/>
              <w:rPr>
                <w:sz w:val="8"/>
                <w:szCs w:val="8"/>
                <w:color w:val="auto"/>
              </w:rPr>
            </w:pPr>
          </w:p>
        </w:tc>
        <w:tc>
          <w:tcPr>
            <w:tcW w:w="3000" w:type="dxa"/>
            <w:vAlign w:val="bottom"/>
            <w:tcBorders>
              <w:bottom w:val="single" w:sz="8" w:color="CCEEFF"/>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38"/>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78"/>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299"/>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18"/>
              <w:spacing w:after="0" w:line="94" w:lineRule="exact"/>
              <w:rPr>
                <w:sz w:val="20"/>
                <w:szCs w:val="20"/>
                <w:color w:val="auto"/>
              </w:rPr>
            </w:pPr>
            <w:r>
              <w:rPr>
                <w:rFonts w:ascii="Times New Roman" w:cs="Times New Roman" w:eastAsia="Times New Roman" w:hAnsi="Times New Roman"/>
                <w:sz w:val="10"/>
                <w:szCs w:val="10"/>
                <w:b w:val="1"/>
                <w:bCs w:val="1"/>
                <w:color w:val="auto"/>
              </w:rPr>
              <w:t>2017</w:t>
            </w: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58"/>
              <w:spacing w:after="0" w:line="94" w:lineRule="exact"/>
              <w:rPr>
                <w:sz w:val="20"/>
                <w:szCs w:val="20"/>
                <w:color w:val="auto"/>
              </w:rPr>
            </w:pPr>
            <w:r>
              <w:rPr>
                <w:rFonts w:ascii="Times New Roman" w:cs="Times New Roman" w:eastAsia="Times New Roman" w:hAnsi="Times New Roman"/>
                <w:sz w:val="10"/>
                <w:szCs w:val="10"/>
                <w:b w:val="1"/>
                <w:bCs w:val="1"/>
                <w:color w:val="auto"/>
              </w:rPr>
              <w:t>2016</w:t>
            </w:r>
          </w:p>
        </w:tc>
      </w:tr>
      <w:tr>
        <w:trPr>
          <w:trHeight w:val="141"/>
        </w:trPr>
        <w:tc>
          <w:tcPr>
            <w:tcW w:w="302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Cash flows from (used in):</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2"/>
        </w:trPr>
        <w:tc>
          <w:tcPr>
            <w:tcW w:w="3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activities</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1,706,541</w:t>
            </w:r>
          </w:p>
        </w:tc>
        <w:tc>
          <w:tcPr>
            <w:tcW w:w="2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1,513,817</w:t>
            </w:r>
          </w:p>
        </w:tc>
        <w:tc>
          <w:tcPr>
            <w:tcW w:w="40" w:type="dxa"/>
            <w:vAlign w:val="bottom"/>
          </w:tcPr>
          <w:p>
            <w:pPr>
              <w:spacing w:after="0"/>
              <w:rPr>
                <w:sz w:val="13"/>
                <w:szCs w:val="13"/>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1,385,324</w:t>
            </w:r>
          </w:p>
        </w:tc>
        <w:tc>
          <w:tcPr>
            <w:tcW w:w="80" w:type="dxa"/>
            <w:vAlign w:val="bottom"/>
          </w:tcPr>
          <w:p>
            <w:pPr>
              <w:spacing w:after="0"/>
              <w:rPr>
                <w:sz w:val="13"/>
                <w:szCs w:val="13"/>
                <w:color w:val="auto"/>
              </w:rPr>
            </w:pP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1,023,305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911,242</w:t>
            </w:r>
          </w:p>
        </w:tc>
      </w:tr>
      <w:tr>
        <w:trPr>
          <w:trHeight w:val="152"/>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Investing activities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(2,599,347)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(274,992)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(3,035,993)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(1,357,153)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(1,303,597)</w:t>
            </w:r>
          </w:p>
        </w:tc>
      </w:tr>
      <w:tr>
        <w:trPr>
          <w:trHeight w:val="165"/>
        </w:trPr>
        <w:tc>
          <w:tcPr>
            <w:tcW w:w="3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Financing activities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935,689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(1,272,021)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1,757,269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321,200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350,617</w:t>
            </w:r>
          </w:p>
        </w:tc>
      </w:tr>
      <w:tr>
        <w:trPr>
          <w:trHeight w:val="604"/>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61</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0"/>
        </w:trPr>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66" w:name="page67"/>
    <w:bookmarkEnd w:id="6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7.</w:t>
      </w:r>
      <w:r>
        <w:rPr>
          <w:sz w:val="20"/>
          <w:szCs w:val="20"/>
          <w:color w:val="auto"/>
        </w:rPr>
        <w:tab/>
      </w:r>
      <w:r>
        <w:rPr>
          <w:rFonts w:ascii="Times New Roman" w:cs="Times New Roman" w:eastAsia="Times New Roman" w:hAnsi="Times New Roman"/>
          <w:sz w:val="12"/>
          <w:szCs w:val="12"/>
          <w:b w:val="1"/>
          <w:bCs w:val="1"/>
          <w:color w:val="auto"/>
        </w:rPr>
        <w:t>MANAGEMENT’S DISCUSSION AND ANALYSIS OF FINANCIAL CONDITION AND RESULTS OF OPERATIONS</w:t>
      </w:r>
    </w:p>
    <w:p>
      <w:pPr>
        <w:spacing w:after="0" w:line="154" w:lineRule="exact"/>
        <w:rPr>
          <w:sz w:val="20"/>
          <w:szCs w:val="20"/>
          <w:color w:val="auto"/>
        </w:rPr>
      </w:pPr>
    </w:p>
    <w:p>
      <w:pPr>
        <w:jc w:val="both"/>
        <w:ind w:left="20" w:right="59" w:firstLine="228"/>
        <w:spacing w:after="0" w:line="280" w:lineRule="auto"/>
        <w:rPr>
          <w:sz w:val="20"/>
          <w:szCs w:val="20"/>
          <w:color w:val="auto"/>
        </w:rPr>
      </w:pPr>
      <w:r>
        <w:rPr>
          <w:rFonts w:ascii="Times New Roman" w:cs="Times New Roman" w:eastAsia="Times New Roman" w:hAnsi="Times New Roman"/>
          <w:sz w:val="12"/>
          <w:szCs w:val="12"/>
          <w:i w:val="1"/>
          <w:iCs w:val="1"/>
          <w:color w:val="auto"/>
        </w:rPr>
        <w:t>The following discussion should be read in conjunction with the consolidated financial statements and notes thereto appearing elsewhere in this report. We make statements in this section that are forward-looking statements within the meaning of the federal securities laws. For a complete discussion of forward-looking statements, see the section in this report entitled “Forward-Looking Statements.” Certain risk factors may cause our actual results, performance or achievements to differ materially from those expressed or implied by the following discussion. For a discussion of such risk factors, see the sections in this report entitled “Risk Factors” and “Forward-Looking Statements.”</w:t>
      </w:r>
    </w:p>
    <w:p>
      <w:pPr>
        <w:spacing w:after="0" w:line="117" w:lineRule="exact"/>
        <w:rPr>
          <w:sz w:val="20"/>
          <w:szCs w:val="20"/>
          <w:color w:val="auto"/>
        </w:rPr>
      </w:pPr>
    </w:p>
    <w:p>
      <w:pPr>
        <w:ind w:left="20" w:right="339" w:firstLine="228"/>
        <w:spacing w:after="0" w:line="268" w:lineRule="auto"/>
        <w:rPr>
          <w:sz w:val="20"/>
          <w:szCs w:val="20"/>
          <w:color w:val="auto"/>
        </w:rPr>
      </w:pPr>
      <w:r>
        <w:rPr>
          <w:rFonts w:ascii="Times New Roman" w:cs="Times New Roman" w:eastAsia="Times New Roman" w:hAnsi="Times New Roman"/>
          <w:sz w:val="13"/>
          <w:szCs w:val="13"/>
          <w:color w:val="auto"/>
        </w:rPr>
        <w:t>Occupancy percentages included in the following discussion, for some of our properties, are calculated based on factors in addition to contractually leased square feet, including available power, required support space and common area.</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54" w:lineRule="exact"/>
        <w:rPr>
          <w:sz w:val="20"/>
          <w:szCs w:val="20"/>
          <w:color w:val="auto"/>
        </w:rPr>
      </w:pPr>
    </w:p>
    <w:p>
      <w:pPr>
        <w:ind w:left="20" w:right="219" w:firstLine="228"/>
        <w:spacing w:after="0" w:line="250" w:lineRule="auto"/>
        <w:rPr>
          <w:sz w:val="20"/>
          <w:szCs w:val="20"/>
          <w:color w:val="auto"/>
        </w:rPr>
      </w:pPr>
      <w:r>
        <w:rPr>
          <w:rFonts w:ascii="Times New Roman" w:cs="Times New Roman" w:eastAsia="Times New Roman" w:hAnsi="Times New Roman"/>
          <w:sz w:val="13"/>
          <w:szCs w:val="13"/>
          <w:i w:val="1"/>
          <w:iCs w:val="1"/>
          <w:color w:val="auto"/>
        </w:rPr>
        <w:t>Our Company</w:t>
      </w:r>
      <w:r>
        <w:rPr>
          <w:rFonts w:ascii="Times New Roman" w:cs="Times New Roman" w:eastAsia="Times New Roman" w:hAnsi="Times New Roman"/>
          <w:sz w:val="13"/>
          <w:szCs w:val="13"/>
          <w:color w:val="auto"/>
        </w:rPr>
        <w:t>. Digital Realty Trust, Inc. completed its initial public offering of common stock, or our IPO, on November 3, 2004. We believe that we have operated in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manner that has enabled us to qualify, and have elected to be treated, as a REIT under Sections 856 through 860 of the Code. Our Company was formed on March 9, 2004. During the period from our formation until we commenced operations in connection with the completion of our IPO, we did not have any corporate activity other than the issuance of shares of Digital Realty Trust, Inc. common stock in connection with the initial capitalization of the Company. Our Operating Partnership was formed on July 21, 2004.</w:t>
      </w:r>
    </w:p>
    <w:p>
      <w:pPr>
        <w:spacing w:after="0" w:line="133" w:lineRule="exact"/>
        <w:rPr>
          <w:sz w:val="20"/>
          <w:szCs w:val="20"/>
          <w:color w:val="auto"/>
        </w:rPr>
      </w:pPr>
    </w:p>
    <w:p>
      <w:pPr>
        <w:ind w:left="20" w:right="59" w:firstLine="228"/>
        <w:spacing w:after="0" w:line="246" w:lineRule="auto"/>
        <w:rPr>
          <w:sz w:val="20"/>
          <w:szCs w:val="20"/>
          <w:color w:val="auto"/>
        </w:rPr>
      </w:pPr>
      <w:r>
        <w:rPr>
          <w:rFonts w:ascii="Times New Roman" w:cs="Times New Roman" w:eastAsia="Times New Roman" w:hAnsi="Times New Roman"/>
          <w:sz w:val="13"/>
          <w:szCs w:val="13"/>
          <w:i w:val="1"/>
          <w:iCs w:val="1"/>
          <w:color w:val="auto"/>
        </w:rPr>
        <w:t>Business and strategy</w:t>
      </w:r>
      <w:r>
        <w:rPr>
          <w:rFonts w:ascii="Times New Roman" w:cs="Times New Roman" w:eastAsia="Times New Roman" w:hAnsi="Times New Roman"/>
          <w:sz w:val="13"/>
          <w:szCs w:val="13"/>
          <w:color w:val="auto"/>
        </w:rPr>
        <w:t>. Our primary business objectives are to maximize: (i) sustainable long-term growth in earnings and funds from operations per share and unit, (ii) cash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flow and returns to our stockholders and our operating partnership’s unitholders through the payment of distributions and (iii) return on invested capital. We expect to accomplish our objectives by achieving superior risk-adjusted returns, prudently allocating capital, diversifying our product offerings, accelerating our global reach and scale and driving revenue growth and operating efficiencies. We plan to focus on our core business of investing in and developing and operating data centers. A significant component of our current and future internal growth is anticipated through the development of our existing space held for development, acquisition of land for future development and acquisition of new properties. We target high-quality, strategically located properties containing the physical and connectivity infrastructure that supports the applications and operations of data center and technology industry customers and properties that may be developed for such use. Most of our data center properties contain fully redundant electrical supply systems, multiple power feeds, above-standard cooling systems, raised floor areas, extensive in-building communications cabling and high-level security systems. We focus exclusively on owning, acquiring, developing and operating data centers because we believe that the growth in data center demand and the technology-related real estate industry generally will continue to outpace the overall economy.</w:t>
      </w:r>
    </w:p>
    <w:p>
      <w:pPr>
        <w:spacing w:after="0" w:line="140" w:lineRule="exact"/>
        <w:rPr>
          <w:sz w:val="20"/>
          <w:szCs w:val="20"/>
          <w:color w:val="auto"/>
        </w:rPr>
      </w:pPr>
    </w:p>
    <w:p>
      <w:pPr>
        <w:ind w:left="20" w:right="79" w:firstLine="228"/>
        <w:spacing w:after="0" w:line="254" w:lineRule="auto"/>
        <w:rPr>
          <w:sz w:val="20"/>
          <w:szCs w:val="20"/>
          <w:color w:val="auto"/>
        </w:rPr>
      </w:pPr>
      <w:r>
        <w:rPr>
          <w:rFonts w:ascii="Times New Roman" w:cs="Times New Roman" w:eastAsia="Times New Roman" w:hAnsi="Times New Roman"/>
          <w:sz w:val="12"/>
          <w:szCs w:val="12"/>
          <w:color w:val="auto"/>
        </w:rPr>
        <w:t>As of December 31, 2020, our portfolio included 291 data centers, including 43 data centers held as investments in unconsolidated joint ventures, with approximately 43.6 million rentable square feet including approximately 5.4 million square feet of space under active development and approximately 2.3 million square feet of space held for development. The 43 data centers held as investments in unconsolidated joint ventures have an aggregate of approximately 4.5 million rentable square feet. The 34 parcels of developable land we own as of December 31, 2020 comprised approximately 927 acres. At December 31, 2020, excluding unconsolidated joint ventures, approximately 4.9 million square feet was under construction for Turn-Key Flex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and Powered Base Building</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products, all of which are expected to be income producing on or after completion, in seven U.S. metropolitan areas, nine European metropolitan areas, four Asian metropolitan areas, one Australian metropolitan area, one African metropolitan area and one Canadian metropolitan area, consisting of approximately 2.3 million square feet of base building construction and 2.6 million square feet of data center construction.</w:t>
      </w:r>
    </w:p>
    <w:p>
      <w:pPr>
        <w:spacing w:after="0" w:line="132" w:lineRule="exact"/>
        <w:rPr>
          <w:sz w:val="20"/>
          <w:szCs w:val="20"/>
          <w:color w:val="auto"/>
        </w:rPr>
      </w:pPr>
    </w:p>
    <w:p>
      <w:pPr>
        <w:ind w:left="20" w:right="339" w:firstLine="228"/>
        <w:spacing w:after="0" w:line="268" w:lineRule="auto"/>
        <w:rPr>
          <w:sz w:val="20"/>
          <w:szCs w:val="20"/>
          <w:color w:val="auto"/>
        </w:rPr>
      </w:pPr>
      <w:r>
        <w:rPr>
          <w:rFonts w:ascii="Times New Roman" w:cs="Times New Roman" w:eastAsia="Times New Roman" w:hAnsi="Times New Roman"/>
          <w:sz w:val="13"/>
          <w:szCs w:val="13"/>
          <w:color w:val="auto"/>
        </w:rPr>
        <w:t>We have developed detailed, standardized procedures for evaluating new real estate investments to ensure that they meet our financial, technical and other criteria. We expect to continue to acquire additional assets as part of our growth</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7" w:name="page68"/>
    <w:bookmarkEnd w:id="6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599"/>
        <w:spacing w:after="0" w:line="268" w:lineRule="auto"/>
        <w:rPr>
          <w:sz w:val="20"/>
          <w:szCs w:val="20"/>
          <w:color w:val="auto"/>
        </w:rPr>
      </w:pPr>
      <w:r>
        <w:rPr>
          <w:rFonts w:ascii="Times New Roman" w:cs="Times New Roman" w:eastAsia="Times New Roman" w:hAnsi="Times New Roman"/>
          <w:sz w:val="13"/>
          <w:szCs w:val="13"/>
          <w:color w:val="auto"/>
        </w:rPr>
        <w:t>strategy. We intend to aggressively manage and lease our assets to increase their cash flow. We may continue to build out our development portfolio when justified by anticipated demand and returns.</w:t>
      </w:r>
    </w:p>
    <w:p>
      <w:pPr>
        <w:spacing w:after="0" w:line="122" w:lineRule="exact"/>
        <w:rPr>
          <w:sz w:val="20"/>
          <w:szCs w:val="20"/>
          <w:color w:val="auto"/>
        </w:rPr>
      </w:pPr>
    </w:p>
    <w:p>
      <w:pPr>
        <w:jc w:val="both"/>
        <w:ind w:left="20" w:right="179" w:firstLine="228"/>
        <w:spacing w:after="0" w:line="249" w:lineRule="auto"/>
        <w:rPr>
          <w:sz w:val="20"/>
          <w:szCs w:val="20"/>
          <w:color w:val="auto"/>
        </w:rPr>
      </w:pPr>
      <w:r>
        <w:rPr>
          <w:rFonts w:ascii="Times New Roman" w:cs="Times New Roman" w:eastAsia="Times New Roman" w:hAnsi="Times New Roman"/>
          <w:sz w:val="13"/>
          <w:szCs w:val="13"/>
          <w:color w:val="auto"/>
        </w:rPr>
        <w:t>We may acquire properties subject to existing mortgage financing and other indebtedness or we may incur new indebtedness in connection with acquiring or refinancing these properties. Debt service on such indebtedness will have a priority over any cash dividends with respect to Digital Realty Trust, Inc.’s common stock and preferred stock. We are committed to maintaining a conservative capital structure. We target a debt-to-Adjusted EBITDA ratio at or less than 5.5x, fixed charge coverage of greater than three times, and floating rate debt at less than 20% of total outstanding debt. In addition, we strive to maintain a well-laddered debt maturity schedule, and we seek to maximize the menu of our available sources of capital, while minimizing the cost.</w:t>
      </w:r>
    </w:p>
    <w:p>
      <w:pPr>
        <w:spacing w:after="0" w:line="134" w:lineRule="exact"/>
        <w:rPr>
          <w:sz w:val="20"/>
          <w:szCs w:val="20"/>
          <w:color w:val="auto"/>
        </w:rPr>
      </w:pPr>
    </w:p>
    <w:p>
      <w:pPr>
        <w:ind w:left="20" w:right="59" w:firstLine="228"/>
        <w:spacing w:after="0" w:line="271" w:lineRule="auto"/>
        <w:rPr>
          <w:sz w:val="20"/>
          <w:szCs w:val="20"/>
          <w:color w:val="auto"/>
        </w:rPr>
      </w:pPr>
      <w:r>
        <w:rPr>
          <w:rFonts w:ascii="Times New Roman" w:cs="Times New Roman" w:eastAsia="Times New Roman" w:hAnsi="Times New Roman"/>
          <w:sz w:val="13"/>
          <w:szCs w:val="13"/>
          <w:i w:val="1"/>
          <w:iCs w:val="1"/>
          <w:color w:val="auto"/>
        </w:rPr>
        <w:t>Revenue base</w:t>
      </w:r>
      <w:r>
        <w:rPr>
          <w:rFonts w:ascii="Times New Roman" w:cs="Times New Roman" w:eastAsia="Times New Roman" w:hAnsi="Times New Roman"/>
          <w:sz w:val="13"/>
          <w:szCs w:val="13"/>
          <w:color w:val="auto"/>
        </w:rPr>
        <w:t>. As of December 31, 2020, our portfolio included 291 data centers, including 43 data centers held as investments in unconsolidated joint ventures. Our global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portfolio includes 141 data centers located in North America, with 107 located in Europe, 22 in Latin America, 12 in Asia, six in Australia and three in Africa.</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8" w:name="page69"/>
    <w:bookmarkEnd w:id="6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659" w:firstLine="228"/>
        <w:spacing w:after="0" w:line="268" w:lineRule="auto"/>
        <w:rPr>
          <w:sz w:val="20"/>
          <w:szCs w:val="20"/>
          <w:color w:val="auto"/>
        </w:rPr>
      </w:pPr>
      <w:r>
        <w:rPr>
          <w:rFonts w:ascii="Times New Roman" w:cs="Times New Roman" w:eastAsia="Times New Roman" w:hAnsi="Times New Roman"/>
          <w:sz w:val="13"/>
          <w:szCs w:val="13"/>
          <w:color w:val="auto"/>
        </w:rPr>
        <w:t>The following table presents an overview of our portfolio of data centers, including the 43 data centers held as investments in unconsolidated joint ventures, and developable land, based on information as of December 31, 2020.</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5"/>
              </w:rPr>
              <w:t>Space Under</w:t>
            </w:r>
          </w:p>
        </w:tc>
        <w:tc>
          <w:tcPr>
            <w:tcW w:w="1220" w:type="dxa"/>
            <w:vAlign w:val="bottom"/>
          </w:tcPr>
          <w:p>
            <w:pPr>
              <w:spacing w:after="0"/>
              <w:rPr>
                <w:sz w:val="7"/>
                <w:szCs w:val="7"/>
                <w:color w:val="auto"/>
              </w:rPr>
            </w:pPr>
          </w:p>
        </w:tc>
      </w:tr>
      <w:tr>
        <w:trPr>
          <w:trHeight w:val="85"/>
        </w:trPr>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80" w:type="dxa"/>
            <w:vAlign w:val="bottom"/>
            <w:gridSpan w:val="2"/>
          </w:tcPr>
          <w:p>
            <w:pPr>
              <w:jc w:val="center"/>
              <w:ind w:right="240"/>
              <w:spacing w:after="0" w:line="86" w:lineRule="exact"/>
              <w:rPr>
                <w:sz w:val="20"/>
                <w:szCs w:val="20"/>
                <w:color w:val="auto"/>
              </w:rPr>
            </w:pPr>
            <w:r>
              <w:rPr>
                <w:rFonts w:ascii="Times New Roman" w:cs="Times New Roman" w:eastAsia="Times New Roman" w:hAnsi="Times New Roman"/>
                <w:sz w:val="8"/>
                <w:szCs w:val="8"/>
                <w:b w:val="1"/>
                <w:bCs w:val="1"/>
                <w:color w:val="auto"/>
                <w:w w:val="95"/>
              </w:rPr>
              <w:t>Data Center</w:t>
            </w:r>
          </w:p>
        </w:tc>
        <w:tc>
          <w:tcPr>
            <w:tcW w:w="1460" w:type="dxa"/>
            <w:vAlign w:val="bottom"/>
            <w:gridSpan w:val="2"/>
          </w:tcPr>
          <w:p>
            <w:pPr>
              <w:jc w:val="center"/>
              <w:ind w:right="240"/>
              <w:spacing w:after="0" w:line="86" w:lineRule="exact"/>
              <w:rPr>
                <w:sz w:val="20"/>
                <w:szCs w:val="20"/>
                <w:color w:val="auto"/>
              </w:rPr>
            </w:pPr>
            <w:r>
              <w:rPr>
                <w:rFonts w:ascii="Times New Roman" w:cs="Times New Roman" w:eastAsia="Times New Roman" w:hAnsi="Times New Roman"/>
                <w:sz w:val="8"/>
                <w:szCs w:val="8"/>
                <w:b w:val="1"/>
                <w:bCs w:val="1"/>
                <w:color w:val="auto"/>
                <w:w w:val="93"/>
              </w:rPr>
              <w:t>Net Rentable</w:t>
            </w:r>
          </w:p>
        </w:tc>
        <w:tc>
          <w:tcPr>
            <w:tcW w:w="1480" w:type="dxa"/>
            <w:vAlign w:val="bottom"/>
            <w:gridSpan w:val="2"/>
          </w:tcPr>
          <w:p>
            <w:pPr>
              <w:jc w:val="center"/>
              <w:ind w:right="240"/>
              <w:spacing w:after="0" w:line="86" w:lineRule="exact"/>
              <w:rPr>
                <w:sz w:val="20"/>
                <w:szCs w:val="20"/>
                <w:color w:val="auto"/>
              </w:rPr>
            </w:pPr>
            <w:r>
              <w:rPr>
                <w:rFonts w:ascii="Times New Roman" w:cs="Times New Roman" w:eastAsia="Times New Roman" w:hAnsi="Times New Roman"/>
                <w:sz w:val="8"/>
                <w:szCs w:val="8"/>
                <w:b w:val="1"/>
                <w:bCs w:val="1"/>
                <w:color w:val="auto"/>
                <w:w w:val="91"/>
              </w:rPr>
              <w:t>Active</w:t>
            </w:r>
          </w:p>
        </w:tc>
        <w:tc>
          <w:tcPr>
            <w:tcW w:w="1220" w:type="dxa"/>
            <w:vAlign w:val="bottom"/>
          </w:tcPr>
          <w:p>
            <w:pPr>
              <w:jc w:val="right"/>
              <w:ind w:right="342"/>
              <w:spacing w:after="0" w:line="86" w:lineRule="exact"/>
              <w:rPr>
                <w:sz w:val="20"/>
                <w:szCs w:val="20"/>
                <w:color w:val="auto"/>
              </w:rPr>
            </w:pPr>
            <w:r>
              <w:rPr>
                <w:rFonts w:ascii="Times New Roman" w:cs="Times New Roman" w:eastAsia="Times New Roman" w:hAnsi="Times New Roman"/>
                <w:sz w:val="8"/>
                <w:szCs w:val="8"/>
                <w:b w:val="1"/>
                <w:bCs w:val="1"/>
                <w:color w:val="auto"/>
              </w:rPr>
              <w:t>Space Held for</w:t>
            </w:r>
          </w:p>
        </w:tc>
      </w:tr>
      <w:tr>
        <w:trPr>
          <w:trHeight w:val="97"/>
        </w:trPr>
        <w:tc>
          <w:tcPr>
            <w:tcW w:w="3320" w:type="dxa"/>
            <w:vAlign w:val="bottom"/>
            <w:gridSpan w:val="6"/>
          </w:tcPr>
          <w:p>
            <w:pPr>
              <w:spacing w:after="0"/>
              <w:rPr>
                <w:sz w:val="20"/>
                <w:szCs w:val="20"/>
                <w:color w:val="auto"/>
              </w:rPr>
            </w:pPr>
            <w:r>
              <w:rPr>
                <w:rFonts w:ascii="Times New Roman" w:cs="Times New Roman" w:eastAsia="Times New Roman" w:hAnsi="Times New Roman"/>
                <w:sz w:val="8"/>
                <w:szCs w:val="8"/>
                <w:b w:val="1"/>
                <w:bCs w:val="1"/>
                <w:color w:val="auto"/>
              </w:rPr>
              <w:t>Metropolitan Area</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2"/>
              </w:rPr>
              <w:t>Buildings</w:t>
            </w:r>
          </w:p>
        </w:tc>
        <w:tc>
          <w:tcPr>
            <w:tcW w:w="1460" w:type="dxa"/>
            <w:vAlign w:val="bottom"/>
            <w:gridSpan w:val="2"/>
          </w:tcPr>
          <w:p>
            <w:pPr>
              <w:jc w:val="center"/>
              <w:ind w:right="260"/>
              <w:spacing w:after="0" w:line="97" w:lineRule="exact"/>
              <w:rPr>
                <w:sz w:val="20"/>
                <w:szCs w:val="20"/>
                <w:color w:val="auto"/>
              </w:rPr>
            </w:pPr>
            <w:r>
              <w:rPr>
                <w:rFonts w:ascii="Times New Roman" w:cs="Times New Roman" w:eastAsia="Times New Roman" w:hAnsi="Times New Roman"/>
                <w:sz w:val="8"/>
                <w:szCs w:val="8"/>
                <w:b w:val="1"/>
                <w:bCs w:val="1"/>
                <w:color w:val="auto"/>
                <w:w w:val="92"/>
              </w:rPr>
              <w:t xml:space="preserve">Square Feet </w:t>
            </w:r>
            <w:r>
              <w:rPr>
                <w:rFonts w:ascii="Times New Roman" w:cs="Times New Roman" w:eastAsia="Times New Roman" w:hAnsi="Times New Roman"/>
                <w:sz w:val="11"/>
                <w:szCs w:val="11"/>
                <w:b w:val="1"/>
                <w:bCs w:val="1"/>
                <w:color w:val="auto"/>
                <w:w w:val="92"/>
                <w:vertAlign w:val="superscript"/>
              </w:rPr>
              <w:t>(1)</w:t>
            </w:r>
          </w:p>
        </w:tc>
        <w:tc>
          <w:tcPr>
            <w:tcW w:w="1480" w:type="dxa"/>
            <w:vAlign w:val="bottom"/>
            <w:gridSpan w:val="2"/>
          </w:tcPr>
          <w:p>
            <w:pPr>
              <w:jc w:val="center"/>
              <w:ind w:right="240"/>
              <w:spacing w:after="0" w:line="97" w:lineRule="exact"/>
              <w:rPr>
                <w:sz w:val="20"/>
                <w:szCs w:val="20"/>
                <w:color w:val="auto"/>
              </w:rPr>
            </w:pPr>
            <w:r>
              <w:rPr>
                <w:rFonts w:ascii="Times New Roman" w:cs="Times New Roman" w:eastAsia="Times New Roman" w:hAnsi="Times New Roman"/>
                <w:sz w:val="8"/>
                <w:szCs w:val="8"/>
                <w:b w:val="1"/>
                <w:bCs w:val="1"/>
                <w:color w:val="auto"/>
                <w:w w:val="93"/>
              </w:rPr>
              <w:t xml:space="preserve">Development </w:t>
            </w:r>
            <w:r>
              <w:rPr>
                <w:rFonts w:ascii="Times New Roman" w:cs="Times New Roman" w:eastAsia="Times New Roman" w:hAnsi="Times New Roman"/>
                <w:sz w:val="11"/>
                <w:szCs w:val="11"/>
                <w:b w:val="1"/>
                <w:bCs w:val="1"/>
                <w:color w:val="auto"/>
                <w:w w:val="93"/>
                <w:vertAlign w:val="superscript"/>
              </w:rPr>
              <w:t>(2)</w:t>
            </w:r>
          </w:p>
        </w:tc>
        <w:tc>
          <w:tcPr>
            <w:tcW w:w="1220" w:type="dxa"/>
            <w:vAlign w:val="bottom"/>
          </w:tcPr>
          <w:p>
            <w:pPr>
              <w:jc w:val="right"/>
              <w:ind w:right="322"/>
              <w:spacing w:after="0" w:line="97" w:lineRule="exact"/>
              <w:rPr>
                <w:sz w:val="20"/>
                <w:szCs w:val="20"/>
                <w:color w:val="auto"/>
              </w:rPr>
            </w:pPr>
            <w:r>
              <w:rPr>
                <w:rFonts w:ascii="Times New Roman" w:cs="Times New Roman" w:eastAsia="Times New Roman" w:hAnsi="Times New Roman"/>
                <w:sz w:val="8"/>
                <w:szCs w:val="8"/>
                <w:b w:val="1"/>
                <w:bCs w:val="1"/>
                <w:color w:val="auto"/>
              </w:rPr>
              <w:t xml:space="preserve">Development </w:t>
            </w:r>
            <w:r>
              <w:rPr>
                <w:rFonts w:ascii="Times New Roman" w:cs="Times New Roman" w:eastAsia="Times New Roman" w:hAnsi="Times New Roman"/>
                <w:sz w:val="11"/>
                <w:szCs w:val="11"/>
                <w:b w:val="1"/>
                <w:bCs w:val="1"/>
                <w:color w:val="auto"/>
                <w:vertAlign w:val="superscript"/>
              </w:rPr>
              <w:t>(3)</w:t>
            </w:r>
          </w:p>
        </w:tc>
      </w:tr>
      <w:tr>
        <w:trPr>
          <w:trHeight w:val="75"/>
        </w:trPr>
        <w:tc>
          <w:tcPr>
            <w:tcW w:w="2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r>
      <w:tr>
        <w:trPr>
          <w:trHeight w:val="76"/>
        </w:trPr>
        <w:tc>
          <w:tcPr>
            <w:tcW w:w="500" w:type="dxa"/>
            <w:vAlign w:val="bottom"/>
            <w:tcBorders>
              <w:bottom w:val="single" w:sz="8" w:color="auto"/>
            </w:tcBorders>
            <w:gridSpan w:val="3"/>
            <w:shd w:val="clear" w:color="auto" w:fill="CCEEFF"/>
          </w:tcPr>
          <w:p>
            <w:pPr>
              <w:spacing w:after="0" w:line="76" w:lineRule="exact"/>
              <w:rPr>
                <w:sz w:val="20"/>
                <w:szCs w:val="20"/>
                <w:color w:val="auto"/>
              </w:rPr>
            </w:pPr>
            <w:r>
              <w:rPr>
                <w:rFonts w:ascii="Times New Roman" w:cs="Times New Roman" w:eastAsia="Times New Roman" w:hAnsi="Times New Roman"/>
                <w:sz w:val="8"/>
                <w:szCs w:val="8"/>
                <w:b w:val="1"/>
                <w:bCs w:val="1"/>
                <w:color w:val="auto"/>
                <w:w w:val="92"/>
              </w:rPr>
              <w:t>North America</w:t>
            </w:r>
          </w:p>
        </w:tc>
        <w:tc>
          <w:tcPr>
            <w:tcW w:w="2820" w:type="dxa"/>
            <w:vAlign w:val="bottom"/>
            <w:tcBorders>
              <w:bottom w:val="single" w:sz="8" w:color="CCEEFF"/>
            </w:tcBorders>
            <w:gridSpan w:val="3"/>
            <w:shd w:val="clear" w:color="auto" w:fill="CCEEFF"/>
          </w:tcPr>
          <w:p>
            <w:pPr>
              <w:spacing w:after="0"/>
              <w:rPr>
                <w:sz w:val="6"/>
                <w:szCs w:val="6"/>
                <w:color w:val="auto"/>
              </w:rPr>
            </w:pPr>
          </w:p>
        </w:tc>
        <w:tc>
          <w:tcPr>
            <w:tcW w:w="122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shd w:val="clear" w:color="auto" w:fill="CCEEFF"/>
          </w:tcPr>
          <w:p>
            <w:pPr>
              <w:spacing w:after="0"/>
              <w:rPr>
                <w:sz w:val="6"/>
                <w:szCs w:val="6"/>
                <w:color w:val="auto"/>
              </w:rPr>
            </w:pPr>
          </w:p>
        </w:tc>
      </w:tr>
      <w:tr>
        <w:trPr>
          <w:trHeight w:val="75"/>
        </w:trPr>
        <w:tc>
          <w:tcPr>
            <w:tcW w:w="3320" w:type="dxa"/>
            <w:vAlign w:val="bottom"/>
            <w:gridSpan w:val="6"/>
          </w:tcPr>
          <w:p>
            <w:pPr>
              <w:spacing w:after="0" w:line="75" w:lineRule="exact"/>
              <w:rPr>
                <w:sz w:val="20"/>
                <w:szCs w:val="20"/>
                <w:color w:val="auto"/>
              </w:rPr>
            </w:pPr>
            <w:r>
              <w:rPr>
                <w:rFonts w:ascii="Times New Roman" w:cs="Times New Roman" w:eastAsia="Times New Roman" w:hAnsi="Times New Roman"/>
                <w:sz w:val="8"/>
                <w:szCs w:val="8"/>
                <w:color w:val="auto"/>
              </w:rPr>
              <w:t>Northern Virginia</w:t>
            </w:r>
          </w:p>
        </w:tc>
        <w:tc>
          <w:tcPr>
            <w:tcW w:w="122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color w:val="auto"/>
              </w:rPr>
              <w:t>24</w:t>
            </w:r>
          </w:p>
        </w:tc>
        <w:tc>
          <w:tcPr>
            <w:tcW w:w="260" w:type="dxa"/>
            <w:vAlign w:val="bottom"/>
          </w:tcPr>
          <w:p>
            <w:pPr>
              <w:spacing w:after="0"/>
              <w:rPr>
                <w:sz w:val="6"/>
                <w:szCs w:val="6"/>
                <w:color w:val="auto"/>
              </w:rPr>
            </w:pPr>
          </w:p>
        </w:tc>
        <w:tc>
          <w:tcPr>
            <w:tcW w:w="1220" w:type="dxa"/>
            <w:vAlign w:val="bottom"/>
          </w:tcPr>
          <w:p>
            <w:pPr>
              <w:jc w:val="right"/>
              <w:ind w:right="2"/>
              <w:spacing w:after="0" w:line="75" w:lineRule="exact"/>
              <w:rPr>
                <w:sz w:val="20"/>
                <w:szCs w:val="20"/>
                <w:color w:val="auto"/>
              </w:rPr>
            </w:pPr>
            <w:r>
              <w:rPr>
                <w:rFonts w:ascii="Times New Roman" w:cs="Times New Roman" w:eastAsia="Times New Roman" w:hAnsi="Times New Roman"/>
                <w:sz w:val="8"/>
                <w:szCs w:val="8"/>
                <w:color w:val="auto"/>
              </w:rPr>
              <w:t>5,721,264</w:t>
            </w:r>
          </w:p>
        </w:tc>
        <w:tc>
          <w:tcPr>
            <w:tcW w:w="240" w:type="dxa"/>
            <w:vAlign w:val="bottom"/>
          </w:tcPr>
          <w:p>
            <w:pPr>
              <w:spacing w:after="0"/>
              <w:rPr>
                <w:sz w:val="6"/>
                <w:szCs w:val="6"/>
                <w:color w:val="auto"/>
              </w:rPr>
            </w:pPr>
          </w:p>
        </w:tc>
        <w:tc>
          <w:tcPr>
            <w:tcW w:w="122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color w:val="auto"/>
              </w:rPr>
              <w:t>699,908</w:t>
            </w:r>
          </w:p>
        </w:tc>
        <w:tc>
          <w:tcPr>
            <w:tcW w:w="260" w:type="dxa"/>
            <w:vAlign w:val="bottom"/>
          </w:tcPr>
          <w:p>
            <w:pPr>
              <w:spacing w:after="0"/>
              <w:rPr>
                <w:sz w:val="6"/>
                <w:szCs w:val="6"/>
                <w:color w:val="auto"/>
              </w:rPr>
            </w:pPr>
          </w:p>
        </w:tc>
        <w:tc>
          <w:tcPr>
            <w:tcW w:w="1220" w:type="dxa"/>
            <w:vAlign w:val="bottom"/>
          </w:tcPr>
          <w:p>
            <w:pPr>
              <w:jc w:val="right"/>
              <w:ind w:right="2"/>
              <w:spacing w:after="0" w:line="75" w:lineRule="exact"/>
              <w:rPr>
                <w:sz w:val="20"/>
                <w:szCs w:val="20"/>
                <w:color w:val="auto"/>
              </w:rPr>
            </w:pPr>
            <w:r>
              <w:rPr>
                <w:rFonts w:ascii="Times New Roman" w:cs="Times New Roman" w:eastAsia="Times New Roman" w:hAnsi="Times New Roman"/>
                <w:sz w:val="8"/>
                <w:szCs w:val="8"/>
                <w:color w:val="auto"/>
              </w:rPr>
              <w:t>78,538</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Chicago</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10</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3,427,367</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148,101</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New York</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13</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2,050,605</w:t>
            </w:r>
          </w:p>
        </w:tc>
        <w:tc>
          <w:tcPr>
            <w:tcW w:w="240" w:type="dxa"/>
            <w:vAlign w:val="bottom"/>
          </w:tcPr>
          <w:p>
            <w:pPr>
              <w:spacing w:after="0"/>
              <w:rPr>
                <w:sz w:val="7"/>
                <w:szCs w:val="7"/>
                <w:color w:val="auto"/>
              </w:rPr>
            </w:pP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233,807</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99,955</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Silicon Valley</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20</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2,251,021</w:t>
            </w:r>
          </w:p>
        </w:tc>
        <w:tc>
          <w:tcPr>
            <w:tcW w:w="240" w:type="dxa"/>
            <w:vAlign w:val="bottom"/>
            <w:shd w:val="clear" w:color="auto" w:fill="CCEEFF"/>
          </w:tcPr>
          <w:p>
            <w:pPr>
              <w:spacing w:after="0"/>
              <w:rPr>
                <w:sz w:val="7"/>
                <w:szCs w:val="7"/>
                <w:color w:val="auto"/>
              </w:rPr>
            </w:pP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65,594</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Dallas</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21</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3,530,749</w:t>
            </w:r>
          </w:p>
        </w:tc>
        <w:tc>
          <w:tcPr>
            <w:tcW w:w="240" w:type="dxa"/>
            <w:vAlign w:val="bottom"/>
          </w:tcPr>
          <w:p>
            <w:pPr>
              <w:spacing w:after="0"/>
              <w:rPr>
                <w:sz w:val="7"/>
                <w:szCs w:val="7"/>
                <w:color w:val="auto"/>
              </w:rPr>
            </w:pP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143,051</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28,094</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Phoenix</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795,687</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227,274</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San Francisco</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4</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824,972</w:t>
            </w:r>
          </w:p>
        </w:tc>
        <w:tc>
          <w:tcPr>
            <w:tcW w:w="240" w:type="dxa"/>
            <w:vAlign w:val="bottom"/>
          </w:tcPr>
          <w:p>
            <w:pPr>
              <w:spacing w:after="0"/>
              <w:rPr>
                <w:sz w:val="7"/>
                <w:szCs w:val="7"/>
                <w:color w:val="auto"/>
              </w:rPr>
            </w:pP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23,321</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Atlanta</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4</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525,414</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313,581</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Los Angeles</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4</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798,571</w:t>
            </w:r>
          </w:p>
        </w:tc>
        <w:tc>
          <w:tcPr>
            <w:tcW w:w="240" w:type="dxa"/>
            <w:vAlign w:val="bottom"/>
          </w:tcPr>
          <w:p>
            <w:pPr>
              <w:spacing w:after="0"/>
              <w:rPr>
                <w:sz w:val="7"/>
                <w:szCs w:val="7"/>
                <w:color w:val="auto"/>
              </w:rPr>
            </w:pP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19,908</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Seattle</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400,369</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Toronto, Canada</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316,170</w:t>
            </w:r>
          </w:p>
        </w:tc>
        <w:tc>
          <w:tcPr>
            <w:tcW w:w="240" w:type="dxa"/>
            <w:vAlign w:val="bottom"/>
          </w:tcPr>
          <w:p>
            <w:pPr>
              <w:spacing w:after="0"/>
              <w:rPr>
                <w:sz w:val="7"/>
                <w:szCs w:val="7"/>
                <w:color w:val="auto"/>
              </w:rPr>
            </w:pP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499,839</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Portland</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264,973</w:t>
            </w:r>
          </w:p>
        </w:tc>
        <w:tc>
          <w:tcPr>
            <w:tcW w:w="240" w:type="dxa"/>
            <w:vAlign w:val="bottom"/>
            <w:shd w:val="clear" w:color="auto" w:fill="CCEEFF"/>
          </w:tcPr>
          <w:p>
            <w:pPr>
              <w:spacing w:after="0"/>
              <w:rPr>
                <w:sz w:val="7"/>
                <w:szCs w:val="7"/>
                <w:color w:val="auto"/>
              </w:rPr>
            </w:pP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336,463</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Boston</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4</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467,519</w:t>
            </w:r>
          </w:p>
        </w:tc>
        <w:tc>
          <w:tcPr>
            <w:tcW w:w="240" w:type="dxa"/>
            <w:vAlign w:val="bottom"/>
          </w:tcPr>
          <w:p>
            <w:pPr>
              <w:spacing w:after="0"/>
              <w:rPr>
                <w:sz w:val="7"/>
                <w:szCs w:val="7"/>
                <w:color w:val="auto"/>
              </w:rPr>
            </w:pPr>
          </w:p>
        </w:tc>
        <w:tc>
          <w:tcPr>
            <w:tcW w:w="1480" w:type="dxa"/>
            <w:vAlign w:val="bottom"/>
            <w:gridSpan w:val="2"/>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50,649</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Houston</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6</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392,816</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13,969</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Miami</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226,314</w:t>
            </w:r>
          </w:p>
        </w:tc>
        <w:tc>
          <w:tcPr>
            <w:tcW w:w="240" w:type="dxa"/>
            <w:vAlign w:val="bottom"/>
          </w:tcPr>
          <w:p>
            <w:pPr>
              <w:spacing w:after="0"/>
              <w:rPr>
                <w:sz w:val="7"/>
                <w:szCs w:val="7"/>
                <w:color w:val="auto"/>
              </w:rPr>
            </w:pPr>
          </w:p>
        </w:tc>
        <w:tc>
          <w:tcPr>
            <w:tcW w:w="1480" w:type="dxa"/>
            <w:vAlign w:val="bottom"/>
            <w:gridSpan w:val="2"/>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Austin</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85,688</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Minneapolis/St. Paul</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328,765</w:t>
            </w:r>
          </w:p>
        </w:tc>
        <w:tc>
          <w:tcPr>
            <w:tcW w:w="240" w:type="dxa"/>
            <w:vAlign w:val="bottom"/>
          </w:tcPr>
          <w:p>
            <w:pPr>
              <w:spacing w:after="0"/>
              <w:rPr>
                <w:sz w:val="7"/>
                <w:szCs w:val="7"/>
                <w:color w:val="auto"/>
              </w:rPr>
            </w:pPr>
          </w:p>
        </w:tc>
        <w:tc>
          <w:tcPr>
            <w:tcW w:w="1480" w:type="dxa"/>
            <w:vAlign w:val="bottom"/>
            <w:gridSpan w:val="2"/>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Charlotte</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95,499</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75"/>
        </w:trPr>
        <w:tc>
          <w:tcPr>
            <w:tcW w:w="3320" w:type="dxa"/>
            <w:vAlign w:val="bottom"/>
            <w:gridSpan w:val="6"/>
          </w:tcPr>
          <w:p>
            <w:pPr>
              <w:ind w:left="80"/>
              <w:spacing w:after="0" w:line="75" w:lineRule="exact"/>
              <w:rPr>
                <w:sz w:val="20"/>
                <w:szCs w:val="20"/>
                <w:color w:val="auto"/>
              </w:rPr>
            </w:pPr>
            <w:r>
              <w:rPr>
                <w:rFonts w:ascii="Times New Roman" w:cs="Times New Roman" w:eastAsia="Times New Roman" w:hAnsi="Times New Roman"/>
                <w:sz w:val="8"/>
                <w:szCs w:val="8"/>
                <w:b w:val="1"/>
                <w:bCs w:val="1"/>
                <w:color w:val="auto"/>
              </w:rPr>
              <w:t>North America Total</w:t>
            </w:r>
          </w:p>
        </w:tc>
        <w:tc>
          <w:tcPr>
            <w:tcW w:w="1220" w:type="dxa"/>
            <w:vAlign w:val="bottom"/>
            <w:tcBorders>
              <w:top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125</w:t>
            </w:r>
          </w:p>
        </w:tc>
        <w:tc>
          <w:tcPr>
            <w:tcW w:w="260" w:type="dxa"/>
            <w:vAlign w:val="bottom"/>
          </w:tcPr>
          <w:p>
            <w:pPr>
              <w:spacing w:after="0"/>
              <w:rPr>
                <w:sz w:val="6"/>
                <w:szCs w:val="6"/>
                <w:color w:val="auto"/>
              </w:rPr>
            </w:pPr>
          </w:p>
        </w:tc>
        <w:tc>
          <w:tcPr>
            <w:tcW w:w="1220" w:type="dxa"/>
            <w:vAlign w:val="bottom"/>
            <w:tcBorders>
              <w:top w:val="single" w:sz="8" w:color="auto"/>
            </w:tcBorders>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22,503,763</w:t>
            </w:r>
          </w:p>
        </w:tc>
        <w:tc>
          <w:tcPr>
            <w:tcW w:w="240" w:type="dxa"/>
            <w:vAlign w:val="bottom"/>
          </w:tcPr>
          <w:p>
            <w:pPr>
              <w:spacing w:after="0"/>
              <w:rPr>
                <w:sz w:val="6"/>
                <w:szCs w:val="6"/>
                <w:color w:val="auto"/>
              </w:rPr>
            </w:pPr>
          </w:p>
        </w:tc>
        <w:tc>
          <w:tcPr>
            <w:tcW w:w="1220" w:type="dxa"/>
            <w:vAlign w:val="bottom"/>
            <w:tcBorders>
              <w:top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2,021,891</w:t>
            </w:r>
          </w:p>
        </w:tc>
        <w:tc>
          <w:tcPr>
            <w:tcW w:w="260" w:type="dxa"/>
            <w:vAlign w:val="bottom"/>
          </w:tcPr>
          <w:p>
            <w:pPr>
              <w:spacing w:after="0"/>
              <w:rPr>
                <w:sz w:val="6"/>
                <w:szCs w:val="6"/>
                <w:color w:val="auto"/>
              </w:rPr>
            </w:pPr>
          </w:p>
        </w:tc>
        <w:tc>
          <w:tcPr>
            <w:tcW w:w="1220" w:type="dxa"/>
            <w:vAlign w:val="bottom"/>
            <w:tcBorders>
              <w:top w:val="single" w:sz="8" w:color="auto"/>
            </w:tcBorders>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960,161</w:t>
            </w:r>
          </w:p>
        </w:tc>
      </w:tr>
      <w:tr>
        <w:trPr>
          <w:trHeight w:val="85"/>
        </w:trPr>
        <w:tc>
          <w:tcPr>
            <w:tcW w:w="240" w:type="dxa"/>
            <w:vAlign w:val="bottom"/>
            <w:tcBorders>
              <w:right w:val="single" w:sz="8" w:color="CCEEFF"/>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76"/>
        </w:trPr>
        <w:tc>
          <w:tcPr>
            <w:tcW w:w="3320" w:type="dxa"/>
            <w:vAlign w:val="bottom"/>
            <w:gridSpan w:val="6"/>
          </w:tcPr>
          <w:p>
            <w:pPr>
              <w:spacing w:after="0" w:line="76" w:lineRule="exact"/>
              <w:rPr>
                <w:sz w:val="20"/>
                <w:szCs w:val="20"/>
                <w:color w:val="auto"/>
              </w:rPr>
            </w:pPr>
            <w:r>
              <w:rPr>
                <w:rFonts w:ascii="Times New Roman" w:cs="Times New Roman" w:eastAsia="Times New Roman" w:hAnsi="Times New Roman"/>
                <w:sz w:val="8"/>
                <w:szCs w:val="8"/>
                <w:b w:val="1"/>
                <w:bCs w:val="1"/>
                <w:color w:val="auto"/>
              </w:rPr>
              <w:t>Europe</w:t>
            </w: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20"/>
        </w:trPr>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75"/>
        </w:trPr>
        <w:tc>
          <w:tcPr>
            <w:tcW w:w="3320" w:type="dxa"/>
            <w:vAlign w:val="bottom"/>
            <w:gridSpan w:val="6"/>
            <w:shd w:val="clear" w:color="auto" w:fill="CCEEFF"/>
          </w:tcPr>
          <w:p>
            <w:pPr>
              <w:spacing w:after="0" w:line="75" w:lineRule="exact"/>
              <w:rPr>
                <w:sz w:val="20"/>
                <w:szCs w:val="20"/>
                <w:color w:val="auto"/>
              </w:rPr>
            </w:pPr>
            <w:r>
              <w:rPr>
                <w:rFonts w:ascii="Times New Roman" w:cs="Times New Roman" w:eastAsia="Times New Roman" w:hAnsi="Times New Roman"/>
                <w:sz w:val="8"/>
                <w:szCs w:val="8"/>
                <w:color w:val="auto"/>
              </w:rPr>
              <w:t>London, England</w:t>
            </w:r>
          </w:p>
        </w:tc>
        <w:tc>
          <w:tcPr>
            <w:tcW w:w="122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19</w:t>
            </w: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color w:val="auto"/>
              </w:rPr>
              <w:t>1,715,719</w:t>
            </w:r>
          </w:p>
        </w:tc>
        <w:tc>
          <w:tcPr>
            <w:tcW w:w="240" w:type="dxa"/>
            <w:vAlign w:val="bottom"/>
            <w:shd w:val="clear" w:color="auto" w:fill="CCEEFF"/>
          </w:tcPr>
          <w:p>
            <w:pPr>
              <w:spacing w:after="0"/>
              <w:rPr>
                <w:sz w:val="6"/>
                <w:szCs w:val="6"/>
                <w:color w:val="auto"/>
              </w:rPr>
            </w:pPr>
          </w:p>
        </w:tc>
        <w:tc>
          <w:tcPr>
            <w:tcW w:w="1480" w:type="dxa"/>
            <w:vAlign w:val="bottom"/>
            <w:gridSpan w:val="2"/>
            <w:shd w:val="clear" w:color="auto" w:fill="CCEEFF"/>
          </w:tcPr>
          <w:p>
            <w:pPr>
              <w:jc w:val="right"/>
              <w:ind w:right="280"/>
              <w:spacing w:after="0" w:line="75"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color w:val="auto"/>
              </w:rPr>
              <w:t>161,136</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Frankfurt, Germany</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21</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1,627,677</w:t>
            </w:r>
          </w:p>
        </w:tc>
        <w:tc>
          <w:tcPr>
            <w:tcW w:w="240" w:type="dxa"/>
            <w:vAlign w:val="bottom"/>
          </w:tcPr>
          <w:p>
            <w:pPr>
              <w:spacing w:after="0"/>
              <w:rPr>
                <w:sz w:val="7"/>
                <w:szCs w:val="7"/>
                <w:color w:val="auto"/>
              </w:rPr>
            </w:pP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357,733</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Amsterdam, Netherlands</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17</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1,442,910</w:t>
            </w:r>
          </w:p>
        </w:tc>
        <w:tc>
          <w:tcPr>
            <w:tcW w:w="240" w:type="dxa"/>
            <w:vAlign w:val="bottom"/>
            <w:shd w:val="clear" w:color="auto" w:fill="CCEEFF"/>
          </w:tcPr>
          <w:p>
            <w:pPr>
              <w:spacing w:after="0"/>
              <w:rPr>
                <w:sz w:val="7"/>
                <w:szCs w:val="7"/>
                <w:color w:val="auto"/>
              </w:rPr>
            </w:pP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48,490</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95,262</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Paris, France</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12</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658,681</w:t>
            </w:r>
          </w:p>
        </w:tc>
        <w:tc>
          <w:tcPr>
            <w:tcW w:w="240" w:type="dxa"/>
            <w:vAlign w:val="bottom"/>
          </w:tcPr>
          <w:p>
            <w:pPr>
              <w:spacing w:after="0"/>
              <w:rPr>
                <w:sz w:val="7"/>
                <w:szCs w:val="7"/>
                <w:color w:val="auto"/>
              </w:rPr>
            </w:pP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376,162</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Vienna, Austria</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359,809</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Dublin, Ireland</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8</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380,739</w:t>
            </w:r>
          </w:p>
        </w:tc>
        <w:tc>
          <w:tcPr>
            <w:tcW w:w="240" w:type="dxa"/>
            <w:vAlign w:val="bottom"/>
          </w:tcPr>
          <w:p>
            <w:pPr>
              <w:spacing w:after="0"/>
              <w:rPr>
                <w:sz w:val="7"/>
                <w:szCs w:val="7"/>
                <w:color w:val="auto"/>
              </w:rPr>
            </w:pP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94,005</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Marseille, France</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4</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278,617</w:t>
            </w:r>
          </w:p>
        </w:tc>
        <w:tc>
          <w:tcPr>
            <w:tcW w:w="240" w:type="dxa"/>
            <w:vAlign w:val="bottom"/>
            <w:shd w:val="clear" w:color="auto" w:fill="CCEEFF"/>
          </w:tcPr>
          <w:p>
            <w:pPr>
              <w:spacing w:after="0"/>
              <w:rPr>
                <w:sz w:val="7"/>
                <w:szCs w:val="7"/>
                <w:color w:val="auto"/>
              </w:rPr>
            </w:pP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161,449</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Madrid, Spain</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3</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222,047</w:t>
            </w:r>
          </w:p>
        </w:tc>
        <w:tc>
          <w:tcPr>
            <w:tcW w:w="240" w:type="dxa"/>
            <w:vAlign w:val="bottom"/>
          </w:tcPr>
          <w:p>
            <w:pPr>
              <w:spacing w:after="0"/>
              <w:rPr>
                <w:sz w:val="7"/>
                <w:szCs w:val="7"/>
                <w:color w:val="auto"/>
              </w:rPr>
            </w:pPr>
          </w:p>
        </w:tc>
        <w:tc>
          <w:tcPr>
            <w:tcW w:w="1480" w:type="dxa"/>
            <w:vAlign w:val="bottom"/>
            <w:gridSpan w:val="2"/>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Zurich, Switzerland</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229,388</w:t>
            </w:r>
          </w:p>
        </w:tc>
        <w:tc>
          <w:tcPr>
            <w:tcW w:w="240" w:type="dxa"/>
            <w:vAlign w:val="bottom"/>
            <w:shd w:val="clear" w:color="auto" w:fill="CCEEFF"/>
          </w:tcPr>
          <w:p>
            <w:pPr>
              <w:spacing w:after="0"/>
              <w:rPr>
                <w:sz w:val="7"/>
                <w:szCs w:val="7"/>
                <w:color w:val="auto"/>
              </w:rPr>
            </w:pP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315,197</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Brussels, Belgium</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132,501</w:t>
            </w:r>
          </w:p>
        </w:tc>
        <w:tc>
          <w:tcPr>
            <w:tcW w:w="240" w:type="dxa"/>
            <w:vAlign w:val="bottom"/>
          </w:tcPr>
          <w:p>
            <w:pPr>
              <w:spacing w:after="0"/>
              <w:rPr>
                <w:sz w:val="7"/>
                <w:szCs w:val="7"/>
                <w:color w:val="auto"/>
              </w:rPr>
            </w:pPr>
          </w:p>
        </w:tc>
        <w:tc>
          <w:tcPr>
            <w:tcW w:w="1480" w:type="dxa"/>
            <w:vAlign w:val="bottom"/>
            <w:gridSpan w:val="2"/>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Stockholm, Sweden</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6</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164,421</w:t>
            </w:r>
          </w:p>
        </w:tc>
        <w:tc>
          <w:tcPr>
            <w:tcW w:w="240" w:type="dxa"/>
            <w:vAlign w:val="bottom"/>
            <w:shd w:val="clear" w:color="auto" w:fill="CCEEFF"/>
          </w:tcPr>
          <w:p>
            <w:pPr>
              <w:spacing w:after="0"/>
              <w:rPr>
                <w:sz w:val="7"/>
                <w:szCs w:val="7"/>
                <w:color w:val="auto"/>
              </w:rPr>
            </w:pP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89,276</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Copenhagen, Denmark</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3</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164,489</w:t>
            </w:r>
          </w:p>
        </w:tc>
        <w:tc>
          <w:tcPr>
            <w:tcW w:w="240" w:type="dxa"/>
            <w:vAlign w:val="bottom"/>
          </w:tcPr>
          <w:p>
            <w:pPr>
              <w:spacing w:after="0"/>
              <w:rPr>
                <w:sz w:val="7"/>
                <w:szCs w:val="7"/>
                <w:color w:val="auto"/>
              </w:rPr>
            </w:pP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61,342</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Dusseldorf, Germany</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105,523</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Athens, Greece</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55,167</w:t>
            </w:r>
          </w:p>
        </w:tc>
        <w:tc>
          <w:tcPr>
            <w:tcW w:w="240" w:type="dxa"/>
            <w:vAlign w:val="bottom"/>
          </w:tcPr>
          <w:p>
            <w:pPr>
              <w:spacing w:after="0"/>
              <w:rPr>
                <w:sz w:val="7"/>
                <w:szCs w:val="7"/>
                <w:color w:val="auto"/>
              </w:rPr>
            </w:pPr>
          </w:p>
        </w:tc>
        <w:tc>
          <w:tcPr>
            <w:tcW w:w="1480" w:type="dxa"/>
            <w:vAlign w:val="bottom"/>
            <w:gridSpan w:val="2"/>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Zagreb, Croatia</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19,365</w:t>
            </w:r>
          </w:p>
        </w:tc>
        <w:tc>
          <w:tcPr>
            <w:tcW w:w="240" w:type="dxa"/>
            <w:vAlign w:val="bottom"/>
            <w:shd w:val="clear" w:color="auto" w:fill="CCEEFF"/>
          </w:tcPr>
          <w:p>
            <w:pPr>
              <w:spacing w:after="0"/>
              <w:rPr>
                <w:sz w:val="7"/>
                <w:szCs w:val="7"/>
                <w:color w:val="auto"/>
              </w:rPr>
            </w:pP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12,538</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Geneva, Switzerland</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59,190</w:t>
            </w:r>
          </w:p>
        </w:tc>
        <w:tc>
          <w:tcPr>
            <w:tcW w:w="240" w:type="dxa"/>
            <w:vAlign w:val="bottom"/>
          </w:tcPr>
          <w:p>
            <w:pPr>
              <w:spacing w:after="0"/>
              <w:rPr>
                <w:sz w:val="7"/>
                <w:szCs w:val="7"/>
                <w:color w:val="auto"/>
              </w:rPr>
            </w:pPr>
          </w:p>
        </w:tc>
        <w:tc>
          <w:tcPr>
            <w:tcW w:w="1480" w:type="dxa"/>
            <w:vAlign w:val="bottom"/>
            <w:gridSpan w:val="2"/>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Manchester, England</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38,016</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75"/>
        </w:trPr>
        <w:tc>
          <w:tcPr>
            <w:tcW w:w="3320" w:type="dxa"/>
            <w:vAlign w:val="bottom"/>
            <w:gridSpan w:val="6"/>
          </w:tcPr>
          <w:p>
            <w:pPr>
              <w:ind w:left="80"/>
              <w:spacing w:after="0" w:line="75" w:lineRule="exact"/>
              <w:rPr>
                <w:sz w:val="20"/>
                <w:szCs w:val="20"/>
                <w:color w:val="auto"/>
              </w:rPr>
            </w:pPr>
            <w:r>
              <w:rPr>
                <w:rFonts w:ascii="Times New Roman" w:cs="Times New Roman" w:eastAsia="Times New Roman" w:hAnsi="Times New Roman"/>
                <w:sz w:val="8"/>
                <w:szCs w:val="8"/>
                <w:b w:val="1"/>
                <w:bCs w:val="1"/>
                <w:color w:val="auto"/>
              </w:rPr>
              <w:t>Europe Total</w:t>
            </w:r>
          </w:p>
        </w:tc>
        <w:tc>
          <w:tcPr>
            <w:tcW w:w="1220" w:type="dxa"/>
            <w:vAlign w:val="bottom"/>
            <w:tcBorders>
              <w:top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107</w:t>
            </w:r>
          </w:p>
        </w:tc>
        <w:tc>
          <w:tcPr>
            <w:tcW w:w="260" w:type="dxa"/>
            <w:vAlign w:val="bottom"/>
          </w:tcPr>
          <w:p>
            <w:pPr>
              <w:spacing w:after="0"/>
              <w:rPr>
                <w:sz w:val="6"/>
                <w:szCs w:val="6"/>
                <w:color w:val="auto"/>
              </w:rPr>
            </w:pPr>
          </w:p>
        </w:tc>
        <w:tc>
          <w:tcPr>
            <w:tcW w:w="1220" w:type="dxa"/>
            <w:vAlign w:val="bottom"/>
            <w:tcBorders>
              <w:top w:val="single" w:sz="8" w:color="auto"/>
            </w:tcBorders>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7,654,259</w:t>
            </w:r>
          </w:p>
        </w:tc>
        <w:tc>
          <w:tcPr>
            <w:tcW w:w="240" w:type="dxa"/>
            <w:vAlign w:val="bottom"/>
          </w:tcPr>
          <w:p>
            <w:pPr>
              <w:spacing w:after="0"/>
              <w:rPr>
                <w:sz w:val="6"/>
                <w:szCs w:val="6"/>
                <w:color w:val="auto"/>
              </w:rPr>
            </w:pPr>
          </w:p>
        </w:tc>
        <w:tc>
          <w:tcPr>
            <w:tcW w:w="1220" w:type="dxa"/>
            <w:vAlign w:val="bottom"/>
            <w:tcBorders>
              <w:top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1,516,192</w:t>
            </w:r>
          </w:p>
        </w:tc>
        <w:tc>
          <w:tcPr>
            <w:tcW w:w="260" w:type="dxa"/>
            <w:vAlign w:val="bottom"/>
          </w:tcPr>
          <w:p>
            <w:pPr>
              <w:spacing w:after="0"/>
              <w:rPr>
                <w:sz w:val="6"/>
                <w:szCs w:val="6"/>
                <w:color w:val="auto"/>
              </w:rPr>
            </w:pPr>
          </w:p>
        </w:tc>
        <w:tc>
          <w:tcPr>
            <w:tcW w:w="1220" w:type="dxa"/>
            <w:vAlign w:val="bottom"/>
            <w:tcBorders>
              <w:top w:val="single" w:sz="8" w:color="auto"/>
            </w:tcBorders>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256,398</w:t>
            </w:r>
          </w:p>
        </w:tc>
      </w:tr>
      <w:tr>
        <w:trPr>
          <w:trHeight w:val="85"/>
        </w:trPr>
        <w:tc>
          <w:tcPr>
            <w:tcW w:w="240" w:type="dxa"/>
            <w:vAlign w:val="bottom"/>
            <w:tcBorders>
              <w:right w:val="single" w:sz="8" w:color="CCEEFF"/>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76"/>
        </w:trPr>
        <w:tc>
          <w:tcPr>
            <w:tcW w:w="3320" w:type="dxa"/>
            <w:vAlign w:val="bottom"/>
            <w:gridSpan w:val="6"/>
          </w:tcPr>
          <w:p>
            <w:pPr>
              <w:spacing w:after="0" w:line="76" w:lineRule="exact"/>
              <w:rPr>
                <w:sz w:val="20"/>
                <w:szCs w:val="20"/>
                <w:color w:val="auto"/>
              </w:rPr>
            </w:pPr>
            <w:r>
              <w:rPr>
                <w:rFonts w:ascii="Times New Roman" w:cs="Times New Roman" w:eastAsia="Times New Roman" w:hAnsi="Times New Roman"/>
                <w:sz w:val="8"/>
                <w:szCs w:val="8"/>
                <w:b w:val="1"/>
                <w:bCs w:val="1"/>
                <w:color w:val="auto"/>
              </w:rPr>
              <w:t>Asia Pacific</w:t>
            </w: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75"/>
        </w:trPr>
        <w:tc>
          <w:tcPr>
            <w:tcW w:w="380" w:type="dxa"/>
            <w:vAlign w:val="bottom"/>
            <w:tcBorders>
              <w:top w:val="single" w:sz="8" w:color="auto"/>
            </w:tcBorders>
            <w:gridSpan w:val="2"/>
            <w:shd w:val="clear" w:color="auto" w:fill="CCEEFF"/>
          </w:tcPr>
          <w:p>
            <w:pPr>
              <w:spacing w:after="0" w:line="75" w:lineRule="exact"/>
              <w:rPr>
                <w:sz w:val="20"/>
                <w:szCs w:val="20"/>
                <w:color w:val="auto"/>
              </w:rPr>
            </w:pPr>
            <w:r>
              <w:rPr>
                <w:rFonts w:ascii="Times New Roman" w:cs="Times New Roman" w:eastAsia="Times New Roman" w:hAnsi="Times New Roman"/>
                <w:sz w:val="8"/>
                <w:szCs w:val="8"/>
                <w:color w:val="auto"/>
              </w:rPr>
              <w:t>Singapore</w:t>
            </w:r>
          </w:p>
        </w:tc>
        <w:tc>
          <w:tcPr>
            <w:tcW w:w="2940" w:type="dxa"/>
            <w:vAlign w:val="bottom"/>
            <w:gridSpan w:val="4"/>
            <w:shd w:val="clear" w:color="auto" w:fill="CCEEFF"/>
          </w:tcPr>
          <w:p>
            <w:pPr>
              <w:spacing w:after="0"/>
              <w:rPr>
                <w:sz w:val="6"/>
                <w:szCs w:val="6"/>
                <w:color w:val="auto"/>
              </w:rPr>
            </w:pPr>
          </w:p>
        </w:tc>
        <w:tc>
          <w:tcPr>
            <w:tcW w:w="122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3</w:t>
            </w: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color w:val="auto"/>
              </w:rPr>
              <w:t>540,638</w:t>
            </w: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344,826</w:t>
            </w: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Sydney, Australia</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4</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226,697</w:t>
            </w:r>
          </w:p>
        </w:tc>
        <w:tc>
          <w:tcPr>
            <w:tcW w:w="240" w:type="dxa"/>
            <w:vAlign w:val="bottom"/>
          </w:tcPr>
          <w:p>
            <w:pPr>
              <w:spacing w:after="0"/>
              <w:rPr>
                <w:sz w:val="7"/>
                <w:szCs w:val="7"/>
                <w:color w:val="auto"/>
              </w:rPr>
            </w:pP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222,838</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Melbourne, Australia</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146,570</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Tokyo, Japan</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w:t>
            </w:r>
          </w:p>
        </w:tc>
        <w:tc>
          <w:tcPr>
            <w:tcW w:w="260" w:type="dxa"/>
            <w:vAlign w:val="bottom"/>
          </w:tcPr>
          <w:p>
            <w:pPr>
              <w:spacing w:after="0"/>
              <w:rPr>
                <w:sz w:val="7"/>
                <w:szCs w:val="7"/>
                <w:color w:val="auto"/>
              </w:rPr>
            </w:pPr>
          </w:p>
        </w:tc>
        <w:tc>
          <w:tcPr>
            <w:tcW w:w="1460" w:type="dxa"/>
            <w:vAlign w:val="bottom"/>
            <w:gridSpan w:val="2"/>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406,664</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Osaka, Japan</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w:t>
            </w:r>
          </w:p>
        </w:tc>
        <w:tc>
          <w:tcPr>
            <w:tcW w:w="260" w:type="dxa"/>
            <w:vAlign w:val="bottom"/>
            <w:shd w:val="clear" w:color="auto" w:fill="CCEEFF"/>
          </w:tcPr>
          <w:p>
            <w:pPr>
              <w:spacing w:after="0"/>
              <w:rPr>
                <w:sz w:val="7"/>
                <w:szCs w:val="7"/>
                <w:color w:val="auto"/>
              </w:rPr>
            </w:pPr>
          </w:p>
        </w:tc>
        <w:tc>
          <w:tcPr>
            <w:tcW w:w="146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193,535</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Seoul, South Korea</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w:t>
            </w:r>
          </w:p>
        </w:tc>
        <w:tc>
          <w:tcPr>
            <w:tcW w:w="260" w:type="dxa"/>
            <w:vAlign w:val="bottom"/>
          </w:tcPr>
          <w:p>
            <w:pPr>
              <w:spacing w:after="0"/>
              <w:rPr>
                <w:sz w:val="7"/>
                <w:szCs w:val="7"/>
                <w:color w:val="auto"/>
              </w:rPr>
            </w:pPr>
          </w:p>
        </w:tc>
        <w:tc>
          <w:tcPr>
            <w:tcW w:w="1460" w:type="dxa"/>
            <w:vAlign w:val="bottom"/>
            <w:gridSpan w:val="2"/>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162,260</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Hong Kong</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w:t>
            </w:r>
          </w:p>
        </w:tc>
        <w:tc>
          <w:tcPr>
            <w:tcW w:w="260" w:type="dxa"/>
            <w:vAlign w:val="bottom"/>
            <w:shd w:val="clear" w:color="auto" w:fill="CCEEFF"/>
          </w:tcPr>
          <w:p>
            <w:pPr>
              <w:spacing w:after="0"/>
              <w:rPr>
                <w:sz w:val="7"/>
                <w:szCs w:val="7"/>
                <w:color w:val="auto"/>
              </w:rPr>
            </w:pPr>
          </w:p>
        </w:tc>
        <w:tc>
          <w:tcPr>
            <w:tcW w:w="146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284,751</w:t>
            </w:r>
          </w:p>
        </w:tc>
      </w:tr>
      <w:tr>
        <w:trPr>
          <w:trHeight w:val="75"/>
        </w:trPr>
        <w:tc>
          <w:tcPr>
            <w:tcW w:w="3320" w:type="dxa"/>
            <w:vAlign w:val="bottom"/>
            <w:gridSpan w:val="6"/>
          </w:tcPr>
          <w:p>
            <w:pPr>
              <w:ind w:left="80"/>
              <w:spacing w:after="0" w:line="75" w:lineRule="exact"/>
              <w:rPr>
                <w:sz w:val="20"/>
                <w:szCs w:val="20"/>
                <w:color w:val="auto"/>
              </w:rPr>
            </w:pPr>
            <w:r>
              <w:rPr>
                <w:rFonts w:ascii="Times New Roman" w:cs="Times New Roman" w:eastAsia="Times New Roman" w:hAnsi="Times New Roman"/>
                <w:sz w:val="8"/>
                <w:szCs w:val="8"/>
                <w:b w:val="1"/>
                <w:bCs w:val="1"/>
                <w:color w:val="auto"/>
              </w:rPr>
              <w:t>Asia Pacific Total</w:t>
            </w:r>
          </w:p>
        </w:tc>
        <w:tc>
          <w:tcPr>
            <w:tcW w:w="1220" w:type="dxa"/>
            <w:vAlign w:val="bottom"/>
            <w:tcBorders>
              <w:top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13</w:t>
            </w:r>
          </w:p>
        </w:tc>
        <w:tc>
          <w:tcPr>
            <w:tcW w:w="260" w:type="dxa"/>
            <w:vAlign w:val="bottom"/>
          </w:tcPr>
          <w:p>
            <w:pPr>
              <w:spacing w:after="0"/>
              <w:rPr>
                <w:sz w:val="6"/>
                <w:szCs w:val="6"/>
                <w:color w:val="auto"/>
              </w:rPr>
            </w:pPr>
          </w:p>
        </w:tc>
        <w:tc>
          <w:tcPr>
            <w:tcW w:w="1220" w:type="dxa"/>
            <w:vAlign w:val="bottom"/>
            <w:tcBorders>
              <w:top w:val="single" w:sz="8" w:color="auto"/>
            </w:tcBorders>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913,905</w:t>
            </w:r>
          </w:p>
        </w:tc>
        <w:tc>
          <w:tcPr>
            <w:tcW w:w="240" w:type="dxa"/>
            <w:vAlign w:val="bottom"/>
          </w:tcPr>
          <w:p>
            <w:pPr>
              <w:spacing w:after="0"/>
              <w:rPr>
                <w:sz w:val="6"/>
                <w:szCs w:val="6"/>
                <w:color w:val="auto"/>
              </w:rPr>
            </w:pPr>
          </w:p>
        </w:tc>
        <w:tc>
          <w:tcPr>
            <w:tcW w:w="1220" w:type="dxa"/>
            <w:vAlign w:val="bottom"/>
            <w:tcBorders>
              <w:top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1,330,123</w:t>
            </w:r>
          </w:p>
        </w:tc>
        <w:tc>
          <w:tcPr>
            <w:tcW w:w="260" w:type="dxa"/>
            <w:vAlign w:val="bottom"/>
          </w:tcPr>
          <w:p>
            <w:pPr>
              <w:spacing w:after="0"/>
              <w:rPr>
                <w:sz w:val="6"/>
                <w:szCs w:val="6"/>
                <w:color w:val="auto"/>
              </w:rPr>
            </w:pPr>
          </w:p>
        </w:tc>
        <w:tc>
          <w:tcPr>
            <w:tcW w:w="1220" w:type="dxa"/>
            <w:vAlign w:val="bottom"/>
            <w:tcBorders>
              <w:top w:val="single" w:sz="8" w:color="auto"/>
            </w:tcBorders>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284,751</w:t>
            </w:r>
          </w:p>
        </w:tc>
      </w:tr>
      <w:tr>
        <w:trPr>
          <w:trHeight w:val="85"/>
        </w:trPr>
        <w:tc>
          <w:tcPr>
            <w:tcW w:w="240" w:type="dxa"/>
            <w:vAlign w:val="bottom"/>
            <w:tcBorders>
              <w:right w:val="single" w:sz="8" w:color="CCEEFF"/>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76"/>
        </w:trPr>
        <w:tc>
          <w:tcPr>
            <w:tcW w:w="240" w:type="dxa"/>
            <w:vAlign w:val="bottom"/>
            <w:tcBorders>
              <w:bottom w:val="single" w:sz="8" w:color="auto"/>
            </w:tcBorders>
          </w:tcPr>
          <w:p>
            <w:pPr>
              <w:spacing w:after="0" w:line="76" w:lineRule="exact"/>
              <w:rPr>
                <w:sz w:val="20"/>
                <w:szCs w:val="20"/>
                <w:color w:val="auto"/>
              </w:rPr>
            </w:pPr>
            <w:r>
              <w:rPr>
                <w:rFonts w:ascii="Times New Roman" w:cs="Times New Roman" w:eastAsia="Times New Roman" w:hAnsi="Times New Roman"/>
                <w:sz w:val="8"/>
                <w:szCs w:val="8"/>
                <w:b w:val="1"/>
                <w:bCs w:val="1"/>
                <w:color w:val="auto"/>
                <w:w w:val="91"/>
              </w:rPr>
              <w:t>Africa</w:t>
            </w:r>
          </w:p>
        </w:tc>
        <w:tc>
          <w:tcPr>
            <w:tcW w:w="3080" w:type="dxa"/>
            <w:vAlign w:val="bottom"/>
            <w:gridSpan w:val="5"/>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75"/>
        </w:trPr>
        <w:tc>
          <w:tcPr>
            <w:tcW w:w="3320" w:type="dxa"/>
            <w:vAlign w:val="bottom"/>
            <w:gridSpan w:val="6"/>
            <w:shd w:val="clear" w:color="auto" w:fill="CCEEFF"/>
          </w:tcPr>
          <w:p>
            <w:pPr>
              <w:spacing w:after="0" w:line="75" w:lineRule="exact"/>
              <w:rPr>
                <w:sz w:val="20"/>
                <w:szCs w:val="20"/>
                <w:color w:val="auto"/>
              </w:rPr>
            </w:pPr>
            <w:r>
              <w:rPr>
                <w:rFonts w:ascii="Times New Roman" w:cs="Times New Roman" w:eastAsia="Times New Roman" w:hAnsi="Times New Roman"/>
                <w:sz w:val="8"/>
                <w:szCs w:val="8"/>
                <w:color w:val="auto"/>
              </w:rPr>
              <w:t>Nairobi, Kenya</w:t>
            </w:r>
          </w:p>
        </w:tc>
        <w:tc>
          <w:tcPr>
            <w:tcW w:w="122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1</w:t>
            </w: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color w:val="auto"/>
              </w:rPr>
              <w:t>15,710</w:t>
            </w:r>
          </w:p>
        </w:tc>
        <w:tc>
          <w:tcPr>
            <w:tcW w:w="240" w:type="dxa"/>
            <w:vAlign w:val="bottom"/>
            <w:shd w:val="clear" w:color="auto" w:fill="CCEEFF"/>
          </w:tcPr>
          <w:p>
            <w:pPr>
              <w:spacing w:after="0"/>
              <w:rPr>
                <w:sz w:val="6"/>
                <w:szCs w:val="6"/>
                <w:color w:val="auto"/>
              </w:rPr>
            </w:pPr>
          </w:p>
        </w:tc>
        <w:tc>
          <w:tcPr>
            <w:tcW w:w="1480" w:type="dxa"/>
            <w:vAlign w:val="bottom"/>
            <w:gridSpan w:val="2"/>
            <w:shd w:val="clear" w:color="auto" w:fill="CCEEFF"/>
          </w:tcPr>
          <w:p>
            <w:pPr>
              <w:jc w:val="right"/>
              <w:ind w:right="280"/>
              <w:spacing w:after="0" w:line="75"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tcBorders>
              <w:bottom w:val="single" w:sz="8" w:color="CCEEFF"/>
            </w:tcBorders>
            <w:gridSpan w:val="6"/>
          </w:tcPr>
          <w:p>
            <w:pPr>
              <w:spacing w:after="0" w:line="86" w:lineRule="exact"/>
              <w:rPr>
                <w:sz w:val="20"/>
                <w:szCs w:val="20"/>
                <w:color w:val="auto"/>
              </w:rPr>
            </w:pPr>
            <w:r>
              <w:rPr>
                <w:rFonts w:ascii="Times New Roman" w:cs="Times New Roman" w:eastAsia="Times New Roman" w:hAnsi="Times New Roman"/>
                <w:sz w:val="8"/>
                <w:szCs w:val="8"/>
                <w:color w:val="auto"/>
              </w:rPr>
              <w:t>Mombasa, Kenya</w:t>
            </w:r>
          </w:p>
        </w:tc>
        <w:tc>
          <w:tcPr>
            <w:tcW w:w="122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2</w:t>
            </w:r>
          </w:p>
        </w:tc>
        <w:tc>
          <w:tcPr>
            <w:tcW w:w="260" w:type="dxa"/>
            <w:vAlign w:val="bottom"/>
            <w:tcBorders>
              <w:bottom w:val="single" w:sz="8" w:color="CCEEFF"/>
            </w:tcBorders>
          </w:tcPr>
          <w:p>
            <w:pPr>
              <w:spacing w:after="0"/>
              <w:rPr>
                <w:sz w:val="7"/>
                <w:szCs w:val="7"/>
                <w:color w:val="auto"/>
              </w:rPr>
            </w:pPr>
          </w:p>
        </w:tc>
        <w:tc>
          <w:tcPr>
            <w:tcW w:w="1220" w:type="dxa"/>
            <w:vAlign w:val="bottom"/>
            <w:tcBorders>
              <w:bottom w:val="single" w:sz="8" w:color="auto"/>
            </w:tcBorders>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9,590</w:t>
            </w:r>
          </w:p>
        </w:tc>
        <w:tc>
          <w:tcPr>
            <w:tcW w:w="240" w:type="dxa"/>
            <w:vAlign w:val="bottom"/>
            <w:tcBorders>
              <w:bottom w:val="single" w:sz="8" w:color="CCEEFF"/>
            </w:tcBorders>
          </w:tcPr>
          <w:p>
            <w:pPr>
              <w:spacing w:after="0"/>
              <w:rPr>
                <w:sz w:val="7"/>
                <w:szCs w:val="7"/>
                <w:color w:val="auto"/>
              </w:rPr>
            </w:pPr>
          </w:p>
        </w:tc>
        <w:tc>
          <w:tcPr>
            <w:tcW w:w="122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37,025</w:t>
            </w:r>
          </w:p>
        </w:tc>
        <w:tc>
          <w:tcPr>
            <w:tcW w:w="260" w:type="dxa"/>
            <w:vAlign w:val="bottom"/>
            <w:tcBorders>
              <w:bottom w:val="single" w:sz="8" w:color="CCEEFF"/>
            </w:tcBorders>
          </w:tcPr>
          <w:p>
            <w:pPr>
              <w:spacing w:after="0"/>
              <w:rPr>
                <w:sz w:val="7"/>
                <w:szCs w:val="7"/>
                <w:color w:val="auto"/>
              </w:rPr>
            </w:pPr>
          </w:p>
        </w:tc>
        <w:tc>
          <w:tcPr>
            <w:tcW w:w="1220" w:type="dxa"/>
            <w:vAlign w:val="bottom"/>
            <w:tcBorders>
              <w:bottom w:val="single" w:sz="8" w:color="auto"/>
            </w:tcBorders>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75"/>
        </w:trPr>
        <w:tc>
          <w:tcPr>
            <w:tcW w:w="3320" w:type="dxa"/>
            <w:vAlign w:val="bottom"/>
            <w:gridSpan w:val="6"/>
            <w:shd w:val="clear" w:color="auto" w:fill="CCEEFF"/>
          </w:tcPr>
          <w:p>
            <w:pPr>
              <w:ind w:left="80"/>
              <w:spacing w:after="0" w:line="75" w:lineRule="exact"/>
              <w:rPr>
                <w:sz w:val="20"/>
                <w:szCs w:val="20"/>
                <w:color w:val="auto"/>
              </w:rPr>
            </w:pPr>
            <w:r>
              <w:rPr>
                <w:rFonts w:ascii="Times New Roman" w:cs="Times New Roman" w:eastAsia="Times New Roman" w:hAnsi="Times New Roman"/>
                <w:sz w:val="8"/>
                <w:szCs w:val="8"/>
                <w:b w:val="1"/>
                <w:bCs w:val="1"/>
                <w:color w:val="auto"/>
              </w:rPr>
              <w:t>Africa Total</w:t>
            </w:r>
          </w:p>
        </w:tc>
        <w:tc>
          <w:tcPr>
            <w:tcW w:w="122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3</w:t>
            </w: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25,300</w:t>
            </w: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37,025</w:t>
            </w: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w:t>
            </w:r>
          </w:p>
        </w:tc>
      </w:tr>
      <w:tr>
        <w:trPr>
          <w:trHeight w:val="85"/>
        </w:trPr>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b w:val="1"/>
                <w:bCs w:val="1"/>
                <w:color w:val="auto"/>
              </w:rPr>
              <w:t>Non-Data Center Properties</w:t>
            </w: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b w:val="1"/>
                <w:bCs w:val="1"/>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b w:val="1"/>
                <w:bCs w:val="1"/>
                <w:color w:val="auto"/>
              </w:rPr>
              <w:t>263,668</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b w:val="1"/>
                <w:bCs w:val="1"/>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b w:val="1"/>
                <w:bCs w:val="1"/>
                <w:color w:val="auto"/>
              </w:rPr>
              <w:t>—</w:t>
            </w:r>
          </w:p>
        </w:tc>
      </w:tr>
      <w:tr>
        <w:trPr>
          <w:trHeight w:val="85"/>
        </w:trPr>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76"/>
        </w:trPr>
        <w:tc>
          <w:tcPr>
            <w:tcW w:w="1320" w:type="dxa"/>
            <w:vAlign w:val="bottom"/>
            <w:tcBorders>
              <w:bottom w:val="single" w:sz="8" w:color="auto"/>
            </w:tcBorders>
            <w:gridSpan w:val="4"/>
            <w:shd w:val="clear" w:color="auto" w:fill="CCEEFF"/>
          </w:tcPr>
          <w:p>
            <w:pPr>
              <w:spacing w:after="0" w:line="76" w:lineRule="exact"/>
              <w:rPr>
                <w:sz w:val="20"/>
                <w:szCs w:val="20"/>
                <w:color w:val="auto"/>
              </w:rPr>
            </w:pPr>
            <w:r>
              <w:rPr>
                <w:rFonts w:ascii="Times New Roman" w:cs="Times New Roman" w:eastAsia="Times New Roman" w:hAnsi="Times New Roman"/>
                <w:sz w:val="8"/>
                <w:szCs w:val="8"/>
                <w:b w:val="1"/>
                <w:bCs w:val="1"/>
                <w:color w:val="auto"/>
                <w:w w:val="93"/>
              </w:rPr>
              <w:t>Managed Unconsolidated Joint Ventures</w:t>
            </w:r>
          </w:p>
        </w:tc>
        <w:tc>
          <w:tcPr>
            <w:tcW w:w="2000" w:type="dxa"/>
            <w:vAlign w:val="bottom"/>
            <w:tcBorders>
              <w:bottom w:val="single" w:sz="8" w:color="CCEEFF"/>
            </w:tcBorders>
            <w:gridSpan w:val="2"/>
            <w:shd w:val="clear" w:color="auto" w:fill="CCEEFF"/>
          </w:tcPr>
          <w:p>
            <w:pPr>
              <w:spacing w:after="0"/>
              <w:rPr>
                <w:sz w:val="6"/>
                <w:szCs w:val="6"/>
                <w:color w:val="auto"/>
              </w:rPr>
            </w:pPr>
          </w:p>
        </w:tc>
        <w:tc>
          <w:tcPr>
            <w:tcW w:w="122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shd w:val="clear" w:color="auto" w:fill="CCEEFF"/>
          </w:tcPr>
          <w:p>
            <w:pPr>
              <w:spacing w:after="0"/>
              <w:rPr>
                <w:sz w:val="6"/>
                <w:szCs w:val="6"/>
                <w:color w:val="auto"/>
              </w:rPr>
            </w:pPr>
          </w:p>
        </w:tc>
      </w:tr>
      <w:tr>
        <w:trPr>
          <w:trHeight w:val="75"/>
        </w:trPr>
        <w:tc>
          <w:tcPr>
            <w:tcW w:w="3320" w:type="dxa"/>
            <w:vAlign w:val="bottom"/>
            <w:gridSpan w:val="6"/>
          </w:tcPr>
          <w:p>
            <w:pPr>
              <w:spacing w:after="0" w:line="75" w:lineRule="exact"/>
              <w:rPr>
                <w:sz w:val="20"/>
                <w:szCs w:val="20"/>
                <w:color w:val="auto"/>
              </w:rPr>
            </w:pPr>
            <w:r>
              <w:rPr>
                <w:rFonts w:ascii="Times New Roman" w:cs="Times New Roman" w:eastAsia="Times New Roman" w:hAnsi="Times New Roman"/>
                <w:sz w:val="8"/>
                <w:szCs w:val="8"/>
                <w:color w:val="auto"/>
              </w:rPr>
              <w:t>Northern Virginia</w:t>
            </w:r>
          </w:p>
        </w:tc>
        <w:tc>
          <w:tcPr>
            <w:tcW w:w="122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color w:val="auto"/>
              </w:rPr>
              <w:t>7</w:t>
            </w:r>
          </w:p>
        </w:tc>
        <w:tc>
          <w:tcPr>
            <w:tcW w:w="260" w:type="dxa"/>
            <w:vAlign w:val="bottom"/>
          </w:tcPr>
          <w:p>
            <w:pPr>
              <w:spacing w:after="0"/>
              <w:rPr>
                <w:sz w:val="6"/>
                <w:szCs w:val="6"/>
                <w:color w:val="auto"/>
              </w:rPr>
            </w:pPr>
          </w:p>
        </w:tc>
        <w:tc>
          <w:tcPr>
            <w:tcW w:w="1220" w:type="dxa"/>
            <w:vAlign w:val="bottom"/>
          </w:tcPr>
          <w:p>
            <w:pPr>
              <w:jc w:val="right"/>
              <w:ind w:right="2"/>
              <w:spacing w:after="0" w:line="75" w:lineRule="exact"/>
              <w:rPr>
                <w:sz w:val="20"/>
                <w:szCs w:val="20"/>
                <w:color w:val="auto"/>
              </w:rPr>
            </w:pPr>
            <w:r>
              <w:rPr>
                <w:rFonts w:ascii="Times New Roman" w:cs="Times New Roman" w:eastAsia="Times New Roman" w:hAnsi="Times New Roman"/>
                <w:sz w:val="8"/>
                <w:szCs w:val="8"/>
                <w:color w:val="auto"/>
              </w:rPr>
              <w:t>1,250,419</w:t>
            </w:r>
          </w:p>
        </w:tc>
        <w:tc>
          <w:tcPr>
            <w:tcW w:w="240" w:type="dxa"/>
            <w:vAlign w:val="bottom"/>
          </w:tcPr>
          <w:p>
            <w:pPr>
              <w:spacing w:after="0"/>
              <w:rPr>
                <w:sz w:val="6"/>
                <w:szCs w:val="6"/>
                <w:color w:val="auto"/>
              </w:rPr>
            </w:pPr>
          </w:p>
        </w:tc>
        <w:tc>
          <w:tcPr>
            <w:tcW w:w="1480" w:type="dxa"/>
            <w:vAlign w:val="bottom"/>
            <w:gridSpan w:val="2"/>
          </w:tcPr>
          <w:p>
            <w:pPr>
              <w:jc w:val="right"/>
              <w:ind w:right="280"/>
              <w:spacing w:after="0" w:line="75"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ind w:right="2"/>
              <w:spacing w:after="0" w:line="75"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Hong Kong</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186,300</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Silicon Valley</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4</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326,305</w:t>
            </w:r>
          </w:p>
        </w:tc>
        <w:tc>
          <w:tcPr>
            <w:tcW w:w="240" w:type="dxa"/>
            <w:vAlign w:val="bottom"/>
          </w:tcPr>
          <w:p>
            <w:pPr>
              <w:spacing w:after="0"/>
              <w:rPr>
                <w:sz w:val="7"/>
                <w:szCs w:val="7"/>
                <w:color w:val="auto"/>
              </w:rPr>
            </w:pPr>
          </w:p>
        </w:tc>
        <w:tc>
          <w:tcPr>
            <w:tcW w:w="1480" w:type="dxa"/>
            <w:vAlign w:val="bottom"/>
            <w:gridSpan w:val="2"/>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Dallas</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319,876</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New York</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108,336</w:t>
            </w:r>
          </w:p>
        </w:tc>
        <w:tc>
          <w:tcPr>
            <w:tcW w:w="240" w:type="dxa"/>
            <w:vAlign w:val="bottom"/>
          </w:tcPr>
          <w:p>
            <w:pPr>
              <w:spacing w:after="0"/>
              <w:rPr>
                <w:sz w:val="7"/>
                <w:szCs w:val="7"/>
                <w:color w:val="auto"/>
              </w:rPr>
            </w:pPr>
          </w:p>
        </w:tc>
        <w:tc>
          <w:tcPr>
            <w:tcW w:w="1480" w:type="dxa"/>
            <w:vAlign w:val="bottom"/>
            <w:gridSpan w:val="2"/>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75"/>
        </w:trPr>
        <w:tc>
          <w:tcPr>
            <w:tcW w:w="240" w:type="dxa"/>
            <w:vAlign w:val="bottom"/>
            <w:tcBorders>
              <w:top w:val="single" w:sz="8" w:color="CCEEFF"/>
              <w:right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16</w:t>
            </w:r>
          </w:p>
        </w:tc>
        <w:tc>
          <w:tcPr>
            <w:tcW w:w="26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2,191,236</w:t>
            </w: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w:t>
            </w:r>
          </w:p>
        </w:tc>
        <w:tc>
          <w:tcPr>
            <w:tcW w:w="26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w:t>
            </w:r>
          </w:p>
        </w:tc>
      </w:tr>
      <w:tr>
        <w:trPr>
          <w:trHeight w:val="85"/>
        </w:trPr>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76"/>
        </w:trPr>
        <w:tc>
          <w:tcPr>
            <w:tcW w:w="1480" w:type="dxa"/>
            <w:vAlign w:val="bottom"/>
            <w:tcBorders>
              <w:bottom w:val="single" w:sz="8" w:color="auto"/>
            </w:tcBorders>
            <w:gridSpan w:val="5"/>
            <w:shd w:val="clear" w:color="auto" w:fill="CCEEFF"/>
          </w:tcPr>
          <w:p>
            <w:pPr>
              <w:spacing w:after="0" w:line="76" w:lineRule="exact"/>
              <w:rPr>
                <w:sz w:val="20"/>
                <w:szCs w:val="20"/>
                <w:color w:val="auto"/>
              </w:rPr>
            </w:pPr>
            <w:r>
              <w:rPr>
                <w:rFonts w:ascii="Times New Roman" w:cs="Times New Roman" w:eastAsia="Times New Roman" w:hAnsi="Times New Roman"/>
                <w:sz w:val="8"/>
                <w:szCs w:val="8"/>
                <w:b w:val="1"/>
                <w:bCs w:val="1"/>
                <w:color w:val="auto"/>
                <w:w w:val="93"/>
              </w:rPr>
              <w:t>Non-Managed Unconsolidated Joint Ventures</w:t>
            </w:r>
          </w:p>
        </w:tc>
        <w:tc>
          <w:tcPr>
            <w:tcW w:w="184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shd w:val="clear" w:color="auto" w:fill="CCEEFF"/>
          </w:tcPr>
          <w:p>
            <w:pPr>
              <w:spacing w:after="0"/>
              <w:rPr>
                <w:sz w:val="6"/>
                <w:szCs w:val="6"/>
                <w:color w:val="auto"/>
              </w:rPr>
            </w:pPr>
          </w:p>
        </w:tc>
      </w:tr>
      <w:tr>
        <w:trPr>
          <w:trHeight w:val="75"/>
        </w:trPr>
        <w:tc>
          <w:tcPr>
            <w:tcW w:w="3320" w:type="dxa"/>
            <w:vAlign w:val="bottom"/>
            <w:gridSpan w:val="6"/>
          </w:tcPr>
          <w:p>
            <w:pPr>
              <w:spacing w:after="0" w:line="75" w:lineRule="exact"/>
              <w:rPr>
                <w:sz w:val="20"/>
                <w:szCs w:val="20"/>
                <w:color w:val="auto"/>
              </w:rPr>
            </w:pPr>
            <w:r>
              <w:rPr>
                <w:rFonts w:ascii="Times New Roman" w:cs="Times New Roman" w:eastAsia="Times New Roman" w:hAnsi="Times New Roman"/>
                <w:sz w:val="8"/>
                <w:szCs w:val="8"/>
                <w:color w:val="auto"/>
              </w:rPr>
              <w:t>Sao Paulo, Brazil</w:t>
            </w:r>
          </w:p>
        </w:tc>
        <w:tc>
          <w:tcPr>
            <w:tcW w:w="122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color w:val="auto"/>
              </w:rPr>
              <w:t>15</w:t>
            </w:r>
          </w:p>
        </w:tc>
        <w:tc>
          <w:tcPr>
            <w:tcW w:w="260" w:type="dxa"/>
            <w:vAlign w:val="bottom"/>
          </w:tcPr>
          <w:p>
            <w:pPr>
              <w:spacing w:after="0"/>
              <w:rPr>
                <w:sz w:val="6"/>
                <w:szCs w:val="6"/>
                <w:color w:val="auto"/>
              </w:rPr>
            </w:pPr>
          </w:p>
        </w:tc>
        <w:tc>
          <w:tcPr>
            <w:tcW w:w="1220" w:type="dxa"/>
            <w:vAlign w:val="bottom"/>
          </w:tcPr>
          <w:p>
            <w:pPr>
              <w:jc w:val="right"/>
              <w:ind w:right="2"/>
              <w:spacing w:after="0" w:line="75" w:lineRule="exact"/>
              <w:rPr>
                <w:sz w:val="20"/>
                <w:szCs w:val="20"/>
                <w:color w:val="auto"/>
              </w:rPr>
            </w:pPr>
            <w:r>
              <w:rPr>
                <w:rFonts w:ascii="Times New Roman" w:cs="Times New Roman" w:eastAsia="Times New Roman" w:hAnsi="Times New Roman"/>
                <w:sz w:val="8"/>
                <w:szCs w:val="8"/>
                <w:color w:val="auto"/>
              </w:rPr>
              <w:t>897,625</w:t>
            </w:r>
          </w:p>
        </w:tc>
        <w:tc>
          <w:tcPr>
            <w:tcW w:w="240" w:type="dxa"/>
            <w:vAlign w:val="bottom"/>
          </w:tcPr>
          <w:p>
            <w:pPr>
              <w:spacing w:after="0"/>
              <w:rPr>
                <w:sz w:val="6"/>
                <w:szCs w:val="6"/>
                <w:color w:val="auto"/>
              </w:rPr>
            </w:pPr>
          </w:p>
        </w:tc>
        <w:tc>
          <w:tcPr>
            <w:tcW w:w="122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color w:val="auto"/>
              </w:rPr>
              <w:t>254,264</w:t>
            </w:r>
          </w:p>
        </w:tc>
        <w:tc>
          <w:tcPr>
            <w:tcW w:w="260" w:type="dxa"/>
            <w:vAlign w:val="bottom"/>
          </w:tcPr>
          <w:p>
            <w:pPr>
              <w:spacing w:after="0"/>
              <w:rPr>
                <w:sz w:val="6"/>
                <w:szCs w:val="6"/>
                <w:color w:val="auto"/>
              </w:rPr>
            </w:pPr>
          </w:p>
        </w:tc>
        <w:tc>
          <w:tcPr>
            <w:tcW w:w="1220" w:type="dxa"/>
            <w:vAlign w:val="bottom"/>
          </w:tcPr>
          <w:p>
            <w:pPr>
              <w:jc w:val="right"/>
              <w:ind w:right="2"/>
              <w:spacing w:after="0" w:line="75" w:lineRule="exact"/>
              <w:rPr>
                <w:sz w:val="20"/>
                <w:szCs w:val="20"/>
                <w:color w:val="auto"/>
              </w:rPr>
            </w:pPr>
            <w:r>
              <w:rPr>
                <w:rFonts w:ascii="Times New Roman" w:cs="Times New Roman" w:eastAsia="Times New Roman" w:hAnsi="Times New Roman"/>
                <w:sz w:val="8"/>
                <w:szCs w:val="8"/>
                <w:color w:val="auto"/>
              </w:rPr>
              <w:t>201,589</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Tokyo, Japan</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892,667</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Osaka, Japan</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248,906</w:t>
            </w:r>
          </w:p>
        </w:tc>
        <w:tc>
          <w:tcPr>
            <w:tcW w:w="240" w:type="dxa"/>
            <w:vAlign w:val="bottom"/>
          </w:tcPr>
          <w:p>
            <w:pPr>
              <w:spacing w:after="0"/>
              <w:rPr>
                <w:sz w:val="7"/>
                <w:szCs w:val="7"/>
                <w:color w:val="auto"/>
              </w:rPr>
            </w:pP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52,306</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30,874</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Fortaleza, Brazil</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94,205</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Rio De Janeiro, Brazil</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72,442</w:t>
            </w:r>
          </w:p>
        </w:tc>
        <w:tc>
          <w:tcPr>
            <w:tcW w:w="240" w:type="dxa"/>
            <w:vAlign w:val="bottom"/>
          </w:tcPr>
          <w:p>
            <w:pPr>
              <w:spacing w:after="0"/>
              <w:rPr>
                <w:sz w:val="7"/>
                <w:szCs w:val="7"/>
                <w:color w:val="auto"/>
              </w:rPr>
            </w:pP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26,781</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Seattle</w:t>
            </w:r>
          </w:p>
        </w:tc>
        <w:tc>
          <w:tcPr>
            <w:tcW w:w="12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w:t>
            </w: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51,000</w:t>
            </w:r>
          </w:p>
        </w:tc>
        <w:tc>
          <w:tcPr>
            <w:tcW w:w="24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332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auto"/>
              </w:rPr>
              <w:t>Queretaro, Mexico</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w:t>
            </w:r>
          </w:p>
        </w:tc>
        <w:tc>
          <w:tcPr>
            <w:tcW w:w="260" w:type="dxa"/>
            <w:vAlign w:val="bottom"/>
          </w:tcPr>
          <w:p>
            <w:pPr>
              <w:spacing w:after="0"/>
              <w:rPr>
                <w:sz w:val="7"/>
                <w:szCs w:val="7"/>
                <w:color w:val="auto"/>
              </w:rPr>
            </w:pPr>
          </w:p>
        </w:tc>
        <w:tc>
          <w:tcPr>
            <w:tcW w:w="1460" w:type="dxa"/>
            <w:vAlign w:val="bottom"/>
            <w:gridSpan w:val="2"/>
          </w:tcPr>
          <w:p>
            <w:pPr>
              <w:jc w:val="right"/>
              <w:ind w:right="280"/>
              <w:spacing w:after="0" w:line="86" w:lineRule="exact"/>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108,178</w:t>
            </w:r>
          </w:p>
        </w:tc>
        <w:tc>
          <w:tcPr>
            <w:tcW w:w="260" w:type="dxa"/>
            <w:vAlign w:val="bottom"/>
          </w:tcPr>
          <w:p>
            <w:pPr>
              <w:spacing w:after="0"/>
              <w:rPr>
                <w:sz w:val="7"/>
                <w:szCs w:val="7"/>
                <w:color w:val="auto"/>
              </w:rPr>
            </w:pPr>
          </w:p>
        </w:tc>
        <w:tc>
          <w:tcPr>
            <w:tcW w:w="12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376,202</w:t>
            </w:r>
          </w:p>
        </w:tc>
      </w:tr>
      <w:tr>
        <w:trPr>
          <w:trHeight w:val="85"/>
        </w:trPr>
        <w:tc>
          <w:tcPr>
            <w:tcW w:w="3320" w:type="dxa"/>
            <w:vAlign w:val="bottom"/>
            <w:gridSpan w:val="6"/>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Santiago, Chile</w:t>
            </w:r>
          </w:p>
        </w:tc>
        <w:tc>
          <w:tcPr>
            <w:tcW w:w="1220" w:type="dxa"/>
            <w:vAlign w:val="bottom"/>
            <w:tcBorders>
              <w:bottom w:val="single" w:sz="8" w:color="auto"/>
            </w:tcBorders>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w:t>
            </w:r>
          </w:p>
        </w:tc>
        <w:tc>
          <w:tcPr>
            <w:tcW w:w="260" w:type="dxa"/>
            <w:vAlign w:val="bottom"/>
            <w:shd w:val="clear" w:color="auto" w:fill="CCEEFF"/>
          </w:tcPr>
          <w:p>
            <w:pPr>
              <w:spacing w:after="0"/>
              <w:rPr>
                <w:sz w:val="7"/>
                <w:szCs w:val="7"/>
                <w:color w:val="auto"/>
              </w:rPr>
            </w:pPr>
          </w:p>
        </w:tc>
        <w:tc>
          <w:tcPr>
            <w:tcW w:w="1220" w:type="dxa"/>
            <w:vAlign w:val="bottom"/>
            <w:tcBorders>
              <w:bottom w:val="single" w:sz="8" w:color="auto"/>
            </w:tcBorders>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67,340</w:t>
            </w:r>
          </w:p>
        </w:tc>
        <w:tc>
          <w:tcPr>
            <w:tcW w:w="240" w:type="dxa"/>
            <w:vAlign w:val="bottom"/>
            <w:shd w:val="clear" w:color="auto" w:fill="CCEEFF"/>
          </w:tcPr>
          <w:p>
            <w:pPr>
              <w:spacing w:after="0"/>
              <w:rPr>
                <w:sz w:val="7"/>
                <w:szCs w:val="7"/>
                <w:color w:val="auto"/>
              </w:rPr>
            </w:pPr>
          </w:p>
        </w:tc>
        <w:tc>
          <w:tcPr>
            <w:tcW w:w="1220" w:type="dxa"/>
            <w:vAlign w:val="bottom"/>
            <w:tcBorders>
              <w:bottom w:val="single" w:sz="8" w:color="auto"/>
            </w:tcBorders>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45,209</w:t>
            </w:r>
          </w:p>
        </w:tc>
        <w:tc>
          <w:tcPr>
            <w:tcW w:w="260" w:type="dxa"/>
            <w:vAlign w:val="bottom"/>
            <w:shd w:val="clear" w:color="auto" w:fill="CCEEFF"/>
          </w:tcPr>
          <w:p>
            <w:pPr>
              <w:spacing w:after="0"/>
              <w:rPr>
                <w:sz w:val="7"/>
                <w:szCs w:val="7"/>
                <w:color w:val="auto"/>
              </w:rPr>
            </w:pPr>
          </w:p>
        </w:tc>
        <w:tc>
          <w:tcPr>
            <w:tcW w:w="1220" w:type="dxa"/>
            <w:vAlign w:val="bottom"/>
            <w:tcBorders>
              <w:bottom w:val="single" w:sz="8" w:color="auto"/>
            </w:tcBorders>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180,835</w:t>
            </w:r>
          </w:p>
        </w:tc>
      </w:tr>
      <w:tr>
        <w:trPr>
          <w:trHeight w:val="75"/>
        </w:trPr>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22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27</w:t>
            </w:r>
          </w:p>
        </w:tc>
        <w:tc>
          <w:tcPr>
            <w:tcW w:w="260" w:type="dxa"/>
            <w:vAlign w:val="bottom"/>
          </w:tcPr>
          <w:p>
            <w:pPr>
              <w:spacing w:after="0"/>
              <w:rPr>
                <w:sz w:val="6"/>
                <w:szCs w:val="6"/>
                <w:color w:val="auto"/>
              </w:rPr>
            </w:pPr>
          </w:p>
        </w:tc>
        <w:tc>
          <w:tcPr>
            <w:tcW w:w="1220" w:type="dxa"/>
            <w:vAlign w:val="bottom"/>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2,324,185</w:t>
            </w:r>
          </w:p>
        </w:tc>
        <w:tc>
          <w:tcPr>
            <w:tcW w:w="240" w:type="dxa"/>
            <w:vAlign w:val="bottom"/>
          </w:tcPr>
          <w:p>
            <w:pPr>
              <w:spacing w:after="0"/>
              <w:rPr>
                <w:sz w:val="6"/>
                <w:szCs w:val="6"/>
                <w:color w:val="auto"/>
              </w:rPr>
            </w:pPr>
          </w:p>
        </w:tc>
        <w:tc>
          <w:tcPr>
            <w:tcW w:w="1220" w:type="dxa"/>
            <w:vAlign w:val="bottom"/>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486,738</w:t>
            </w:r>
          </w:p>
        </w:tc>
        <w:tc>
          <w:tcPr>
            <w:tcW w:w="260" w:type="dxa"/>
            <w:vAlign w:val="bottom"/>
          </w:tcPr>
          <w:p>
            <w:pPr>
              <w:spacing w:after="0"/>
              <w:rPr>
                <w:sz w:val="6"/>
                <w:szCs w:val="6"/>
                <w:color w:val="auto"/>
              </w:rPr>
            </w:pPr>
          </w:p>
        </w:tc>
        <w:tc>
          <w:tcPr>
            <w:tcW w:w="1220" w:type="dxa"/>
            <w:vAlign w:val="bottom"/>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789,500</w:t>
            </w:r>
          </w:p>
        </w:tc>
      </w:tr>
      <w:tr>
        <w:trPr>
          <w:trHeight w:val="85"/>
        </w:trPr>
        <w:tc>
          <w:tcPr>
            <w:tcW w:w="240" w:type="dxa"/>
            <w:vAlign w:val="bottom"/>
            <w:tcBorders>
              <w:right w:val="single" w:sz="8" w:color="CCEEFF"/>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94"/>
        </w:trPr>
        <w:tc>
          <w:tcPr>
            <w:tcW w:w="3320" w:type="dxa"/>
            <w:vAlign w:val="bottom"/>
            <w:tcBorders>
              <w:bottom w:val="single" w:sz="8" w:color="CCEEFF"/>
            </w:tcBorders>
            <w:gridSpan w:val="6"/>
          </w:tcPr>
          <w:p>
            <w:pPr>
              <w:spacing w:after="0" w:line="86" w:lineRule="exact"/>
              <w:rPr>
                <w:sz w:val="20"/>
                <w:szCs w:val="20"/>
                <w:color w:val="auto"/>
              </w:rPr>
            </w:pPr>
            <w:r>
              <w:rPr>
                <w:rFonts w:ascii="Times New Roman" w:cs="Times New Roman" w:eastAsia="Times New Roman" w:hAnsi="Times New Roman"/>
                <w:sz w:val="8"/>
                <w:szCs w:val="8"/>
                <w:b w:val="1"/>
                <w:bCs w:val="1"/>
                <w:color w:val="auto"/>
              </w:rPr>
              <w:t>Total</w:t>
            </w:r>
          </w:p>
        </w:tc>
        <w:tc>
          <w:tcPr>
            <w:tcW w:w="122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b w:val="1"/>
                <w:bCs w:val="1"/>
                <w:color w:val="auto"/>
              </w:rPr>
              <w:t>291</w:t>
            </w:r>
          </w:p>
        </w:tc>
        <w:tc>
          <w:tcPr>
            <w:tcW w:w="260" w:type="dxa"/>
            <w:vAlign w:val="bottom"/>
            <w:tcBorders>
              <w:bottom w:val="single" w:sz="8" w:color="CCEEFF"/>
            </w:tcBorders>
          </w:tcPr>
          <w:p>
            <w:pPr>
              <w:spacing w:after="0"/>
              <w:rPr>
                <w:sz w:val="8"/>
                <w:szCs w:val="8"/>
                <w:color w:val="auto"/>
              </w:rPr>
            </w:pPr>
          </w:p>
        </w:tc>
        <w:tc>
          <w:tcPr>
            <w:tcW w:w="1220" w:type="dxa"/>
            <w:vAlign w:val="bottom"/>
            <w:tcBorders>
              <w:bottom w:val="single" w:sz="8" w:color="auto"/>
            </w:tcBorders>
          </w:tcPr>
          <w:p>
            <w:pPr>
              <w:jc w:val="right"/>
              <w:ind w:right="2"/>
              <w:spacing w:after="0" w:line="86" w:lineRule="exact"/>
              <w:rPr>
                <w:sz w:val="20"/>
                <w:szCs w:val="20"/>
                <w:color w:val="auto"/>
              </w:rPr>
            </w:pPr>
            <w:r>
              <w:rPr>
                <w:rFonts w:ascii="Times New Roman" w:cs="Times New Roman" w:eastAsia="Times New Roman" w:hAnsi="Times New Roman"/>
                <w:sz w:val="8"/>
                <w:szCs w:val="8"/>
                <w:b w:val="1"/>
                <w:bCs w:val="1"/>
                <w:color w:val="auto"/>
              </w:rPr>
              <w:t>35,876,316</w:t>
            </w:r>
          </w:p>
        </w:tc>
        <w:tc>
          <w:tcPr>
            <w:tcW w:w="240" w:type="dxa"/>
            <w:vAlign w:val="bottom"/>
            <w:tcBorders>
              <w:bottom w:val="single" w:sz="8" w:color="CCEEFF"/>
            </w:tcBorders>
          </w:tcPr>
          <w:p>
            <w:pPr>
              <w:spacing w:after="0"/>
              <w:rPr>
                <w:sz w:val="8"/>
                <w:szCs w:val="8"/>
                <w:color w:val="auto"/>
              </w:rPr>
            </w:pPr>
          </w:p>
        </w:tc>
        <w:tc>
          <w:tcPr>
            <w:tcW w:w="122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b w:val="1"/>
                <w:bCs w:val="1"/>
                <w:color w:val="auto"/>
              </w:rPr>
              <w:t>5,391,969</w:t>
            </w:r>
          </w:p>
        </w:tc>
        <w:tc>
          <w:tcPr>
            <w:tcW w:w="260" w:type="dxa"/>
            <w:vAlign w:val="bottom"/>
            <w:tcBorders>
              <w:bottom w:val="single" w:sz="8" w:color="CCEEFF"/>
            </w:tcBorders>
          </w:tcPr>
          <w:p>
            <w:pPr>
              <w:spacing w:after="0"/>
              <w:rPr>
                <w:sz w:val="8"/>
                <w:szCs w:val="8"/>
                <w:color w:val="auto"/>
              </w:rPr>
            </w:pPr>
          </w:p>
        </w:tc>
        <w:tc>
          <w:tcPr>
            <w:tcW w:w="1220" w:type="dxa"/>
            <w:vAlign w:val="bottom"/>
            <w:tcBorders>
              <w:bottom w:val="single" w:sz="8" w:color="auto"/>
            </w:tcBorders>
          </w:tcPr>
          <w:p>
            <w:pPr>
              <w:jc w:val="right"/>
              <w:ind w:right="2"/>
              <w:spacing w:after="0" w:line="86" w:lineRule="exact"/>
              <w:rPr>
                <w:sz w:val="20"/>
                <w:szCs w:val="20"/>
                <w:color w:val="auto"/>
              </w:rPr>
            </w:pPr>
            <w:r>
              <w:rPr>
                <w:rFonts w:ascii="Times New Roman" w:cs="Times New Roman" w:eastAsia="Times New Roman" w:hAnsi="Times New Roman"/>
                <w:sz w:val="8"/>
                <w:szCs w:val="8"/>
                <w:b w:val="1"/>
                <w:bCs w:val="1"/>
                <w:color w:val="auto"/>
              </w:rPr>
              <w:t>2,290,810</w:t>
            </w:r>
          </w:p>
        </w:tc>
      </w:tr>
      <w:tr>
        <w:trPr>
          <w:trHeight w:val="85"/>
        </w:trPr>
        <w:tc>
          <w:tcPr>
            <w:tcW w:w="240" w:type="dxa"/>
            <w:vAlign w:val="bottom"/>
            <w:tcBorders>
              <w:right w:val="single" w:sz="8" w:color="CCEEFF"/>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bl>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9" w:name="page70"/>
    <w:bookmarkEnd w:id="6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142240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22400" cy="5715"/>
                    </a:xfrm>
                    <a:prstGeom prst="rect">
                      <a:avLst/>
                    </a:prstGeom>
                    <a:noFill/>
                  </pic:spPr>
                </pic:pic>
              </a:graphicData>
            </a:graphic>
          </wp:anchor>
        </w:drawing>
      </w:r>
    </w:p>
    <w:p>
      <w:pPr>
        <w:spacing w:after="0" w:line="286" w:lineRule="exact"/>
        <w:rPr>
          <w:sz w:val="20"/>
          <w:szCs w:val="20"/>
          <w:color w:val="auto"/>
        </w:rPr>
      </w:pPr>
    </w:p>
    <w:p>
      <w:pPr>
        <w:ind w:left="260" w:right="319" w:hanging="235"/>
        <w:spacing w:after="0" w:line="250" w:lineRule="auto"/>
        <w:tabs>
          <w:tab w:leader="none" w:pos="2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Current net rentable square feet as of December 31, 2020, which represents the current square feet under lease as specified in the applicable lease agreements plus management’s estimate of space available for lease based on engineering drawings. Includes customers’ proportional share of common areas and excludes space under active development and space held for development.</w:t>
      </w:r>
    </w:p>
    <w:p>
      <w:pPr>
        <w:spacing w:after="0" w:line="1"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Space under active development includes current base building and data center projects in progress.</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Space held for development includes space held for future data center development, and excludes space under active development.</w:t>
      </w:r>
    </w:p>
    <w:p>
      <w:pPr>
        <w:spacing w:after="0" w:line="141" w:lineRule="exact"/>
        <w:rPr>
          <w:sz w:val="20"/>
          <w:szCs w:val="20"/>
          <w:color w:val="auto"/>
        </w:rPr>
      </w:pPr>
    </w:p>
    <w:p>
      <w:pPr>
        <w:ind w:left="20" w:right="99" w:firstLine="228"/>
        <w:spacing w:after="0" w:line="249" w:lineRule="auto"/>
        <w:rPr>
          <w:sz w:val="20"/>
          <w:szCs w:val="20"/>
          <w:color w:val="auto"/>
        </w:rPr>
      </w:pPr>
      <w:r>
        <w:rPr>
          <w:rFonts w:ascii="Times New Roman" w:cs="Times New Roman" w:eastAsia="Times New Roman" w:hAnsi="Times New Roman"/>
          <w:sz w:val="13"/>
          <w:szCs w:val="13"/>
          <w:color w:val="auto"/>
        </w:rPr>
        <w:t>As of December 31, 2020, our portfolio, including the 43 data centers held as investments in unconsolidated joint ventures, were approximately 86.3% leased excluding approximately 5.4 million square feet of space under active development and approximately 2.3 million square feet of space held for development. Due to the capital-intensive and long-term nature of the operations being supported, our lease terms are generally longer than standard commercial leases. As of December 31, 2020, our average remaining lease term is approximately five years. Our scheduled lease expirations through December 31, 2022 are 26.0% of rentable square feet excluding month-to-month leases, space under active development and space held for development as of December 31, 2020.</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Factors Which May Influence Future Results of Operations</w:t>
      </w:r>
    </w:p>
    <w:p>
      <w:pPr>
        <w:spacing w:after="0" w:line="154" w:lineRule="exact"/>
        <w:rPr>
          <w:sz w:val="20"/>
          <w:szCs w:val="20"/>
          <w:color w:val="auto"/>
        </w:rPr>
      </w:pPr>
    </w:p>
    <w:p>
      <w:pPr>
        <w:ind w:left="20" w:right="59" w:firstLine="228"/>
        <w:spacing w:after="0" w:line="245" w:lineRule="auto"/>
        <w:rPr>
          <w:sz w:val="20"/>
          <w:szCs w:val="20"/>
          <w:color w:val="auto"/>
        </w:rPr>
      </w:pPr>
      <w:r>
        <w:rPr>
          <w:rFonts w:ascii="Times New Roman" w:cs="Times New Roman" w:eastAsia="Times New Roman" w:hAnsi="Times New Roman"/>
          <w:sz w:val="13"/>
          <w:szCs w:val="13"/>
          <w:i w:val="1"/>
          <w:iCs w:val="1"/>
          <w:color w:val="auto"/>
        </w:rPr>
        <w:t xml:space="preserve">COVID-19. </w:t>
      </w:r>
      <w:r>
        <w:rPr>
          <w:rFonts w:ascii="Times New Roman" w:cs="Times New Roman" w:eastAsia="Times New Roman" w:hAnsi="Times New Roman"/>
          <w:sz w:val="13"/>
          <w:szCs w:val="13"/>
          <w:color w:val="auto"/>
        </w:rPr>
        <w:t>We are closely monitoring the impact of the COVID-19 pandemic on our global business and operations, including the impact on our customers, suppliers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business partners. As of the date of this report, all of our facilities have been and continue to be fully operational and operating in accordance with our business continuity and pandemic response plans. Across our portfolio, our facilities have been deemed essential operations, allowing us to remain staffed with critical personnel in place to continue to provide services and support for our customers. While we did not experience significant disruptions from the COVID-19 pandemic during the year ended December 31, 2020 nor as of the date of this report, we cannot predict the impact that the COVID-19 pandemic will have on our future financial condition, results of operations and cash flows due to numerous uncertainties. The full extent to which the COVID-19 pandemic and the various responses to it impact our business, operations and financial results will depend on numerous evolving factors that we may not be able to accurately predict, including: the duration and scope of the pandemic; governmental, business and individuals’ actions that have been and continue to be taken in response to the pandemic; the availability of and cost to access the capital markets; the effect on our customers and customer demand for and ability to pay for our services; the impact on our development projects; and disruptions or restrictions on our employees’ ability to work and travel. The global impact of the outbreak has been rapidly evolving and federal and local governments, including in locations where we operate, have responded by instituting quarantines, restrictions on travel, “shelter in place” rules, restrictions on the types of business that may continue to operate, and restrictions on construction projects. We cannot predict whether further restrictions will be implemented or how long they will be in effect. The impacts from the severe disruptions caused by the effective shutdown of large segments of the global economy remain unknown. Our workforce, excluding our critical data center employees, is working from home, which may impact its productivity. We have also experienced delays in construction activity in a few of our markets due to government restrictions in certain locations and as a result of availability of labor, and these delays are impacting some of our anticipated deliveries to our customers. We may continue to experience delays in construction activity, even after these restrictions are eased or lifted, due to increased safety protocols implemented in response to the COVID-19 pandemic. We continue to closely monitor the situation and communicate with our customers, contractors and suppliers. From a supply chain perspective, as of the date of this report, we believe we have secured the vast majority of equipment needed to complete our current development activities.</w:t>
      </w:r>
    </w:p>
    <w:p>
      <w:pPr>
        <w:spacing w:after="0" w:line="141" w:lineRule="exact"/>
        <w:rPr>
          <w:sz w:val="20"/>
          <w:szCs w:val="20"/>
          <w:color w:val="auto"/>
        </w:rPr>
      </w:pPr>
    </w:p>
    <w:p>
      <w:pPr>
        <w:ind w:left="20" w:right="79" w:firstLine="228"/>
        <w:spacing w:after="0" w:line="249" w:lineRule="auto"/>
        <w:rPr>
          <w:sz w:val="20"/>
          <w:szCs w:val="20"/>
          <w:color w:val="auto"/>
        </w:rPr>
      </w:pPr>
      <w:r>
        <w:rPr>
          <w:rFonts w:ascii="Times New Roman" w:cs="Times New Roman" w:eastAsia="Times New Roman" w:hAnsi="Times New Roman"/>
          <w:sz w:val="13"/>
          <w:szCs w:val="13"/>
          <w:color w:val="auto"/>
        </w:rPr>
        <w:t>In addition, we cannot predict the impact that COVID-19 will have on our customers, suppliers and other business partners; however, any material effect on these parties could adversely impact us. As of the date of this report, we have collected 2020 and January 2021 base rent and other payments at levels consistent with the comparable prior period. We received requests for rent relief related to COVID-19, most often in the form of rent deferral requests or requests for further discussion, from customers representing approximately 3% of annualized recurring rent. We are evaluating each customer rent relief request on an individual basis, considering a number of factors. Not all customer requests will ultimately result in modification agreements, nor are we forgoing our contractual rights under our agreements. These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0" w:name="page71"/>
    <w:bookmarkEnd w:id="7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79"/>
        <w:spacing w:after="0" w:line="249" w:lineRule="auto"/>
        <w:rPr>
          <w:sz w:val="20"/>
          <w:szCs w:val="20"/>
          <w:color w:val="auto"/>
        </w:rPr>
      </w:pPr>
      <w:r>
        <w:rPr>
          <w:rFonts w:ascii="Times New Roman" w:cs="Times New Roman" w:eastAsia="Times New Roman" w:hAnsi="Times New Roman"/>
          <w:sz w:val="13"/>
          <w:szCs w:val="13"/>
          <w:color w:val="auto"/>
        </w:rPr>
        <w:t>requests for rent relief have not yet indicated that the probability of collecting the remaining rent due from these customers was less than likely. Consequently, there were no instances where we deemed it necessary to cease the recognition of income from rentals on a straight-line basis and begin the recognition of income from rentals on a cash basis when lease payments are collected. While we did not have any material adjustments to amounts as of and during the year ended December 31, 2020, circumstances related to the COVID-19 pandemic could potentially result in recording impairments, lease modifications and credit losses in future periods. January 2021 collections and rent relief requests may not necessarily be indicative of collections or requests in any future period.</w:t>
      </w:r>
    </w:p>
    <w:p>
      <w:pPr>
        <w:spacing w:after="0" w:line="134" w:lineRule="exact"/>
        <w:rPr>
          <w:sz w:val="20"/>
          <w:szCs w:val="20"/>
          <w:color w:val="auto"/>
        </w:rPr>
      </w:pPr>
    </w:p>
    <w:p>
      <w:pPr>
        <w:ind w:left="20" w:right="399" w:firstLine="228"/>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COVID-19 Philanthropic Efforts. </w:t>
      </w:r>
      <w:r>
        <w:rPr>
          <w:rFonts w:ascii="Times New Roman" w:cs="Times New Roman" w:eastAsia="Times New Roman" w:hAnsi="Times New Roman"/>
          <w:sz w:val="13"/>
          <w:szCs w:val="13"/>
          <w:color w:val="auto"/>
        </w:rPr>
        <w:t>We have undertaken a comprehensive, philanthropic initiative consisting of corporate contributions, matching gifts and community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outreach initiatives to help support organizations combating COVID-19 around the world.</w:t>
      </w:r>
    </w:p>
    <w:p>
      <w:pPr>
        <w:spacing w:after="0" w:line="120" w:lineRule="exact"/>
        <w:rPr>
          <w:sz w:val="20"/>
          <w:szCs w:val="20"/>
          <w:color w:val="auto"/>
        </w:rPr>
      </w:pPr>
    </w:p>
    <w:p>
      <w:pPr>
        <w:ind w:left="720" w:right="319" w:hanging="220"/>
        <w:spacing w:after="0" w:line="268" w:lineRule="auto"/>
        <w:tabs>
          <w:tab w:leader="none" w:pos="7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April 2020, we announced a $1.0 million philanthropic effort to help support COVID-19 relief efforts in the communities we operate in globally, including donations to global and local charitable organizations.</w:t>
      </w:r>
    </w:p>
    <w:p>
      <w:pPr>
        <w:spacing w:after="0" w:line="121" w:lineRule="exact"/>
        <w:rPr>
          <w:rFonts w:ascii="Times New Roman" w:cs="Times New Roman" w:eastAsia="Times New Roman" w:hAnsi="Times New Roman"/>
          <w:sz w:val="13"/>
          <w:szCs w:val="13"/>
          <w:color w:val="auto"/>
        </w:rPr>
      </w:pPr>
    </w:p>
    <w:p>
      <w:pPr>
        <w:ind w:left="720" w:right="79" w:hanging="220"/>
        <w:spacing w:after="0" w:line="268" w:lineRule="auto"/>
        <w:tabs>
          <w:tab w:leader="none" w:pos="7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March 2020, we announced, in partnership with Megaport, that for the month of April we were waiving port fees for new ports on Service Exchange across our global portfolio to anyone in the government, medical, emergency services, and education verticals for six months.</w:t>
      </w:r>
    </w:p>
    <w:p>
      <w:pPr>
        <w:spacing w:after="0" w:line="120" w:lineRule="exact"/>
        <w:rPr>
          <w:sz w:val="20"/>
          <w:szCs w:val="20"/>
          <w:color w:val="auto"/>
        </w:rPr>
      </w:pPr>
    </w:p>
    <w:p>
      <w:pPr>
        <w:ind w:left="20" w:right="39" w:firstLine="228"/>
        <w:spacing w:after="0" w:line="246" w:lineRule="auto"/>
        <w:rPr>
          <w:sz w:val="20"/>
          <w:szCs w:val="20"/>
          <w:color w:val="auto"/>
        </w:rPr>
      </w:pPr>
      <w:r>
        <w:rPr>
          <w:rFonts w:ascii="Times New Roman" w:cs="Times New Roman" w:eastAsia="Times New Roman" w:hAnsi="Times New Roman"/>
          <w:sz w:val="13"/>
          <w:szCs w:val="13"/>
          <w:i w:val="1"/>
          <w:iCs w:val="1"/>
          <w:color w:val="auto"/>
        </w:rPr>
        <w:t xml:space="preserve">Global market and economic conditions. </w:t>
      </w:r>
      <w:r>
        <w:rPr>
          <w:rFonts w:ascii="Times New Roman" w:cs="Times New Roman" w:eastAsia="Times New Roman" w:hAnsi="Times New Roman"/>
          <w:sz w:val="13"/>
          <w:szCs w:val="13"/>
          <w:color w:val="auto"/>
        </w:rPr>
        <w:t>General economic conditions and the cost and availability of capital may be adversely affected in some or all of the metropolitan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areas in which we own properties and conduct our operations, including as a result of the COVID-19 pandemic. Changes in political conditions, geopolitical turmoil, political instability, civil disturbances, restrictive governmental actions or nationalization in the countries in which we operate, such as recent escalations in political and trade tensions involving the U.S., China and Hong Kong, could potentially result in adverse effects on our, and our customers’, operations. In June 2016, a majority of voters in the United Kingdom elected to withdraw from the European Union in a national referendum. The United Kingdom formally withdrew from the European Union on January 31, 2020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 Instability in the U.S., European, Asia Pacific and other international financial markets and economies may adversely affect our ability, and the ability of our customers, to replace or renew maturing liabilities on a timely basis, access the capital markets to meet liquidity and capital expenditure requirements and could potentially result in adverse effects on our, and our customers’, financial condition and results of operations.</w:t>
      </w:r>
    </w:p>
    <w:p>
      <w:pPr>
        <w:spacing w:after="0" w:line="136" w:lineRule="exact"/>
        <w:rPr>
          <w:sz w:val="20"/>
          <w:szCs w:val="20"/>
          <w:color w:val="auto"/>
        </w:rPr>
      </w:pPr>
    </w:p>
    <w:p>
      <w:pPr>
        <w:ind w:left="20" w:right="239" w:firstLine="228"/>
        <w:spacing w:after="0" w:line="249" w:lineRule="auto"/>
        <w:rPr>
          <w:sz w:val="20"/>
          <w:szCs w:val="20"/>
          <w:color w:val="auto"/>
        </w:rPr>
      </w:pPr>
      <w:r>
        <w:rPr>
          <w:rFonts w:ascii="Times New Roman" w:cs="Times New Roman" w:eastAsia="Times New Roman" w:hAnsi="Times New Roman"/>
          <w:sz w:val="13"/>
          <w:szCs w:val="13"/>
          <w:color w:val="auto"/>
        </w:rPr>
        <w:t>In addition, our access to funds under our global revolving credit facilities depends on the ability of the lenders that are parties to such facilities to meet their funding commitments to us. We cannot assure you that recent and long-term disruptions in the global economy, including as a result of the COVID-19 pandemic, and the return of tighter credit conditions among, and potential failures or nationalizations of, third-party financial institutions as a result of such disruptions will not have an adverse effect on our lenders. If our lenders are not able to meet their funding commitments to us, our business, results of operations, cash flows and financial condition could be adversely affected.</w:t>
      </w:r>
    </w:p>
    <w:p>
      <w:pPr>
        <w:spacing w:after="0" w:line="136" w:lineRule="exact"/>
        <w:rPr>
          <w:sz w:val="20"/>
          <w:szCs w:val="20"/>
          <w:color w:val="auto"/>
        </w:rPr>
      </w:pPr>
    </w:p>
    <w:p>
      <w:pPr>
        <w:ind w:left="20" w:right="59" w:firstLine="228"/>
        <w:spacing w:after="0" w:line="287" w:lineRule="auto"/>
        <w:rPr>
          <w:sz w:val="20"/>
          <w:szCs w:val="20"/>
          <w:color w:val="auto"/>
        </w:rPr>
      </w:pPr>
      <w:r>
        <w:rPr>
          <w:rFonts w:ascii="Times New Roman" w:cs="Times New Roman" w:eastAsia="Times New Roman" w:hAnsi="Times New Roman"/>
          <w:sz w:val="12"/>
          <w:szCs w:val="12"/>
          <w:color w:val="auto"/>
        </w:rPr>
        <w:t>If we do not have sufficient cash flow to continue operating our business and are unable to borrow additional funds, access our existing lines of credit or raise debt or equity capital, we may need to source alternative methods to improve our liquidity. Such alternatives could include, without limitation, curtailing development activity, disposing of one or more of our properties, potentially on disadvantageous terms, or entering into or renewing lease agreements on less favorable terms than we otherwise would.</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1" w:name="page72"/>
    <w:bookmarkEnd w:id="7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right="119" w:firstLine="228"/>
        <w:spacing w:after="0" w:line="246" w:lineRule="auto"/>
        <w:rPr>
          <w:sz w:val="20"/>
          <w:szCs w:val="20"/>
          <w:color w:val="auto"/>
        </w:rPr>
      </w:pPr>
      <w:r>
        <w:rPr>
          <w:rFonts w:ascii="Times New Roman" w:cs="Times New Roman" w:eastAsia="Times New Roman" w:hAnsi="Times New Roman"/>
          <w:sz w:val="13"/>
          <w:szCs w:val="13"/>
          <w:i w:val="1"/>
          <w:iCs w:val="1"/>
          <w:color w:val="auto"/>
        </w:rPr>
        <w:t xml:space="preserve">Foreign currency exchange risk. </w:t>
      </w:r>
      <w:r>
        <w:rPr>
          <w:rFonts w:ascii="Times New Roman" w:cs="Times New Roman" w:eastAsia="Times New Roman" w:hAnsi="Times New Roman"/>
          <w:sz w:val="13"/>
          <w:szCs w:val="13"/>
          <w:color w:val="auto"/>
        </w:rPr>
        <w:t>For the years ended December 31, 2020 and 2019, we had foreign operations, including through our investments in unconsolidated joint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ventures, in the United Kingdom, Ireland, France, the Netherlands, Germany, Switzerland, Canada, Singapore, Australia, Japan, Hong Kong, South Korea and Brazil and we have added Austria, Belgium, Denmark, Spain, Sweden and Kenya as part of the Interxion Combination, which closed in March 2020, and, as such, are subject to risk from the effects of exchange rate movements of foreign currencies, which may affect future costs and cash flows. Our foreign operations are conducted in the British pound sterling, Euro, Canadian dollar, Brazilian real, Singapore dollar, Australian dollar, Japanese Yen, Hong Kong dollar, South Korean won, Swiss franc, Danish krone, Swedish krona and the Kenyan shilling. Our primary currency exposures are to the British pound sterling, the Euro and the Singapore dollar. The withdrawal of the United Kingdom (or any other country) from the European Union, or prolonged periods of uncertainty relating to any of these possibilities, could result in increased foreign currency exchange volatility. The COVID-19 pandemic has impacted global markets and contributed to increased foreign currency exchange volatility, including with respect to the Brazilian real, which is the currency in which our Ascenty joint venture conducts business, and we cannot predict when such volatility will subside. We attempt to mitigate a portion of the currency fluctuation risk by financing our investments in local currency denominations, although there can be no assurance this strategy will be effective. As a result, changes in the relation of any such foreign currency to U.S. dollars may affect our reported revenues, operating margins and distributions and may also affect the book value of our assets, the book value of our debt and the amount of stockholders’ equity.</w:t>
      </w:r>
    </w:p>
    <w:p>
      <w:pPr>
        <w:spacing w:after="0" w:line="136" w:lineRule="exact"/>
        <w:rPr>
          <w:sz w:val="20"/>
          <w:szCs w:val="20"/>
          <w:color w:val="auto"/>
        </w:rPr>
      </w:pPr>
    </w:p>
    <w:p>
      <w:pPr>
        <w:ind w:left="20" w:right="379" w:firstLine="228"/>
        <w:spacing w:after="0" w:line="253" w:lineRule="auto"/>
        <w:rPr>
          <w:sz w:val="20"/>
          <w:szCs w:val="20"/>
          <w:color w:val="auto"/>
        </w:rPr>
      </w:pPr>
      <w:r>
        <w:rPr>
          <w:rFonts w:ascii="Times New Roman" w:cs="Times New Roman" w:eastAsia="Times New Roman" w:hAnsi="Times New Roman"/>
          <w:sz w:val="13"/>
          <w:szCs w:val="13"/>
          <w:i w:val="1"/>
          <w:iCs w:val="1"/>
          <w:color w:val="auto"/>
        </w:rPr>
        <w:t>Rental income</w:t>
      </w:r>
      <w:r>
        <w:rPr>
          <w:rFonts w:ascii="Times New Roman" w:cs="Times New Roman" w:eastAsia="Times New Roman" w:hAnsi="Times New Roman"/>
          <w:sz w:val="13"/>
          <w:szCs w:val="13"/>
          <w:color w:val="auto"/>
        </w:rPr>
        <w:t>. The amount of rental income generated by the data centers in our portfolio depends on several factors, including our ability to maintain or improve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occupancy and to lease currently available capacity and capacity available from lease expirations. Excluding approximately 5.4 million square feet of space under active development and approximately 2.3 million square feet of space held for development as of December 31, 2020, the occupancy rate of our portfolio, including the 43 data centers held as investments in unconsolidated joint ventures, was approximately 86.3% of our net rentable square feet.</w:t>
      </w:r>
    </w:p>
    <w:p>
      <w:pPr>
        <w:spacing w:after="0" w:line="131" w:lineRule="exact"/>
        <w:rPr>
          <w:sz w:val="20"/>
          <w:szCs w:val="20"/>
          <w:color w:val="auto"/>
        </w:rPr>
      </w:pPr>
    </w:p>
    <w:p>
      <w:pPr>
        <w:ind w:left="20" w:right="139" w:firstLine="228"/>
        <w:spacing w:after="0" w:line="252" w:lineRule="auto"/>
        <w:rPr>
          <w:sz w:val="20"/>
          <w:szCs w:val="20"/>
          <w:color w:val="auto"/>
        </w:rPr>
      </w:pPr>
      <w:r>
        <w:rPr>
          <w:rFonts w:ascii="Times New Roman" w:cs="Times New Roman" w:eastAsia="Times New Roman" w:hAnsi="Times New Roman"/>
          <w:sz w:val="13"/>
          <w:szCs w:val="13"/>
          <w:color w:val="auto"/>
        </w:rPr>
        <w:t>As of December 31, 2020, we had more than 4,000 customers in our data center portfolio, including the 16 data centers held in our managed portfolio of unconsolidated joint ventures. As of December 31, 2020, approximately 90% of our leases (on a rentable square footage basis) contained base rent escalations that were either fixed (generally ranging from 2% to 4%) or indexed based on a consumer price index or other similar inflation-related index. We cannot assure you that these escalations will cover all the increases in our costs or will otherwise keep rental rates at or above market rates.</w:t>
      </w:r>
    </w:p>
    <w:p>
      <w:pPr>
        <w:spacing w:after="0" w:line="132" w:lineRule="exact"/>
        <w:rPr>
          <w:sz w:val="20"/>
          <w:szCs w:val="20"/>
          <w:color w:val="auto"/>
        </w:rPr>
      </w:pPr>
    </w:p>
    <w:p>
      <w:pPr>
        <w:ind w:left="20" w:right="79" w:firstLine="228"/>
        <w:spacing w:after="0" w:line="269" w:lineRule="auto"/>
        <w:rPr>
          <w:sz w:val="20"/>
          <w:szCs w:val="20"/>
          <w:color w:val="auto"/>
        </w:rPr>
      </w:pPr>
      <w:r>
        <w:rPr>
          <w:rFonts w:ascii="Times New Roman" w:cs="Times New Roman" w:eastAsia="Times New Roman" w:hAnsi="Times New Roman"/>
          <w:sz w:val="12"/>
          <w:szCs w:val="12"/>
          <w:color w:val="auto"/>
        </w:rPr>
        <w:t>The amount of rental income we generated also depends upon maintaining or increasing rental rates at our properties, which in turn depends on several factors, including supply and demand and data center market rental rates. As of December 31, 2020 approximately 3.3 million square feet of data center space with extensive installed tenant improvements available for lease was included in our approximately 31.4 million net rentable square feet, excluding space under active development and space held for development and 43 data centers held as investments in unconsolidated joint ventures. In addition, as of December 31, 2020, we had approximately 5.4 million square feet of space under active development and approximately 2.3 million square feet of space held for development, or approximately 18% of the total rentable space in our portfolio, including the 43 data centers held as investments in unconsolidated joint ventures. Our ability to grow earnings depends in part on our ability to develop and lease capacity at favorable rates, which we may not be able to obtain. Development requires significant capital investment in order to develop data center facilities that are ready for use and, in addition, we may require additional time or encounter delays in securing customers for development projects. We may purchase additional vacant properties and properties with vacant development capacity in the future. We will require additional capital to finance our development activities, which may not be available or may not be available on terms acceptable to us, including as a result of the conditions described above under “Global market and economic conditions” and “COVID-19.”</w:t>
      </w:r>
    </w:p>
    <w:p>
      <w:pPr>
        <w:spacing w:after="0" w:line="124" w:lineRule="exact"/>
        <w:rPr>
          <w:sz w:val="20"/>
          <w:szCs w:val="20"/>
          <w:color w:val="auto"/>
        </w:rPr>
      </w:pPr>
    </w:p>
    <w:p>
      <w:pPr>
        <w:ind w:left="20" w:right="199" w:firstLine="228"/>
        <w:spacing w:after="0" w:line="256" w:lineRule="auto"/>
        <w:rPr>
          <w:sz w:val="20"/>
          <w:szCs w:val="20"/>
          <w:color w:val="auto"/>
        </w:rPr>
      </w:pPr>
      <w:r>
        <w:rPr>
          <w:rFonts w:ascii="Times New Roman" w:cs="Times New Roman" w:eastAsia="Times New Roman" w:hAnsi="Times New Roman"/>
          <w:sz w:val="13"/>
          <w:szCs w:val="13"/>
          <w:color w:val="auto"/>
        </w:rPr>
        <w:t>In addition, the timing between the signing of a new lease with a customer and the commencement of that lease and when we begin to generate rental income may be significant and may not be easily predictable. Certain leases may provide for staggered commencement dates for additional capacity, the timing of which may be significantly delayed.</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2" w:name="page73"/>
    <w:bookmarkEnd w:id="7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239" w:firstLine="228"/>
        <w:spacing w:after="0" w:line="252" w:lineRule="auto"/>
        <w:rPr>
          <w:sz w:val="20"/>
          <w:szCs w:val="20"/>
          <w:color w:val="auto"/>
        </w:rPr>
      </w:pPr>
      <w:r>
        <w:rPr>
          <w:rFonts w:ascii="Times New Roman" w:cs="Times New Roman" w:eastAsia="Times New Roman" w:hAnsi="Times New Roman"/>
          <w:sz w:val="13"/>
          <w:szCs w:val="13"/>
          <w:color w:val="auto"/>
        </w:rPr>
        <w:t>Economic downturns, including as a result of the conditions described above under “Global market and economic conditions” and “COVID-19,” or regional downturns affecting our metropolitan areas or downturns in the data center industry that impair our ability to lease or renew or re-lease capacity, or otherwise reduce returns on our investments, or the ability of our customers to fulfill their lease obligations, as in the case of customer bankruptcies, could adversely affect our ability to maintain or increase rental rates at our properties.</w:t>
      </w:r>
    </w:p>
    <w:p>
      <w:pPr>
        <w:spacing w:after="0" w:line="130" w:lineRule="exact"/>
        <w:rPr>
          <w:sz w:val="20"/>
          <w:szCs w:val="20"/>
          <w:color w:val="auto"/>
        </w:rPr>
      </w:pPr>
    </w:p>
    <w:p>
      <w:pPr>
        <w:ind w:left="20" w:right="139" w:firstLine="228"/>
        <w:spacing w:after="0" w:line="249" w:lineRule="auto"/>
        <w:rPr>
          <w:sz w:val="20"/>
          <w:szCs w:val="20"/>
          <w:color w:val="auto"/>
        </w:rPr>
      </w:pPr>
      <w:r>
        <w:rPr>
          <w:rFonts w:ascii="Times New Roman" w:cs="Times New Roman" w:eastAsia="Times New Roman" w:hAnsi="Times New Roman"/>
          <w:sz w:val="13"/>
          <w:szCs w:val="13"/>
          <w:i w:val="1"/>
          <w:iCs w:val="1"/>
          <w:color w:val="auto"/>
        </w:rPr>
        <w:t xml:space="preserve">Dispositions. </w:t>
      </w:r>
      <w:r>
        <w:rPr>
          <w:rFonts w:ascii="Times New Roman" w:cs="Times New Roman" w:eastAsia="Times New Roman" w:hAnsi="Times New Roman"/>
          <w:sz w:val="13"/>
          <w:szCs w:val="13"/>
          <w:color w:val="auto"/>
        </w:rPr>
        <w:t>Dispositions of our properties, to the extent such properties are operating properties, will reduce our revenue and operating income unless offset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acquisitions, leasing of development space or rental rate increases. In November 2019, we completed our joint venture with Mapletree Investments and Mapletree Industrial Trust, which we refer to collectively as Mapletree, on three existing fully leased Turn-Key Flex® data centers located in Ashburn, Virginia. We retained a 20% ownership interest in the joint venture, while Mapletree acquired the remaining 80% stake for approximately $811 million. Subsequent to year-end, Mapletree acquired a portfolio of 10 Powered Base Building® properties, which were fully leased, from us for a total purchase price of approximately $557 million, before customary closing costs and transaction fees.</w:t>
      </w:r>
    </w:p>
    <w:p>
      <w:pPr>
        <w:spacing w:after="0" w:line="133" w:lineRule="exact"/>
        <w:rPr>
          <w:sz w:val="20"/>
          <w:szCs w:val="20"/>
          <w:color w:val="auto"/>
        </w:rPr>
      </w:pPr>
    </w:p>
    <w:p>
      <w:pPr>
        <w:ind w:left="20" w:right="119" w:firstLine="228"/>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Non-Recurring Income. </w:t>
      </w:r>
      <w:r>
        <w:rPr>
          <w:rFonts w:ascii="Times New Roman" w:cs="Times New Roman" w:eastAsia="Times New Roman" w:hAnsi="Times New Roman"/>
          <w:sz w:val="13"/>
          <w:szCs w:val="13"/>
          <w:color w:val="auto"/>
        </w:rPr>
        <w:t>Transactions that we enter into, including, for example, joint venture contributions of our properties, may generate income that is not duplicated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similar or other transactions. For example, certain income generated from our Ascenty joint venture with Brookfield in 2019 is not likely to recur. Additionally, other non-recurring income, such as tax credits, which we receive in one year is not likely to occur in future periods.</w:t>
      </w:r>
    </w:p>
    <w:p>
      <w:pPr>
        <w:spacing w:after="0" w:line="127" w:lineRule="exact"/>
        <w:rPr>
          <w:sz w:val="20"/>
          <w:szCs w:val="20"/>
          <w:color w:val="auto"/>
        </w:rPr>
      </w:pPr>
    </w:p>
    <w:p>
      <w:pPr>
        <w:ind w:left="20" w:right="39" w:firstLine="228"/>
        <w:spacing w:after="0" w:line="250" w:lineRule="auto"/>
        <w:rPr>
          <w:sz w:val="20"/>
          <w:szCs w:val="20"/>
          <w:color w:val="auto"/>
        </w:rPr>
      </w:pPr>
      <w:r>
        <w:rPr>
          <w:rFonts w:ascii="Times New Roman" w:cs="Times New Roman" w:eastAsia="Times New Roman" w:hAnsi="Times New Roman"/>
          <w:sz w:val="13"/>
          <w:szCs w:val="13"/>
          <w:i w:val="1"/>
          <w:iCs w:val="1"/>
          <w:color w:val="auto"/>
        </w:rPr>
        <w:t xml:space="preserve">Scheduled lease expirations. </w:t>
      </w:r>
      <w:r>
        <w:rPr>
          <w:rFonts w:ascii="Times New Roman" w:cs="Times New Roman" w:eastAsia="Times New Roman" w:hAnsi="Times New Roman"/>
          <w:sz w:val="13"/>
          <w:szCs w:val="13"/>
          <w:color w:val="auto"/>
        </w:rPr>
        <w:t>Our ability to re-lease expiring space at rental rates equal to or in excess of current rental rates will impact our results of operations. In addition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approximately 4.7 million square feet of available space in our portfolio, which excludes approximately 5.4 million square feet of space under active development and approximately 2.3 million square feet of space held for development as of December 31, 2020 and the 27 data centers held as investments in our non-managed unconsolidated joint ventures, leases representing approximately 15.3% and 10.7% of the net rentable square footage of our portfolio are scheduled to expire during the years ending December 31, 2021 and 2022, respectively.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3" w:name="page74"/>
    <w:bookmarkEnd w:id="7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79" w:firstLine="228"/>
        <w:spacing w:after="0" w:line="268" w:lineRule="auto"/>
        <w:rPr>
          <w:sz w:val="20"/>
          <w:szCs w:val="20"/>
          <w:color w:val="auto"/>
        </w:rPr>
      </w:pPr>
      <w:r>
        <w:rPr>
          <w:rFonts w:ascii="Times New Roman" w:cs="Times New Roman" w:eastAsia="Times New Roman" w:hAnsi="Times New Roman"/>
          <w:sz w:val="13"/>
          <w:szCs w:val="13"/>
          <w:color w:val="auto"/>
        </w:rPr>
        <w:t>During the year ended December 31, 2020, we signed new renewal leases totaling approximately 2.6 million square feet of space and new leases totaling approximately 3.4 million square feet of space. The following table summarizes our leasing activity in the year ended December 31, 2020:</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TI’s/Lease</w:t>
            </w:r>
          </w:p>
        </w:tc>
        <w:tc>
          <w:tcPr>
            <w:tcW w:w="9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Weighted</w:t>
            </w:r>
          </w:p>
        </w:tc>
        <w:tc>
          <w:tcPr>
            <w:tcW w:w="0" w:type="dxa"/>
            <w:vAlign w:val="bottom"/>
          </w:tcPr>
          <w:p>
            <w:pPr>
              <w:spacing w:after="0"/>
              <w:rPr>
                <w:sz w:val="1"/>
                <w:szCs w:val="1"/>
                <w:color w:val="auto"/>
              </w:rPr>
            </w:pPr>
          </w:p>
        </w:tc>
      </w:tr>
      <w:tr>
        <w:trPr>
          <w:trHeight w:val="104"/>
        </w:trPr>
        <w:tc>
          <w:tcPr>
            <w:tcW w:w="2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Rentable</w:t>
            </w:r>
          </w:p>
        </w:tc>
        <w:tc>
          <w:tcPr>
            <w:tcW w:w="100" w:type="dxa"/>
            <w:vAlign w:val="bottom"/>
          </w:tcPr>
          <w:p>
            <w:pPr>
              <w:spacing w:after="0"/>
              <w:rPr>
                <w:sz w:val="9"/>
                <w:szCs w:val="9"/>
                <w:color w:val="auto"/>
              </w:rPr>
            </w:pPr>
          </w:p>
        </w:tc>
        <w:tc>
          <w:tcPr>
            <w:tcW w:w="7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Expiring</w:t>
            </w:r>
          </w:p>
        </w:tc>
        <w:tc>
          <w:tcPr>
            <w:tcW w:w="120" w:type="dxa"/>
            <w:vAlign w:val="bottom"/>
          </w:tcPr>
          <w:p>
            <w:pPr>
              <w:spacing w:after="0"/>
              <w:rPr>
                <w:sz w:val="9"/>
                <w:szCs w:val="9"/>
                <w:color w:val="auto"/>
              </w:rPr>
            </w:pPr>
          </w:p>
        </w:tc>
        <w:tc>
          <w:tcPr>
            <w:tcW w:w="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New</w:t>
            </w:r>
          </w:p>
        </w:tc>
        <w:tc>
          <w:tcPr>
            <w:tcW w:w="10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Rental Rate</w:t>
            </w:r>
          </w:p>
        </w:tc>
        <w:tc>
          <w:tcPr>
            <w:tcW w:w="100" w:type="dxa"/>
            <w:vAlign w:val="bottom"/>
          </w:tcPr>
          <w:p>
            <w:pPr>
              <w:spacing w:after="0"/>
              <w:rPr>
                <w:sz w:val="9"/>
                <w:szCs w:val="9"/>
                <w:color w:val="auto"/>
              </w:rPr>
            </w:pPr>
          </w:p>
        </w:tc>
        <w:tc>
          <w:tcPr>
            <w:tcW w:w="92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8"/>
              </w:rPr>
              <w:t>Commissions</w:t>
            </w:r>
          </w:p>
        </w:tc>
        <w:tc>
          <w:tcPr>
            <w:tcW w:w="9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9"/>
              </w:rPr>
              <w:t>Average Lease</w:t>
            </w:r>
          </w:p>
        </w:tc>
        <w:tc>
          <w:tcPr>
            <w:tcW w:w="0" w:type="dxa"/>
            <w:vAlign w:val="bottom"/>
          </w:tcPr>
          <w:p>
            <w:pPr>
              <w:spacing w:after="0"/>
              <w:rPr>
                <w:sz w:val="1"/>
                <w:szCs w:val="1"/>
                <w:color w:val="auto"/>
              </w:rPr>
            </w:pPr>
          </w:p>
        </w:tc>
      </w:tr>
      <w:tr>
        <w:trPr>
          <w:trHeight w:val="102"/>
        </w:trPr>
        <w:tc>
          <w:tcPr>
            <w:tcW w:w="2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jc w:val="center"/>
              <w:ind w:right="280"/>
              <w:spacing w:after="0" w:line="103" w:lineRule="exact"/>
              <w:rPr>
                <w:sz w:val="20"/>
                <w:szCs w:val="20"/>
                <w:color w:val="auto"/>
              </w:rPr>
            </w:pPr>
            <w:r>
              <w:rPr>
                <w:rFonts w:ascii="Times New Roman" w:cs="Times New Roman" w:eastAsia="Times New Roman" w:hAnsi="Times New Roman"/>
                <w:sz w:val="10"/>
                <w:szCs w:val="10"/>
                <w:b w:val="1"/>
                <w:bCs w:val="1"/>
                <w:color w:val="auto"/>
                <w:w w:val="99"/>
              </w:rPr>
              <w:t>Per Square</w:t>
            </w:r>
          </w:p>
        </w:tc>
        <w:tc>
          <w:tcPr>
            <w:tcW w:w="980" w:type="dxa"/>
            <w:vAlign w:val="bottom"/>
          </w:tcPr>
          <w:p>
            <w:pPr>
              <w:jc w:val="center"/>
              <w:spacing w:after="0" w:line="103" w:lineRule="exact"/>
              <w:rPr>
                <w:sz w:val="20"/>
                <w:szCs w:val="20"/>
                <w:color w:val="auto"/>
              </w:rPr>
            </w:pPr>
            <w:r>
              <w:rPr>
                <w:rFonts w:ascii="Times New Roman" w:cs="Times New Roman" w:eastAsia="Times New Roman" w:hAnsi="Times New Roman"/>
                <w:sz w:val="10"/>
                <w:szCs w:val="10"/>
                <w:b w:val="1"/>
                <w:bCs w:val="1"/>
                <w:color w:val="auto"/>
              </w:rPr>
              <w:t>Terms</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gridSpan w:val="2"/>
          </w:tcPr>
          <w:p>
            <w:pPr>
              <w:jc w:val="center"/>
              <w:ind w:right="140"/>
              <w:spacing w:after="0" w:line="123" w:lineRule="exact"/>
              <w:rPr>
                <w:sz w:val="20"/>
                <w:szCs w:val="20"/>
                <w:color w:val="auto"/>
              </w:rPr>
            </w:pPr>
            <w:r>
              <w:rPr>
                <w:rFonts w:ascii="Times New Roman" w:cs="Times New Roman" w:eastAsia="Times New Roman" w:hAnsi="Times New Roman"/>
                <w:sz w:val="10"/>
                <w:szCs w:val="10"/>
                <w:b w:val="1"/>
                <w:bCs w:val="1"/>
                <w:color w:val="auto"/>
                <w:w w:val="95"/>
              </w:rPr>
              <w:t xml:space="preserve">Square Feet </w:t>
            </w:r>
            <w:r>
              <w:rPr>
                <w:rFonts w:ascii="Times New Roman" w:cs="Times New Roman" w:eastAsia="Times New Roman" w:hAnsi="Times New Roman"/>
                <w:sz w:val="14"/>
                <w:szCs w:val="14"/>
                <w:b w:val="1"/>
                <w:bCs w:val="1"/>
                <w:color w:val="auto"/>
                <w:w w:val="95"/>
                <w:vertAlign w:val="superscript"/>
              </w:rPr>
              <w:t>(1)</w:t>
            </w:r>
          </w:p>
        </w:tc>
        <w:tc>
          <w:tcPr>
            <w:tcW w:w="100" w:type="dxa"/>
            <w:vAlign w:val="bottom"/>
          </w:tcPr>
          <w:p>
            <w:pPr>
              <w:spacing w:after="0"/>
              <w:rPr>
                <w:sz w:val="10"/>
                <w:szCs w:val="10"/>
                <w:color w:val="auto"/>
              </w:rPr>
            </w:pPr>
          </w:p>
        </w:tc>
        <w:tc>
          <w:tcPr>
            <w:tcW w:w="740" w:type="dxa"/>
            <w:vAlign w:val="bottom"/>
            <w:gridSpan w:val="2"/>
          </w:tcPr>
          <w:p>
            <w:pPr>
              <w:jc w:val="right"/>
              <w:ind w:right="300"/>
              <w:spacing w:after="0" w:line="123" w:lineRule="exact"/>
              <w:rPr>
                <w:sz w:val="20"/>
                <w:szCs w:val="20"/>
                <w:color w:val="auto"/>
              </w:rPr>
            </w:pPr>
            <w:r>
              <w:rPr>
                <w:rFonts w:ascii="Times New Roman" w:cs="Times New Roman" w:eastAsia="Times New Roman" w:hAnsi="Times New Roman"/>
                <w:sz w:val="10"/>
                <w:szCs w:val="10"/>
                <w:b w:val="1"/>
                <w:bCs w:val="1"/>
                <w:color w:val="auto"/>
              </w:rPr>
              <w:t xml:space="preserve">Rates </w:t>
            </w:r>
            <w:r>
              <w:rPr>
                <w:rFonts w:ascii="Times New Roman" w:cs="Times New Roman" w:eastAsia="Times New Roman" w:hAnsi="Times New Roman"/>
                <w:sz w:val="14"/>
                <w:szCs w:val="14"/>
                <w:b w:val="1"/>
                <w:bCs w:val="1"/>
                <w:color w:val="auto"/>
                <w:vertAlign w:val="superscript"/>
              </w:rPr>
              <w:t>(2)</w:t>
            </w:r>
          </w:p>
        </w:tc>
        <w:tc>
          <w:tcPr>
            <w:tcW w:w="120" w:type="dxa"/>
            <w:vAlign w:val="bottom"/>
          </w:tcPr>
          <w:p>
            <w:pPr>
              <w:spacing w:after="0"/>
              <w:rPr>
                <w:sz w:val="10"/>
                <w:szCs w:val="10"/>
                <w:color w:val="auto"/>
              </w:rPr>
            </w:pPr>
          </w:p>
        </w:tc>
        <w:tc>
          <w:tcPr>
            <w:tcW w:w="720" w:type="dxa"/>
            <w:vAlign w:val="bottom"/>
            <w:gridSpan w:val="2"/>
          </w:tcPr>
          <w:p>
            <w:pPr>
              <w:jc w:val="center"/>
              <w:ind w:right="260"/>
              <w:spacing w:after="0" w:line="123" w:lineRule="exact"/>
              <w:rPr>
                <w:sz w:val="20"/>
                <w:szCs w:val="20"/>
                <w:color w:val="auto"/>
              </w:rPr>
            </w:pPr>
            <w:r>
              <w:rPr>
                <w:rFonts w:ascii="Times New Roman" w:cs="Times New Roman" w:eastAsia="Times New Roman" w:hAnsi="Times New Roman"/>
                <w:sz w:val="10"/>
                <w:szCs w:val="10"/>
                <w:b w:val="1"/>
                <w:bCs w:val="1"/>
                <w:color w:val="auto"/>
                <w:w w:val="91"/>
              </w:rPr>
              <w:t xml:space="preserve">Rates </w:t>
            </w:r>
            <w:r>
              <w:rPr>
                <w:rFonts w:ascii="Times New Roman" w:cs="Times New Roman" w:eastAsia="Times New Roman" w:hAnsi="Times New Roman"/>
                <w:sz w:val="14"/>
                <w:szCs w:val="14"/>
                <w:b w:val="1"/>
                <w:bCs w:val="1"/>
                <w:color w:val="auto"/>
                <w:w w:val="91"/>
                <w:vertAlign w:val="superscript"/>
              </w:rPr>
              <w:t>(2)</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Changes</w:t>
            </w:r>
          </w:p>
        </w:tc>
        <w:tc>
          <w:tcPr>
            <w:tcW w:w="10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Foot</w:t>
            </w:r>
          </w:p>
        </w:tc>
        <w:tc>
          <w:tcPr>
            <w:tcW w:w="9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(years)</w:t>
            </w:r>
          </w:p>
        </w:tc>
        <w:tc>
          <w:tcPr>
            <w:tcW w:w="0" w:type="dxa"/>
            <w:vAlign w:val="bottom"/>
          </w:tcPr>
          <w:p>
            <w:pPr>
              <w:spacing w:after="0"/>
              <w:rPr>
                <w:sz w:val="1"/>
                <w:szCs w:val="1"/>
                <w:color w:val="auto"/>
              </w:rPr>
            </w:pPr>
          </w:p>
        </w:tc>
      </w:tr>
      <w:tr>
        <w:trPr>
          <w:trHeight w:val="141"/>
        </w:trPr>
        <w:tc>
          <w:tcPr>
            <w:tcW w:w="32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1"/>
                <w:szCs w:val="11"/>
                <w:b w:val="1"/>
                <w:bCs w:val="1"/>
                <w:i w:val="1"/>
                <w:iCs w:val="1"/>
                <w:color w:val="auto"/>
              </w:rPr>
              <w:t xml:space="preserve">Leasing Activity </w:t>
            </w:r>
            <w:r>
              <w:rPr>
                <w:rFonts w:ascii="Times New Roman" w:cs="Times New Roman" w:eastAsia="Times New Roman" w:hAnsi="Times New Roman"/>
                <w:sz w:val="16"/>
                <w:szCs w:val="16"/>
                <w:b w:val="1"/>
                <w:bCs w:val="1"/>
                <w:i w:val="1"/>
                <w:iCs w:val="1"/>
                <w:color w:val="auto"/>
                <w:vertAlign w:val="superscript"/>
              </w:rPr>
              <w:t>(3)(4)</w:t>
            </w: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Renewals Signed</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0</w:t>
            </w:r>
            <w:r>
              <w:rPr>
                <w:rFonts w:ascii="Arial" w:cs="Arial" w:eastAsia="Arial" w:hAnsi="Arial"/>
                <w:sz w:val="13"/>
                <w:szCs w:val="13"/>
                <w:color w:val="auto"/>
              </w:rPr>
              <w:t>—</w:t>
            </w:r>
            <w:r>
              <w:rPr>
                <w:rFonts w:ascii="Times New Roman" w:cs="Times New Roman" w:eastAsia="Times New Roman" w:hAnsi="Times New Roman"/>
                <w:sz w:val="13"/>
                <w:szCs w:val="13"/>
                <w:color w:val="auto"/>
              </w:rPr>
              <w:t>1MW</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1,438,498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290.79</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0.7 %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52"/>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&gt;1MW</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848,270</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138.69</w:t>
            </w:r>
          </w:p>
        </w:tc>
        <w:tc>
          <w:tcPr>
            <w:tcW w:w="14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143.45</w:t>
            </w:r>
          </w:p>
        </w:tc>
        <w:tc>
          <w:tcPr>
            <w:tcW w:w="14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3.4 %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52"/>
        </w:trPr>
        <w:tc>
          <w:tcPr>
            <w:tcW w:w="3240" w:type="dxa"/>
            <w:vAlign w:val="bottom"/>
            <w:gridSpan w:val="2"/>
            <w:shd w:val="clear" w:color="auto" w:fill="CCEEFF"/>
          </w:tcPr>
          <w:p>
            <w:pPr>
              <w:ind w:left="160"/>
              <w:spacing w:after="0" w:line="152"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321,722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21.53</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23.01</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6.8 %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52"/>
        </w:trPr>
        <w:tc>
          <w:tcPr>
            <w:tcW w:w="3240" w:type="dxa"/>
            <w:vAlign w:val="bottom"/>
            <w:gridSpan w:val="2"/>
          </w:tcPr>
          <w:p>
            <w:pPr>
              <w:ind w:left="80"/>
              <w:spacing w:after="0" w:line="152" w:lineRule="exact"/>
              <w:rPr>
                <w:sz w:val="20"/>
                <w:szCs w:val="20"/>
                <w:color w:val="auto"/>
              </w:rPr>
            </w:pPr>
            <w:r>
              <w:rPr>
                <w:rFonts w:ascii="Times New Roman" w:cs="Times New Roman" w:eastAsia="Times New Roman" w:hAnsi="Times New Roman"/>
                <w:sz w:val="12"/>
                <w:szCs w:val="12"/>
                <w:b w:val="1"/>
                <w:bCs w:val="1"/>
                <w:color w:val="auto"/>
              </w:rPr>
              <w:t xml:space="preserve">New Leases Signed </w:t>
            </w:r>
            <w:r>
              <w:rPr>
                <w:rFonts w:ascii="Times New Roman" w:cs="Times New Roman" w:eastAsia="Times New Roman" w:hAnsi="Times New Roman"/>
                <w:sz w:val="17"/>
                <w:szCs w:val="17"/>
                <w:b w:val="1"/>
                <w:bCs w:val="1"/>
                <w:color w:val="auto"/>
                <w:vertAlign w:val="superscript"/>
              </w:rPr>
              <w:t>(5)</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0</w:t>
            </w:r>
            <w:r>
              <w:rPr>
                <w:rFonts w:ascii="Arial" w:cs="Arial" w:eastAsia="Arial" w:hAnsi="Arial"/>
                <w:sz w:val="13"/>
                <w:szCs w:val="13"/>
                <w:color w:val="auto"/>
              </w:rPr>
              <w:t>—</w:t>
            </w:r>
            <w:r>
              <w:rPr>
                <w:rFonts w:ascii="Times New Roman" w:cs="Times New Roman" w:eastAsia="Times New Roman" w:hAnsi="Times New Roman"/>
                <w:sz w:val="13"/>
                <w:szCs w:val="13"/>
                <w:color w:val="auto"/>
              </w:rPr>
              <w:t>1MW</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434,220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223.54</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20.64</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52"/>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&gt;1MW</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2,223,564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121.52</w:t>
            </w:r>
          </w:p>
        </w:tc>
        <w:tc>
          <w:tcPr>
            <w:tcW w:w="14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52"/>
        </w:trPr>
        <w:tc>
          <w:tcPr>
            <w:tcW w:w="3240" w:type="dxa"/>
            <w:vAlign w:val="bottom"/>
            <w:gridSpan w:val="2"/>
            <w:shd w:val="clear" w:color="auto" w:fill="CCEEFF"/>
          </w:tcPr>
          <w:p>
            <w:pPr>
              <w:ind w:left="160"/>
              <w:spacing w:after="0" w:line="152"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714,945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33.66</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0" w:type="dxa"/>
            <w:vAlign w:val="bottom"/>
          </w:tcPr>
          <w:p>
            <w:pPr>
              <w:spacing w:after="0"/>
              <w:rPr>
                <w:sz w:val="1"/>
                <w:szCs w:val="1"/>
                <w:color w:val="auto"/>
              </w:rPr>
            </w:pPr>
          </w:p>
        </w:tc>
      </w:tr>
      <w:tr>
        <w:trPr>
          <w:trHeight w:val="152"/>
        </w:trPr>
        <w:tc>
          <w:tcPr>
            <w:tcW w:w="32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Leasing Activity Summary</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0</w:t>
            </w:r>
            <w:r>
              <w:rPr>
                <w:rFonts w:ascii="Arial" w:cs="Arial" w:eastAsia="Arial" w:hAnsi="Arial"/>
                <w:sz w:val="13"/>
                <w:szCs w:val="13"/>
                <w:color w:val="auto"/>
              </w:rPr>
              <w:t>—</w:t>
            </w:r>
            <w:r>
              <w:rPr>
                <w:rFonts w:ascii="Times New Roman" w:cs="Times New Roman" w:eastAsia="Times New Roman" w:hAnsi="Times New Roman"/>
                <w:sz w:val="13"/>
                <w:szCs w:val="13"/>
                <w:color w:val="auto"/>
              </w:rPr>
              <w:t>1MW</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1,872,718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275.19</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&gt;1MW</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3,071,834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127.57</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40" w:type="dxa"/>
            <w:vAlign w:val="bottom"/>
            <w:gridSpan w:val="2"/>
            <w:shd w:val="clear" w:color="auto" w:fill="CCEEFF"/>
          </w:tcPr>
          <w:p>
            <w:pPr>
              <w:ind w:left="160"/>
              <w:spacing w:after="0" w:line="152"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1,036,667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240" w:type="dxa"/>
            <w:vAlign w:val="bottom"/>
            <w:tcBorders>
              <w:bottom w:val="single" w:sz="8" w:color="auto"/>
            </w:tcBorders>
          </w:tcPr>
          <w:p>
            <w:pPr>
              <w:spacing w:after="0"/>
              <w:rPr>
                <w:sz w:val="6"/>
                <w:szCs w:val="6"/>
                <w:color w:val="auto"/>
              </w:rPr>
            </w:pPr>
          </w:p>
        </w:tc>
        <w:tc>
          <w:tcPr>
            <w:tcW w:w="10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60" w:right="459" w:hanging="235"/>
        <w:spacing w:after="0" w:line="254" w:lineRule="auto"/>
        <w:tabs>
          <w:tab w:leader="none" w:pos="2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some of our properties, we calculate square footage based on factors in addition to contractually leased square feet, including power, required support space and common area.</w:t>
      </w:r>
    </w:p>
    <w:p>
      <w:pPr>
        <w:ind w:left="260" w:right="359" w:hanging="235"/>
        <w:spacing w:after="0" w:line="243" w:lineRule="auto"/>
        <w:tabs>
          <w:tab w:leader="none" w:pos="2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Rental rates represent annual estimated cash rent per rentable square foot adjusted for straight-line rents in accordance with GAAP. GAAP rental rates are inclusive of tenant concessions, if any.</w:t>
      </w:r>
    </w:p>
    <w:p>
      <w:pPr>
        <w:spacing w:after="0" w:line="1"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short-term leases.</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Commencement dates for the leases signed range from 2020 to 2021.</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leases signed for new and re-leased space.</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includes Powered Base Building shell capacity as well as storage and office space within fully improved data center facilities.</w:t>
      </w:r>
    </w:p>
    <w:p>
      <w:pPr>
        <w:spacing w:after="0" w:line="141" w:lineRule="exact"/>
        <w:rPr>
          <w:sz w:val="20"/>
          <w:szCs w:val="20"/>
          <w:color w:val="auto"/>
        </w:rPr>
      </w:pPr>
    </w:p>
    <w:p>
      <w:pPr>
        <w:ind w:left="20" w:right="99" w:firstLine="228"/>
        <w:spacing w:after="0" w:line="246" w:lineRule="auto"/>
        <w:rPr>
          <w:sz w:val="20"/>
          <w:szCs w:val="20"/>
          <w:color w:val="auto"/>
        </w:rPr>
      </w:pPr>
      <w:r>
        <w:rPr>
          <w:rFonts w:ascii="Times New Roman" w:cs="Times New Roman" w:eastAsia="Times New Roman" w:hAnsi="Times New Roman"/>
          <w:sz w:val="13"/>
          <w:szCs w:val="13"/>
          <w:color w:val="auto"/>
        </w:rPr>
        <w:t>Our ability to re-lease or renew expiring space at rental rates equal to or in excess of current rental rates will impact our results of operations. We continue to see strong demand in most of our key metropolitan areas for data center space and, subject to the supply of available data center space in these metropolitan areas, we expect the rental rates we are likely to achieve on re-leased or renewed data center space leases for 2021 expirations on an average aggregate basis will generally be consistent with the rates currently being paid for the same space on a GAAP basis and on a cash basis. For the year ended December 31, 2020, rents on renewed space increased by an average of 0.7% on a GAAP basis on our 0-1 MW space compared to the expiring rents and increased by an average of 3.4% on a GAAP basis on our &gt; 1 MW space compared to the expiring rents. Our past performance may not be indicative of future results, and we cannot assure you that leases will be renewed or that our data centers will be re-leased at all or at rental rates equal to or above the current average rental rates. Further, re-leased/renewed rental rates in a particular metropolitan area may not be consistent with rental rates across our portfolio as a whole and may fluctuate from one period to another due to a number of factors, including local economic conditions, local supply and demand for data center space, competition from other data center developers or operators, the condition of the property and whether the property, or space within the property, has been developed.</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4" w:name="page75"/>
    <w:bookmarkEnd w:id="7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right="319" w:firstLine="228"/>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Geographic concentration. </w:t>
      </w:r>
      <w:r>
        <w:rPr>
          <w:rFonts w:ascii="Times New Roman" w:cs="Times New Roman" w:eastAsia="Times New Roman" w:hAnsi="Times New Roman"/>
          <w:sz w:val="13"/>
          <w:szCs w:val="13"/>
          <w:color w:val="auto"/>
        </w:rPr>
        <w:t>We depend on the market for data centers in specific geographic regions and significant changes in these regional or metropolitan areas can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impact our future results. As of December 31, 2020, our portfolio, including the 43 data centers held as investments in unconsolidated joint ventures, was geographically concentrated in the following metropolitan areas.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0" w:type="dxa"/>
            <w:vAlign w:val="bottom"/>
            <w:gridSpan w:val="2"/>
          </w:tcPr>
          <w:p>
            <w:pPr>
              <w:jc w:val="center"/>
              <w:ind w:right="117"/>
              <w:spacing w:after="0"/>
              <w:rPr>
                <w:sz w:val="20"/>
                <w:szCs w:val="20"/>
                <w:color w:val="auto"/>
              </w:rPr>
            </w:pPr>
            <w:r>
              <w:rPr>
                <w:rFonts w:ascii="Times New Roman" w:cs="Times New Roman" w:eastAsia="Times New Roman" w:hAnsi="Times New Roman"/>
                <w:sz w:val="10"/>
                <w:szCs w:val="10"/>
                <w:b w:val="1"/>
                <w:bCs w:val="1"/>
                <w:color w:val="auto"/>
                <w:w w:val="99"/>
              </w:rPr>
              <w:t>Percentage of</w:t>
            </w:r>
          </w:p>
        </w:tc>
        <w:tc>
          <w:tcPr>
            <w:tcW w:w="0" w:type="dxa"/>
            <w:vAlign w:val="bottom"/>
          </w:tcPr>
          <w:p>
            <w:pPr>
              <w:spacing w:after="0"/>
              <w:rPr>
                <w:sz w:val="1"/>
                <w:szCs w:val="1"/>
                <w:color w:val="auto"/>
              </w:rPr>
            </w:pPr>
          </w:p>
        </w:tc>
      </w:tr>
      <w:tr>
        <w:trPr>
          <w:trHeight w:val="104"/>
        </w:trPr>
        <w:tc>
          <w:tcPr>
            <w:tcW w:w="224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gridSpan w:val="2"/>
          </w:tcPr>
          <w:p>
            <w:pPr>
              <w:jc w:val="center"/>
              <w:ind w:right="117"/>
              <w:spacing w:after="0" w:line="104" w:lineRule="exact"/>
              <w:rPr>
                <w:sz w:val="20"/>
                <w:szCs w:val="20"/>
                <w:color w:val="auto"/>
              </w:rPr>
            </w:pPr>
            <w:r>
              <w:rPr>
                <w:rFonts w:ascii="Times New Roman" w:cs="Times New Roman" w:eastAsia="Times New Roman" w:hAnsi="Times New Roman"/>
                <w:sz w:val="10"/>
                <w:szCs w:val="10"/>
                <w:b w:val="1"/>
                <w:bCs w:val="1"/>
                <w:color w:val="auto"/>
              </w:rPr>
              <w:t>December 31, 2020</w:t>
            </w:r>
          </w:p>
        </w:tc>
        <w:tc>
          <w:tcPr>
            <w:tcW w:w="0" w:type="dxa"/>
            <w:vAlign w:val="bottom"/>
          </w:tcPr>
          <w:p>
            <w:pPr>
              <w:spacing w:after="0"/>
              <w:rPr>
                <w:sz w:val="1"/>
                <w:szCs w:val="1"/>
                <w:color w:val="auto"/>
              </w:rPr>
            </w:pPr>
          </w:p>
        </w:tc>
      </w:tr>
      <w:tr>
        <w:trPr>
          <w:trHeight w:val="102"/>
        </w:trPr>
        <w:tc>
          <w:tcPr>
            <w:tcW w:w="71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Metropolitan Area</w:t>
            </w:r>
          </w:p>
        </w:tc>
        <w:tc>
          <w:tcPr>
            <w:tcW w:w="1800" w:type="dxa"/>
            <w:vAlign w:val="bottom"/>
            <w:gridSpan w:val="2"/>
          </w:tcPr>
          <w:p>
            <w:pPr>
              <w:jc w:val="center"/>
              <w:ind w:right="117"/>
              <w:spacing w:after="0" w:line="103" w:lineRule="exact"/>
              <w:rPr>
                <w:sz w:val="20"/>
                <w:szCs w:val="20"/>
                <w:color w:val="auto"/>
              </w:rPr>
            </w:pPr>
            <w:r>
              <w:rPr>
                <w:rFonts w:ascii="Times New Roman" w:cs="Times New Roman" w:eastAsia="Times New Roman" w:hAnsi="Times New Roman"/>
                <w:sz w:val="10"/>
                <w:szCs w:val="10"/>
                <w:b w:val="1"/>
                <w:bCs w:val="1"/>
                <w:color w:val="auto"/>
              </w:rPr>
              <w:t>total annualized</w:t>
            </w:r>
          </w:p>
        </w:tc>
        <w:tc>
          <w:tcPr>
            <w:tcW w:w="0" w:type="dxa"/>
            <w:vAlign w:val="bottom"/>
          </w:tcPr>
          <w:p>
            <w:pPr>
              <w:spacing w:after="0"/>
              <w:rPr>
                <w:sz w:val="1"/>
                <w:szCs w:val="1"/>
                <w:color w:val="auto"/>
              </w:rPr>
            </w:pPr>
          </w:p>
        </w:tc>
      </w:tr>
      <w:tr>
        <w:trPr>
          <w:trHeight w:val="123"/>
        </w:trPr>
        <w:tc>
          <w:tcPr>
            <w:tcW w:w="7160" w:type="dxa"/>
            <w:vAlign w:val="bottom"/>
            <w:gridSpan w:val="3"/>
            <w:vMerge w:val="continue"/>
          </w:tcPr>
          <w:p>
            <w:pPr>
              <w:spacing w:after="0"/>
              <w:rPr>
                <w:sz w:val="10"/>
                <w:szCs w:val="10"/>
                <w:color w:val="auto"/>
              </w:rPr>
            </w:pPr>
          </w:p>
        </w:tc>
        <w:tc>
          <w:tcPr>
            <w:tcW w:w="1800" w:type="dxa"/>
            <w:vAlign w:val="bottom"/>
            <w:gridSpan w:val="2"/>
          </w:tcPr>
          <w:p>
            <w:pPr>
              <w:jc w:val="center"/>
              <w:ind w:right="117"/>
              <w:spacing w:after="0" w:line="123" w:lineRule="exact"/>
              <w:rPr>
                <w:sz w:val="20"/>
                <w:szCs w:val="20"/>
                <w:color w:val="auto"/>
              </w:rPr>
            </w:pPr>
            <w:r>
              <w:rPr>
                <w:rFonts w:ascii="Times New Roman" w:cs="Times New Roman" w:eastAsia="Times New Roman" w:hAnsi="Times New Roman"/>
                <w:sz w:val="10"/>
                <w:szCs w:val="10"/>
                <w:b w:val="1"/>
                <w:bCs w:val="1"/>
                <w:color w:val="auto"/>
                <w:w w:val="96"/>
              </w:rPr>
              <w:t xml:space="preserve">rent </w:t>
            </w:r>
            <w:r>
              <w:rPr>
                <w:rFonts w:ascii="Times New Roman" w:cs="Times New Roman" w:eastAsia="Times New Roman" w:hAnsi="Times New Roman"/>
                <w:sz w:val="14"/>
                <w:szCs w:val="14"/>
                <w:b w:val="1"/>
                <w:bCs w:val="1"/>
                <w:color w:val="auto"/>
                <w:w w:val="96"/>
                <w:vertAlign w:val="superscript"/>
              </w:rPr>
              <w:t>(1)</w:t>
            </w:r>
          </w:p>
        </w:tc>
        <w:tc>
          <w:tcPr>
            <w:tcW w:w="0" w:type="dxa"/>
            <w:vAlign w:val="bottom"/>
          </w:tcPr>
          <w:p>
            <w:pPr>
              <w:spacing w:after="0"/>
              <w:rPr>
                <w:sz w:val="1"/>
                <w:szCs w:val="1"/>
                <w:color w:val="auto"/>
              </w:rPr>
            </w:pPr>
          </w:p>
        </w:tc>
      </w:tr>
      <w:tr>
        <w:trPr>
          <w:trHeight w:val="141"/>
        </w:trPr>
        <w:tc>
          <w:tcPr>
            <w:tcW w:w="6880" w:type="dxa"/>
            <w:vAlign w:val="bottom"/>
            <w:tcBorders>
              <w:top w:val="single" w:sz="8" w:color="auto"/>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Northern Virginia</w:t>
            </w:r>
          </w:p>
        </w:tc>
        <w:tc>
          <w:tcPr>
            <w:tcW w:w="28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20.0</w:t>
            </w:r>
          </w:p>
        </w:tc>
        <w:tc>
          <w:tcPr>
            <w:tcW w:w="160" w:type="dxa"/>
            <w:vAlign w:val="bottom"/>
            <w:tcBorders>
              <w:top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52"/>
        </w:trPr>
        <w:tc>
          <w:tcPr>
            <w:tcW w:w="7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Chicago</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0" w:type="dxa"/>
            <w:vAlign w:val="bottom"/>
          </w:tcPr>
          <w:p>
            <w:pPr>
              <w:spacing w:after="0"/>
              <w:rPr>
                <w:sz w:val="1"/>
                <w:szCs w:val="1"/>
                <w:color w:val="auto"/>
              </w:rPr>
            </w:pPr>
          </w:p>
        </w:tc>
      </w:tr>
      <w:tr>
        <w:trPr>
          <w:trHeight w:val="152"/>
        </w:trPr>
        <w:tc>
          <w:tcPr>
            <w:tcW w:w="7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London, England</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0" w:type="dxa"/>
            <w:vAlign w:val="bottom"/>
          </w:tcPr>
          <w:p>
            <w:pPr>
              <w:spacing w:after="0"/>
              <w:rPr>
                <w:sz w:val="1"/>
                <w:szCs w:val="1"/>
                <w:color w:val="auto"/>
              </w:rPr>
            </w:pPr>
          </w:p>
        </w:tc>
      </w:tr>
      <w:tr>
        <w:trPr>
          <w:trHeight w:val="152"/>
        </w:trPr>
        <w:tc>
          <w:tcPr>
            <w:tcW w:w="7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Silicon Valley</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0" w:type="dxa"/>
            <w:vAlign w:val="bottom"/>
          </w:tcPr>
          <w:p>
            <w:pPr>
              <w:spacing w:after="0"/>
              <w:rPr>
                <w:sz w:val="1"/>
                <w:szCs w:val="1"/>
                <w:color w:val="auto"/>
              </w:rPr>
            </w:pPr>
          </w:p>
        </w:tc>
      </w:tr>
      <w:tr>
        <w:trPr>
          <w:trHeight w:val="152"/>
        </w:trPr>
        <w:tc>
          <w:tcPr>
            <w:tcW w:w="7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New York</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6.3 %</w:t>
            </w:r>
          </w:p>
        </w:tc>
        <w:tc>
          <w:tcPr>
            <w:tcW w:w="0" w:type="dxa"/>
            <w:vAlign w:val="bottom"/>
          </w:tcPr>
          <w:p>
            <w:pPr>
              <w:spacing w:after="0"/>
              <w:rPr>
                <w:sz w:val="1"/>
                <w:szCs w:val="1"/>
                <w:color w:val="auto"/>
              </w:rPr>
            </w:pPr>
          </w:p>
        </w:tc>
      </w:tr>
      <w:tr>
        <w:trPr>
          <w:trHeight w:val="152"/>
        </w:trPr>
        <w:tc>
          <w:tcPr>
            <w:tcW w:w="7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Dallas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5.9 %</w:t>
            </w:r>
          </w:p>
        </w:tc>
        <w:tc>
          <w:tcPr>
            <w:tcW w:w="0" w:type="dxa"/>
            <w:vAlign w:val="bottom"/>
          </w:tcPr>
          <w:p>
            <w:pPr>
              <w:spacing w:after="0"/>
              <w:rPr>
                <w:sz w:val="1"/>
                <w:szCs w:val="1"/>
                <w:color w:val="auto"/>
              </w:rPr>
            </w:pPr>
          </w:p>
        </w:tc>
      </w:tr>
      <w:tr>
        <w:trPr>
          <w:trHeight w:val="152"/>
        </w:trPr>
        <w:tc>
          <w:tcPr>
            <w:tcW w:w="7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Frankfurt, Germany</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5.6 %</w:t>
            </w:r>
          </w:p>
        </w:tc>
        <w:tc>
          <w:tcPr>
            <w:tcW w:w="0" w:type="dxa"/>
            <w:vAlign w:val="bottom"/>
          </w:tcPr>
          <w:p>
            <w:pPr>
              <w:spacing w:after="0"/>
              <w:rPr>
                <w:sz w:val="1"/>
                <w:szCs w:val="1"/>
                <w:color w:val="auto"/>
              </w:rPr>
            </w:pPr>
          </w:p>
        </w:tc>
      </w:tr>
      <w:tr>
        <w:trPr>
          <w:trHeight w:val="152"/>
        </w:trPr>
        <w:tc>
          <w:tcPr>
            <w:tcW w:w="7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Amsterdam, Netherlands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0" w:type="dxa"/>
            <w:vAlign w:val="bottom"/>
          </w:tcPr>
          <w:p>
            <w:pPr>
              <w:spacing w:after="0"/>
              <w:rPr>
                <w:sz w:val="1"/>
                <w:szCs w:val="1"/>
                <w:color w:val="auto"/>
              </w:rPr>
            </w:pPr>
          </w:p>
        </w:tc>
      </w:tr>
      <w:tr>
        <w:trPr>
          <w:trHeight w:val="152"/>
        </w:trPr>
        <w:tc>
          <w:tcPr>
            <w:tcW w:w="7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Sao Paulo, Brazil</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0" w:type="dxa"/>
            <w:vAlign w:val="bottom"/>
          </w:tcPr>
          <w:p>
            <w:pPr>
              <w:spacing w:after="0"/>
              <w:rPr>
                <w:sz w:val="1"/>
                <w:szCs w:val="1"/>
                <w:color w:val="auto"/>
              </w:rPr>
            </w:pPr>
          </w:p>
        </w:tc>
      </w:tr>
      <w:tr>
        <w:trPr>
          <w:trHeight w:val="152"/>
        </w:trPr>
        <w:tc>
          <w:tcPr>
            <w:tcW w:w="7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Singapore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0" w:type="dxa"/>
            <w:vAlign w:val="bottom"/>
          </w:tcPr>
          <w:p>
            <w:pPr>
              <w:spacing w:after="0"/>
              <w:rPr>
                <w:sz w:val="1"/>
                <w:szCs w:val="1"/>
                <w:color w:val="auto"/>
              </w:rPr>
            </w:pPr>
          </w:p>
        </w:tc>
      </w:tr>
      <w:tr>
        <w:trPr>
          <w:trHeight w:val="152"/>
        </w:trPr>
        <w:tc>
          <w:tcPr>
            <w:tcW w:w="7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Paris, France</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0" w:type="dxa"/>
            <w:vAlign w:val="bottom"/>
          </w:tcPr>
          <w:p>
            <w:pPr>
              <w:spacing w:after="0"/>
              <w:rPr>
                <w:sz w:val="1"/>
                <w:szCs w:val="1"/>
                <w:color w:val="auto"/>
              </w:rPr>
            </w:pPr>
          </w:p>
        </w:tc>
      </w:tr>
      <w:tr>
        <w:trPr>
          <w:trHeight w:val="152"/>
        </w:trPr>
        <w:tc>
          <w:tcPr>
            <w:tcW w:w="7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Phoenix</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0" w:type="dxa"/>
            <w:vAlign w:val="bottom"/>
          </w:tcPr>
          <w:p>
            <w:pPr>
              <w:spacing w:after="0"/>
              <w:rPr>
                <w:sz w:val="1"/>
                <w:szCs w:val="1"/>
                <w:color w:val="auto"/>
              </w:rPr>
            </w:pPr>
          </w:p>
        </w:tc>
      </w:tr>
      <w:tr>
        <w:trPr>
          <w:trHeight w:val="152"/>
        </w:trPr>
        <w:tc>
          <w:tcPr>
            <w:tcW w:w="7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San Francisco</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0" w:type="dxa"/>
            <w:vAlign w:val="bottom"/>
          </w:tcPr>
          <w:p>
            <w:pPr>
              <w:spacing w:after="0"/>
              <w:rPr>
                <w:sz w:val="1"/>
                <w:szCs w:val="1"/>
                <w:color w:val="auto"/>
              </w:rPr>
            </w:pPr>
          </w:p>
        </w:tc>
      </w:tr>
      <w:tr>
        <w:trPr>
          <w:trHeight w:val="152"/>
        </w:trPr>
        <w:tc>
          <w:tcPr>
            <w:tcW w:w="7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Tokyo, Japan</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0" w:type="dxa"/>
            <w:vAlign w:val="bottom"/>
          </w:tcPr>
          <w:p>
            <w:pPr>
              <w:spacing w:after="0"/>
              <w:rPr>
                <w:sz w:val="1"/>
                <w:szCs w:val="1"/>
                <w:color w:val="auto"/>
              </w:rPr>
            </w:pPr>
          </w:p>
        </w:tc>
      </w:tr>
      <w:tr>
        <w:trPr>
          <w:trHeight w:val="152"/>
        </w:trPr>
        <w:tc>
          <w:tcPr>
            <w:tcW w:w="7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Atlanta</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0" w:type="dxa"/>
            <w:vAlign w:val="bottom"/>
          </w:tcPr>
          <w:p>
            <w:pPr>
              <w:spacing w:after="0"/>
              <w:rPr>
                <w:sz w:val="1"/>
                <w:szCs w:val="1"/>
                <w:color w:val="auto"/>
              </w:rPr>
            </w:pPr>
          </w:p>
        </w:tc>
      </w:tr>
      <w:tr>
        <w:trPr>
          <w:trHeight w:val="152"/>
        </w:trPr>
        <w:tc>
          <w:tcPr>
            <w:tcW w:w="7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Other</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18.8 %</w:t>
            </w:r>
          </w:p>
        </w:tc>
        <w:tc>
          <w:tcPr>
            <w:tcW w:w="0" w:type="dxa"/>
            <w:vAlign w:val="bottom"/>
          </w:tcPr>
          <w:p>
            <w:pPr>
              <w:spacing w:after="0"/>
              <w:rPr>
                <w:sz w:val="1"/>
                <w:szCs w:val="1"/>
                <w:color w:val="auto"/>
              </w:rPr>
            </w:pPr>
          </w:p>
        </w:tc>
      </w:tr>
      <w:tr>
        <w:trPr>
          <w:trHeight w:val="150"/>
        </w:trPr>
        <w:tc>
          <w:tcPr>
            <w:tcW w:w="7160" w:type="dxa"/>
            <w:vAlign w:val="bottom"/>
            <w:tcBorders>
              <w:top w:val="single" w:sz="8" w:color="CCEEFF"/>
              <w:bottom w:val="single" w:sz="8" w:color="CCEEFF"/>
            </w:tcBorders>
            <w:gridSpan w:val="3"/>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Total</w:t>
            </w:r>
          </w:p>
        </w:tc>
        <w:tc>
          <w:tcPr>
            <w:tcW w:w="16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100.0</w:t>
            </w:r>
          </w:p>
        </w:tc>
        <w:tc>
          <w:tcPr>
            <w:tcW w:w="160" w:type="dxa"/>
            <w:vAlign w:val="bottom"/>
            <w:tcBorders>
              <w:top w:val="single" w:sz="8" w:color="CCEEFF"/>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76"/>
        </w:trPr>
        <w:tc>
          <w:tcPr>
            <w:tcW w:w="2240" w:type="dxa"/>
            <w:vAlign w:val="bottom"/>
            <w:tcBorders>
              <w:bottom w:val="single" w:sz="8" w:color="auto"/>
            </w:tcBorders>
          </w:tcPr>
          <w:p>
            <w:pPr>
              <w:spacing w:after="0"/>
              <w:rPr>
                <w:sz w:val="6"/>
                <w:szCs w:val="6"/>
                <w:color w:val="auto"/>
              </w:rPr>
            </w:pPr>
          </w:p>
        </w:tc>
        <w:tc>
          <w:tcPr>
            <w:tcW w:w="4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60" w:right="239" w:hanging="235"/>
        <w:spacing w:after="0" w:line="256" w:lineRule="auto"/>
        <w:tabs>
          <w:tab w:leader="none" w:pos="2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Annualized rent is monthly contractual rent (defined as cash base rent before abatements) under existing leases as of December 31, 2020 multiplied by 12. Includes consolidated portfolio and unconsolidated joint ventures at the joint ventures’ 100% ownership level. The aggregate amount of abatements for the year ended December 31, 2020 was approximately $74.4 million.</w:t>
      </w:r>
    </w:p>
    <w:p>
      <w:pPr>
        <w:spacing w:after="0" w:line="127" w:lineRule="exact"/>
        <w:rPr>
          <w:sz w:val="20"/>
          <w:szCs w:val="20"/>
          <w:color w:val="auto"/>
        </w:rPr>
      </w:pPr>
    </w:p>
    <w:p>
      <w:pPr>
        <w:ind w:left="20" w:right="59" w:firstLine="228"/>
        <w:spacing w:after="0" w:line="272" w:lineRule="auto"/>
        <w:rPr>
          <w:sz w:val="20"/>
          <w:szCs w:val="20"/>
          <w:color w:val="auto"/>
        </w:rPr>
      </w:pPr>
      <w:r>
        <w:rPr>
          <w:rFonts w:ascii="Times New Roman" w:cs="Times New Roman" w:eastAsia="Times New Roman" w:hAnsi="Times New Roman"/>
          <w:sz w:val="12"/>
          <w:szCs w:val="12"/>
          <w:i w:val="1"/>
          <w:iCs w:val="1"/>
          <w:color w:val="auto"/>
        </w:rPr>
        <w:t xml:space="preserve">Operating expenses. </w:t>
      </w:r>
      <w:r>
        <w:rPr>
          <w:rFonts w:ascii="Times New Roman" w:cs="Times New Roman" w:eastAsia="Times New Roman" w:hAnsi="Times New Roman"/>
          <w:sz w:val="12"/>
          <w:szCs w:val="12"/>
          <w:color w:val="auto"/>
        </w:rPr>
        <w:t>Our operating expenses generally consist of utilities, property and ad valorem taxes, property management fees, insurance and site maintenance costs,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well as rental expenses on our ground and building leases. In particular, our buildings require significant power to support the data center operations contained in them. Many of our leases contain provisions under which the tenants reimburse us for all or a portion of property operating expenses and real estate taxes incurred by us. However, in some cases we are not entitled to reimbursement of property operating expenses, other than utility expense, and real estate taxes under our leases for Turn-Key Flex® facilities. We also incur general and administrative expenses, including expenses relating to our asset management function, as well as significant legal, accounting and other expenses related to corporate governance, Securities Exchange Commission, or the SEC, reporting and compliance with the various provisions of the Sarbanes-Oxley Act. Increases or decreases in such operating expenses will impact our overall performance. We expect to incur additional operating expenses as we continue to expand.</w:t>
      </w:r>
    </w:p>
    <w:p>
      <w:pPr>
        <w:spacing w:after="0" w:line="120" w:lineRule="exact"/>
        <w:rPr>
          <w:sz w:val="20"/>
          <w:szCs w:val="20"/>
          <w:color w:val="auto"/>
        </w:rPr>
      </w:pPr>
    </w:p>
    <w:p>
      <w:pPr>
        <w:ind w:left="20" w:right="119" w:firstLine="228"/>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Significant transactions. </w:t>
      </w:r>
      <w:r>
        <w:rPr>
          <w:rFonts w:ascii="Times New Roman" w:cs="Times New Roman" w:eastAsia="Times New Roman" w:hAnsi="Times New Roman"/>
          <w:sz w:val="13"/>
          <w:szCs w:val="13"/>
          <w:color w:val="auto"/>
        </w:rPr>
        <w:t>The prospect of future share dilution related to future transactions could negatively impact our share price and per share results of operations.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 issuances in future significant transactions may reduce our net income per share available to common stockholders, and could negatively impact the trading price of our common stock.</w:t>
      </w:r>
    </w:p>
    <w:p>
      <w:pPr>
        <w:spacing w:after="0" w:line="127" w:lineRule="exact"/>
        <w:rPr>
          <w:sz w:val="20"/>
          <w:szCs w:val="20"/>
          <w:color w:val="auto"/>
        </w:rPr>
      </w:pPr>
    </w:p>
    <w:p>
      <w:pPr>
        <w:ind w:left="20" w:right="559" w:firstLine="228"/>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Climate change legislation. </w:t>
      </w:r>
      <w:r>
        <w:rPr>
          <w:rFonts w:ascii="Times New Roman" w:cs="Times New Roman" w:eastAsia="Times New Roman" w:hAnsi="Times New Roman"/>
          <w:sz w:val="13"/>
          <w:szCs w:val="13"/>
          <w:color w:val="auto"/>
        </w:rPr>
        <w:t>In June 2009, the U.S. House of Representatives approved comprehensive clean energy and climate change legislation intended to cut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greenhouse gas, or GHG, emissions, via a cap-and-trade program. The U.S. Senate did not subsequently pass similar legislation.</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5" w:name="page76"/>
    <w:bookmarkEnd w:id="7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139" w:firstLine="228"/>
        <w:spacing w:after="0" w:line="249" w:lineRule="auto"/>
        <w:rPr>
          <w:sz w:val="20"/>
          <w:szCs w:val="20"/>
          <w:color w:val="auto"/>
        </w:rPr>
      </w:pPr>
      <w:r>
        <w:rPr>
          <w:rFonts w:ascii="Times New Roman" w:cs="Times New Roman" w:eastAsia="Times New Roman" w:hAnsi="Times New Roman"/>
          <w:sz w:val="13"/>
          <w:szCs w:val="13"/>
          <w:color w:val="auto"/>
        </w:rPr>
        <w:t>In the absence of comprehensive federal climate change legislation, regulatory agencies, including the U.S. Environmental Protection Agency, or EPA, and states have taken the lead in regulating GHG emissions in the U.S. Under the Obama administration, from 2009 through 2016, the EPA moved aggressively to regulate GHG emissions from automobiles and large stationary sources, including electricity producers, using its authority under the Clean Air Act. From 2017 through 2020, the Trump administration moved to eliminate or modify certain of the EPA’s GHG emissions regulations and refocus the EPA’s mission away from such regulation. However, the new Biden administration has described climate change regulation as a top priority.</w:t>
      </w:r>
    </w:p>
    <w:p>
      <w:pPr>
        <w:spacing w:after="0" w:line="136" w:lineRule="exact"/>
        <w:rPr>
          <w:sz w:val="20"/>
          <w:szCs w:val="20"/>
          <w:color w:val="auto"/>
        </w:rPr>
      </w:pPr>
    </w:p>
    <w:p>
      <w:pPr>
        <w:ind w:left="20" w:right="59" w:firstLine="228"/>
        <w:spacing w:after="0" w:line="246" w:lineRule="auto"/>
        <w:rPr>
          <w:sz w:val="20"/>
          <w:szCs w:val="20"/>
          <w:color w:val="auto"/>
        </w:rPr>
      </w:pPr>
      <w:r>
        <w:rPr>
          <w:rFonts w:ascii="Times New Roman" w:cs="Times New Roman" w:eastAsia="Times New Roman" w:hAnsi="Times New Roman"/>
          <w:sz w:val="13"/>
          <w:szCs w:val="13"/>
          <w:color w:val="auto"/>
        </w:rPr>
        <w:t>The EPA made an endangerment finding in 2009 that allows it to create regulations imposing emissions reporting, permitting, control technology installation, and monitoring requirements applicable to certain emitters of GHGs, including facilities that provide electricity to our data centers, although the materiality of the impacts will not be fully known until all regulations are finalized and legal challenges are resolved. Under the Obama administration, the EPA finalized rules imposing permitting and control technology requirements upon certain newly-constructed or modified facilities which emit GHGs under the Clean Air Act New Source Review Prevention of Significant Deterioration, or NSR PSD, and Title V permitting programs. As a result, newly-issued NSR PSD and Title V permits for new or modified electricity generating units (EGUs) and other facilities may need to address GHG emissions, including by requiring the installation of “Best Available Control Technology.” The EPA also implemented in December 2015 the “Clean Power Plan” regulating carbon dioxide (CO2) emissions from coal-fired and natural gas EGUs. However, in June 2019 the EPA repealed the Clean Power Plan and issued the “Affordable Clean Energy Rule” to replace the Clean Power Plan. The Affordable Clean Energy Rule requires heat rate efficiency improvements at certain EGUs, but does not place numeric limits on EGU emissions. In January 2021, the U.S. Court of Appeals for the District of Columbia Circuit vacated both the Affordable Clean Energy Rule and the Clean Power Plan repeal rule. Separately, the EPA’s GHG “reporting rule” requires that certain emitters, including electricity generators, monitor and report GHG emissions.</w:t>
      </w:r>
    </w:p>
    <w:p>
      <w:pPr>
        <w:spacing w:after="0" w:line="137" w:lineRule="exact"/>
        <w:rPr>
          <w:sz w:val="20"/>
          <w:szCs w:val="20"/>
          <w:color w:val="auto"/>
        </w:rPr>
      </w:pPr>
    </w:p>
    <w:p>
      <w:pPr>
        <w:ind w:left="20" w:right="99" w:firstLine="228"/>
        <w:spacing w:after="0" w:line="273" w:lineRule="auto"/>
        <w:rPr>
          <w:sz w:val="20"/>
          <w:szCs w:val="20"/>
          <w:color w:val="auto"/>
        </w:rPr>
      </w:pPr>
      <w:r>
        <w:rPr>
          <w:rFonts w:ascii="Times New Roman" w:cs="Times New Roman" w:eastAsia="Times New Roman" w:hAnsi="Times New Roman"/>
          <w:sz w:val="12"/>
          <w:szCs w:val="12"/>
          <w:color w:val="auto"/>
        </w:rPr>
        <w:t>As a result of the former Trump administration policies, states have been driving near-term regulation to reduce GHG emissions in the United States. At the state level, California implemented a GHG cap-and-trade program that began imposing compliance obligations on industrial sectors, including electricity generators and importers, in January 2013. In September 2016, California adopted legislation calling for a further reduction in GHG emissions to 40% below 1990 levels by 2030, and in July 2017, California extended its cap-and-trade program through 2030. In September 2018, California adopted legislation that will require all of the state’s electricity to come from carbon-free sources by 2045. As another example of state action, a number of states have adopted Renewable Portfolio Standards to increase the use of renewable energy, and a number of eastern states participate in the Regional Greenhouse Gas Initiative (RGGI), a market-based program aimed at reducing GHG emissions from power plants.</w:t>
      </w:r>
    </w:p>
    <w:p>
      <w:pPr>
        <w:spacing w:after="0" w:line="121" w:lineRule="exact"/>
        <w:rPr>
          <w:sz w:val="20"/>
          <w:szCs w:val="20"/>
          <w:color w:val="auto"/>
        </w:rPr>
      </w:pPr>
    </w:p>
    <w:p>
      <w:pPr>
        <w:ind w:left="20" w:right="99" w:firstLine="228"/>
        <w:spacing w:after="0" w:line="247" w:lineRule="auto"/>
        <w:rPr>
          <w:sz w:val="20"/>
          <w:szCs w:val="20"/>
          <w:color w:val="auto"/>
        </w:rPr>
      </w:pPr>
      <w:r>
        <w:rPr>
          <w:rFonts w:ascii="Times New Roman" w:cs="Times New Roman" w:eastAsia="Times New Roman" w:hAnsi="Times New Roman"/>
          <w:sz w:val="13"/>
          <w:szCs w:val="13"/>
          <w:color w:val="auto"/>
        </w:rPr>
        <w:t>Outside the United States, the European Union, or EU (as well as the United Kingdom), have been operating since 2005 under a cap-and-trade program, which directly affects the largest emitters of GHGs, including electricity producers from whom we purchase power, and the EU has taken a number of other climate change-related initiatives, including a directive targeted at improving energy efficiency (which introduces energy efficiency auditing requirements). In December 2019, EU leaders endorsed the objective of achieving by 2050 a climate-neutral EU, with net-zero GHG emissions, and in March 2020 the European Commission proposed the European Climate Law to write this goal into the law. The European Commission adopted in September 2020 a proposal to strengthen the EU’s 2030 GHG reduction target from 40% below 1990 levels to at least 55% below 1990 levels, and separately introduced a proposal to institute a carbon import tax, which would cover electricity imports. National legislation may also be implemented independently by members of the EU. It is not yet clear how Brexit will impact the United Kingdom’s approach to climate change regulation; the United Kingdom adopted a target of net-zero GHG emissions by 2050.</w:t>
      </w:r>
    </w:p>
    <w:p>
      <w:pPr>
        <w:spacing w:after="0" w:line="136" w:lineRule="exact"/>
        <w:rPr>
          <w:sz w:val="20"/>
          <w:szCs w:val="20"/>
          <w:color w:val="auto"/>
        </w:rPr>
      </w:pPr>
    </w:p>
    <w:p>
      <w:pPr>
        <w:ind w:left="20" w:right="79" w:firstLine="228"/>
        <w:spacing w:after="0" w:line="256" w:lineRule="auto"/>
        <w:rPr>
          <w:sz w:val="20"/>
          <w:szCs w:val="20"/>
          <w:color w:val="auto"/>
        </w:rPr>
      </w:pPr>
      <w:r>
        <w:rPr>
          <w:rFonts w:ascii="Times New Roman" w:cs="Times New Roman" w:eastAsia="Times New Roman" w:hAnsi="Times New Roman"/>
          <w:sz w:val="13"/>
          <w:szCs w:val="13"/>
          <w:color w:val="auto"/>
        </w:rPr>
        <w:t>The Paris Agreement, which was adopted by the United States and 194 other countries and looks to prevent global average temperatures from increasing by more than 2 degrees Celsius above preindustrial levels officially, went into force in November 2016. President Trump announced in June 2017 that he would initiate the process to withdraw the United States from the Paris Agreement; however, upon his inauguration in January 2021, President Biden signed an order rejoining the Paris Agreement.</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6" w:name="page77"/>
    <w:bookmarkEnd w:id="7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39" w:firstLine="228"/>
        <w:spacing w:after="0" w:line="287" w:lineRule="auto"/>
        <w:rPr>
          <w:sz w:val="20"/>
          <w:szCs w:val="20"/>
          <w:color w:val="auto"/>
        </w:rPr>
      </w:pPr>
      <w:r>
        <w:rPr>
          <w:rFonts w:ascii="Times New Roman" w:cs="Times New Roman" w:eastAsia="Times New Roman" w:hAnsi="Times New Roman"/>
          <w:sz w:val="12"/>
          <w:szCs w:val="12"/>
          <w:color w:val="auto"/>
        </w:rPr>
        <w:t>The Canadian Greenhouse Gas Pollution Pricing Act established a carbon-pricing regime that went into effect in January 2019 for provinces and territories in Canada where there is no provincial system in place already, or where the provincial system does not meet the federal benchmark. However, this act is being challenged in court. Climate change regulations are also in various stages of implementation in other nations as well, including nations where we operate, such as Japan, Singapore, and Australia.</w:t>
      </w:r>
    </w:p>
    <w:p>
      <w:pPr>
        <w:spacing w:after="0" w:line="112" w:lineRule="exact"/>
        <w:rPr>
          <w:sz w:val="20"/>
          <w:szCs w:val="20"/>
          <w:color w:val="auto"/>
        </w:rPr>
      </w:pPr>
    </w:p>
    <w:p>
      <w:pPr>
        <w:ind w:left="20" w:right="59" w:firstLine="228"/>
        <w:spacing w:after="0" w:line="252" w:lineRule="auto"/>
        <w:rPr>
          <w:sz w:val="20"/>
          <w:szCs w:val="20"/>
          <w:color w:val="auto"/>
        </w:rPr>
      </w:pPr>
      <w:r>
        <w:rPr>
          <w:rFonts w:ascii="Times New Roman" w:cs="Times New Roman" w:eastAsia="Times New Roman" w:hAnsi="Times New Roman"/>
          <w:sz w:val="13"/>
          <w:szCs w:val="13"/>
          <w:color w:val="auto"/>
        </w:rPr>
        <w:t>The cost of electric power comprises a significant component of our operating expenses. Any additional taxation or regulation of energy use, including as a result of (i) new legislation that Congress may pass, (ii) the regulations that the EPA has proposed or finalized, (iii) regulations under legislation that states have passed or may pass, or (iv) any further legislation or regulations in the EU or other regions where we operate could significantly increase our costs, and we may not be able to effectively pass all of these costs on to our customers. These matters could adversely impact our business, results of operations, or financial condition.</w:t>
      </w:r>
    </w:p>
    <w:p>
      <w:pPr>
        <w:spacing w:after="0" w:line="130" w:lineRule="exact"/>
        <w:rPr>
          <w:sz w:val="20"/>
          <w:szCs w:val="20"/>
          <w:color w:val="auto"/>
        </w:rPr>
      </w:pPr>
    </w:p>
    <w:p>
      <w:pPr>
        <w:ind w:left="20" w:right="39" w:firstLine="228"/>
        <w:spacing w:after="0" w:line="246" w:lineRule="auto"/>
        <w:rPr>
          <w:sz w:val="20"/>
          <w:szCs w:val="20"/>
          <w:color w:val="auto"/>
        </w:rPr>
      </w:pPr>
      <w:r>
        <w:rPr>
          <w:rFonts w:ascii="Times New Roman" w:cs="Times New Roman" w:eastAsia="Times New Roman" w:hAnsi="Times New Roman"/>
          <w:sz w:val="13"/>
          <w:szCs w:val="13"/>
          <w:i w:val="1"/>
          <w:iCs w:val="1"/>
          <w:color w:val="auto"/>
        </w:rPr>
        <w:t>Interest rates</w:t>
      </w:r>
      <w:r>
        <w:rPr>
          <w:rFonts w:ascii="Times New Roman" w:cs="Times New Roman" w:eastAsia="Times New Roman" w:hAnsi="Times New Roman"/>
          <w:sz w:val="13"/>
          <w:szCs w:val="13"/>
          <w:color w:val="auto"/>
        </w:rPr>
        <w:t>. As of December 31, 2020, we had approximately $181.4 million of variable rate debt subject to interest rate swap agreements, along with $540.2 million,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$460.1 million and $366.5 million of variable rate debt that was outstanding on the global revolving credit facilities, the unswapped portion of the unsecured term loans and the Floating Rate Notes due 2022, respectively. The availability of debt and equity capital may contract or be on unfavorable terms as a result of the circumstances described above under “Global market and economic conditions,” “COVID-19” or other factors. The effects on commercial real estate mortgages, if available, include, but may not be limited to: higher credit spreads, tightened loan covenants, reduced loan-to-value ratios resulting in lower borrower proceeds and higher principal payments. Potential future increases in interest rates and credit spreads may increase our interest expense and fixed charges and negatively affect our financial condition and results of operations, potentially impacting our future access to the debt and equity capital markets. Higher interest rates may also increase the risk that the counterparties to our swap agreements will default on their obligations, which could further increase our interest expense. If we cannot obtain capital from third-party sources, we may not be able to satisfy our debt service obligations, acquire or develop properties when strategic opportunities exist or pay the cash dividends to Digital Realty Trust, Inc.’s stockholders necessary to maintain its qualification as a REIT.</w:t>
      </w:r>
    </w:p>
    <w:p>
      <w:pPr>
        <w:spacing w:after="0" w:line="138" w:lineRule="exact"/>
        <w:rPr>
          <w:sz w:val="20"/>
          <w:szCs w:val="20"/>
          <w:color w:val="auto"/>
        </w:rPr>
      </w:pPr>
    </w:p>
    <w:p>
      <w:pPr>
        <w:ind w:left="20" w:right="99" w:firstLine="228"/>
        <w:spacing w:after="0" w:line="267" w:lineRule="auto"/>
        <w:rPr>
          <w:sz w:val="20"/>
          <w:szCs w:val="20"/>
          <w:color w:val="auto"/>
        </w:rPr>
      </w:pPr>
      <w:r>
        <w:rPr>
          <w:rFonts w:ascii="Times New Roman" w:cs="Times New Roman" w:eastAsia="Times New Roman" w:hAnsi="Times New Roman"/>
          <w:sz w:val="12"/>
          <w:szCs w:val="12"/>
          <w:i w:val="1"/>
          <w:iCs w:val="1"/>
          <w:color w:val="auto"/>
        </w:rPr>
        <w:t>Demand for data center space</w:t>
      </w:r>
      <w:r>
        <w:rPr>
          <w:rFonts w:ascii="Times New Roman" w:cs="Times New Roman" w:eastAsia="Times New Roman" w:hAnsi="Times New Roman"/>
          <w:sz w:val="12"/>
          <w:szCs w:val="12"/>
          <w:color w:val="auto"/>
        </w:rPr>
        <w:t>. Our portfolio consists primarily of data centers. A reduction in the demand for, or an increase in the supply of, data center solutions would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have a greater adverse effect on our business and financial condition than if we owned a portfolio with a more diversified customer base or less specialized use. We have invested in building out additional inventory primarily in what we anticipate will be our most active major metropolitan areas prior to having executed leases for this additional inventory. We believe that demand in key metropolitan areas is largely in line with supply and we continue to see strong demand in other key metropolitan areas across our portfolio. However, until this inventory is leased up, which will depend on a number of factors, including available data center solutions in these metropolitan areas, our return on invested capital will be negatively impacted. Our development activities make us susceptible to general economic slowdowns, including recessions and the other circumstances described above under “Global market and economic conditions” and “COVID-19,” as well as adverse developments in the data center and broader technology industries. Any such slowdown or adverse development could lead to reduced corporate IT spending or reduced demand for data center solutions. Reduced demand could also result from business relocations, including to metropolitan areas we do not currently serve. Changes in industry practice or in technology, such as virtualization technology, more efficient computing or networking devices, or devices that require higher power densities than today’s devices, could also reduce demand for the physical data center capacity we provide or render the improvements in our facilities obsolete or in need of significant upgrades to remain viable. In addition, the development of new technologies, the adoption of new industry standards or other factors could render many of our customers’ current products and services obsolete or unmarketable and contribute to a downturn in their businesses, thereby increasing the likelihood that they default under their leases, become insolvent or file for bankruptcy. In addition, data center demand and/or pricing could be adversely impacted either across our portfolio or in specific metropolitan areas as a result of an increase in the number of competitors, or the amount of competitive supply being offered in our metropolitan areas and other metropolitan areas by our competitors.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7" w:name="page78"/>
    <w:bookmarkEnd w:id="7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Critical Accounting Policies</w:t>
      </w:r>
    </w:p>
    <w:p>
      <w:pPr>
        <w:spacing w:after="0" w:line="156" w:lineRule="exact"/>
        <w:rPr>
          <w:sz w:val="20"/>
          <w:szCs w:val="20"/>
          <w:color w:val="auto"/>
        </w:rPr>
      </w:pPr>
    </w:p>
    <w:p>
      <w:pPr>
        <w:ind w:left="20" w:right="79" w:firstLine="228"/>
        <w:spacing w:after="0" w:line="271" w:lineRule="auto"/>
        <w:rPr>
          <w:sz w:val="20"/>
          <w:szCs w:val="20"/>
          <w:color w:val="auto"/>
        </w:rPr>
      </w:pPr>
      <w:r>
        <w:rPr>
          <w:rFonts w:ascii="Times New Roman" w:cs="Times New Roman" w:eastAsia="Times New Roman" w:hAnsi="Times New Roman"/>
          <w:sz w:val="12"/>
          <w:szCs w:val="12"/>
          <w:color w:val="auto"/>
        </w:rPr>
        <w:t>Our discussion and analysis of our financial condition and results of operations are based upon our consolidated financial statements, which have been prepared in accordance with U.S. generally accepted accounting principles, or GAAP. The preparation of these financial statements in conformity with GAAP requires us to make estimates and assumptions that affect the reported amounts of assets and liabilities at the date of the financial statements and the reported amount of revenues and expenses in the reporting period. Our actual results may differ from these estimates. We have provided a summary of our significant accounting policies in Item 8, Note 2 “Summary of Significant Accounting Policies” in the Notes to Consolidated Financial Statements. We describe below those accounting policies that require material subjective or complex judgments and that have the most significant impact on our financial condition and consolidated results of operations. Our management evaluates these estimates on an ongoing basis, based upon information currently available and on various assumptions management believes are reasonable as of the date on the front cover of this report.</w:t>
      </w:r>
    </w:p>
    <w:p>
      <w:pPr>
        <w:spacing w:after="0" w:line="122" w:lineRule="exact"/>
        <w:rPr>
          <w:sz w:val="20"/>
          <w:szCs w:val="20"/>
          <w:color w:val="auto"/>
        </w:rPr>
      </w:pPr>
    </w:p>
    <w:p>
      <w:pPr>
        <w:jc w:val="both"/>
        <w:ind w:left="20" w:right="419" w:firstLine="228"/>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Business combinations and real estate asset acquisitions. </w:t>
      </w:r>
      <w:r>
        <w:rPr>
          <w:rFonts w:ascii="Times New Roman" w:cs="Times New Roman" w:eastAsia="Times New Roman" w:hAnsi="Times New Roman"/>
          <w:sz w:val="13"/>
          <w:szCs w:val="13"/>
          <w:color w:val="auto"/>
        </w:rPr>
        <w:t>The price that we pay to acquire a business or a real estate asset is impacted by many factors including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condition of the property and improvements, the occupancy of the building, the term and rate of in-place leases, the customer attrition rate, the customer growth rates, the creditworthiness of the customers, favorable or unfavorable financing, above- or below-market ground leases and numerous other factors.</w:t>
      </w:r>
    </w:p>
    <w:p>
      <w:pPr>
        <w:spacing w:after="0" w:line="129" w:lineRule="exact"/>
        <w:rPr>
          <w:sz w:val="20"/>
          <w:szCs w:val="20"/>
          <w:color w:val="auto"/>
        </w:rPr>
      </w:pPr>
    </w:p>
    <w:p>
      <w:pPr>
        <w:ind w:left="20" w:right="39" w:firstLine="228"/>
        <w:spacing w:after="0" w:line="268" w:lineRule="auto"/>
        <w:rPr>
          <w:sz w:val="20"/>
          <w:szCs w:val="20"/>
          <w:color w:val="auto"/>
        </w:rPr>
      </w:pPr>
      <w:r>
        <w:rPr>
          <w:rFonts w:ascii="Times New Roman" w:cs="Times New Roman" w:eastAsia="Times New Roman" w:hAnsi="Times New Roman"/>
          <w:sz w:val="12"/>
          <w:szCs w:val="12"/>
          <w:color w:val="auto"/>
        </w:rPr>
        <w:t>Accordingly, we are required to make subjective assessments to allocate the purchase price paid to acquire businesses and real estate assets among the identifiable assets including intangibles and liabilities assumed based on our estimate of the fair value of such assets and liabilities. This includes determining the value of the property and improvements, land, ground leases, if any, and tenant improvements. Additionally, we evaluate the value of in-place leases on occupancy and market rent, the value of the customer relationships, the value (or negative value) of above (or below) market leases, any debt or deferred taxes assumed from the seller or loans made by the seller to us, any building leases assumed from the seller and, only in the case of business combinations, goodwill. Each of these estimates requires a great deal of judgment and some of the estimates involve complex calculations. These allocation assessments have a direct impact on our results of operations. For example, if we were to allocate more value to land, there would be no depreciation with respect to such amount. If we were to allocate more value to the property as opposed to allocating to the value of in-place tenant leases, this amount would be recognized as an expense over a much longer period of time. This potential effect occurs because the amounts allocated to property are depreciated over the estimated lives of the property whereas amounts allocated to in-place tenant leases are amortized over the estimated term (including renewal and extension assumptions) of the leases. Additionally, the amortization of the value (or negative value) assigned to above (or below) market rate leases is recorded as an adjustment to rental revenue as compared to amortization of the value of in-place tenant leases and customer relationships, which is included in depreciation and amortization in our consolidated income statements.</w:t>
      </w:r>
    </w:p>
    <w:p>
      <w:pPr>
        <w:spacing w:after="0" w:line="128" w:lineRule="exact"/>
        <w:rPr>
          <w:sz w:val="20"/>
          <w:szCs w:val="20"/>
          <w:color w:val="auto"/>
        </w:rPr>
      </w:pPr>
    </w:p>
    <w:p>
      <w:pPr>
        <w:ind w:left="20" w:right="59" w:firstLine="228"/>
        <w:spacing w:after="0" w:line="256" w:lineRule="auto"/>
        <w:rPr>
          <w:sz w:val="20"/>
          <w:szCs w:val="20"/>
          <w:color w:val="auto"/>
        </w:rPr>
      </w:pPr>
      <w:r>
        <w:rPr>
          <w:rFonts w:ascii="Times New Roman" w:cs="Times New Roman" w:eastAsia="Times New Roman" w:hAnsi="Times New Roman"/>
          <w:sz w:val="13"/>
          <w:szCs w:val="13"/>
          <w:color w:val="auto"/>
        </w:rPr>
        <w:t>From time to time, we will receive offers from third parties to purchase our properties, either solicited or unsolicited. For those offers that we accept, the prospective buyers will usually require a due diligence period before consummation of the transactions. It is not unusual for matters to arise that result in the withdrawal or rejection of the offer during this process. We classify real estate as “held for sale” when all criteria under the GAAP guidance have been met.</w:t>
      </w:r>
    </w:p>
    <w:p>
      <w:pPr>
        <w:spacing w:after="0" w:line="127" w:lineRule="exact"/>
        <w:rPr>
          <w:sz w:val="20"/>
          <w:szCs w:val="20"/>
          <w:color w:val="auto"/>
        </w:rPr>
      </w:pPr>
    </w:p>
    <w:p>
      <w:pPr>
        <w:ind w:left="20" w:right="159" w:firstLine="228"/>
        <w:spacing w:after="0" w:line="253" w:lineRule="auto"/>
        <w:rPr>
          <w:sz w:val="20"/>
          <w:szCs w:val="20"/>
          <w:color w:val="auto"/>
        </w:rPr>
      </w:pPr>
      <w:r>
        <w:rPr>
          <w:rFonts w:ascii="Times New Roman" w:cs="Times New Roman" w:eastAsia="Times New Roman" w:hAnsi="Times New Roman"/>
          <w:sz w:val="13"/>
          <w:szCs w:val="13"/>
          <w:i w:val="1"/>
          <w:iCs w:val="1"/>
          <w:color w:val="auto"/>
        </w:rPr>
        <w:t xml:space="preserve">Revenue Recognition. </w:t>
      </w:r>
      <w:r>
        <w:rPr>
          <w:rFonts w:ascii="Times New Roman" w:cs="Times New Roman" w:eastAsia="Times New Roman" w:hAnsi="Times New Roman"/>
          <w:sz w:val="13"/>
          <w:szCs w:val="13"/>
          <w:color w:val="auto"/>
        </w:rPr>
        <w:t>The majority of our revenue is derived from lease arrangements, which we account for pursuant to Topic 842 commencing on January 1, 2019. We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accounted for the non-lease components within our lease arrangements (prior to the adoption of Topic 842), as well as other sources of revenue, in accordance with Topic 606. Upon the adoption of Topic 842, we elected the practical expedient that requires us to account for lease and non-lease components associated with that lease as a single lease component, which are recorded within rental revenue.</w:t>
      </w:r>
    </w:p>
    <w:p>
      <w:pPr>
        <w:spacing w:after="0" w:line="131" w:lineRule="exact"/>
        <w:rPr>
          <w:sz w:val="20"/>
          <w:szCs w:val="20"/>
          <w:color w:val="auto"/>
        </w:rPr>
      </w:pPr>
    </w:p>
    <w:p>
      <w:pPr>
        <w:ind w:left="20" w:right="39" w:firstLine="228"/>
        <w:spacing w:after="0" w:line="256" w:lineRule="auto"/>
        <w:rPr>
          <w:sz w:val="20"/>
          <w:szCs w:val="20"/>
          <w:color w:val="auto"/>
        </w:rPr>
      </w:pPr>
      <w:r>
        <w:rPr>
          <w:rFonts w:ascii="Times New Roman" w:cs="Times New Roman" w:eastAsia="Times New Roman" w:hAnsi="Times New Roman"/>
          <w:sz w:val="13"/>
          <w:szCs w:val="13"/>
          <w:color w:val="auto"/>
        </w:rPr>
        <w:t>We commence recognition of income from rentals related to the operating leases at the date the property is ready for its intended use by the tenant and the tenant takes possession, or controls the physical use, of the leased asset. Our leases are classified as operating leases and minimum rents are recognized on a straight-line basis over the terms of the leases, which may span multiple years. The excess of rents recognized over amounts contractually due pursuant to the</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8" w:name="page79"/>
    <w:bookmarkEnd w:id="7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259"/>
        <w:spacing w:after="0" w:line="252" w:lineRule="auto"/>
        <w:rPr>
          <w:sz w:val="20"/>
          <w:szCs w:val="20"/>
          <w:color w:val="auto"/>
        </w:rPr>
      </w:pPr>
      <w:r>
        <w:rPr>
          <w:rFonts w:ascii="Times New Roman" w:cs="Times New Roman" w:eastAsia="Times New Roman" w:hAnsi="Times New Roman"/>
          <w:sz w:val="13"/>
          <w:szCs w:val="13"/>
          <w:color w:val="auto"/>
        </w:rPr>
        <w:t>underlying leases is included in deferred rent in the accompanying consolidated balance sheets and contractually due but unpaid rents are included in accounts and other receivables. As of December 31, 2020 and 2019, the balance of deferred rent was $528.2 million and $478.7 million, respectively, and rent receivable, net of allowance, was $358.0 million and $186.8 million, respectively, and is classified within accounts and other receivables, net of allowance for doubtful accounts in the accompanying consolidated balance sheets.</w:t>
      </w:r>
    </w:p>
    <w:p>
      <w:pPr>
        <w:spacing w:after="0" w:line="132" w:lineRule="exact"/>
        <w:rPr>
          <w:sz w:val="20"/>
          <w:szCs w:val="20"/>
          <w:color w:val="auto"/>
        </w:rPr>
      </w:pPr>
    </w:p>
    <w:p>
      <w:pPr>
        <w:ind w:left="20" w:right="59" w:firstLine="228"/>
        <w:spacing w:after="0" w:line="246" w:lineRule="auto"/>
        <w:rPr>
          <w:sz w:val="20"/>
          <w:szCs w:val="20"/>
          <w:color w:val="auto"/>
        </w:rPr>
      </w:pPr>
      <w:r>
        <w:rPr>
          <w:rFonts w:ascii="Times New Roman" w:cs="Times New Roman" w:eastAsia="Times New Roman" w:hAnsi="Times New Roman"/>
          <w:sz w:val="13"/>
          <w:szCs w:val="13"/>
          <w:color w:val="auto"/>
        </w:rPr>
        <w:t>We make subjective estimates as to the probability of collection of substantially all lease payments over the term of a lease. We specifically analyze customer creditworthiness, accounts receivable and historical bad debts and current economic trends when evaluating the probability of collection. If collection of substantially all lease payments over the term of a lease is deemed not probable, rental revenue would be recognized when payment is received and revenue would not be recognized on a straight-line basis. We monitor the probability of collection over the life of the lease and in the event the collection of substantially all lease payments is no longer probable, we cease recognizing revenue on a straight-line basis and write-off the balance of all deferred rent related to the lease and commence recording rental revenue on a cash collected basis. In addition, we record a full valuation allowance on the balance of any accounts receivable, less the balance of any security deposits or letters of account. In the event that we subsequently determine the collection is probable, we resume recognizing rental revenue on a straight-line basis and record the incremental revenue such that the cumulative rental revenue is equal to the amount of revenue that would have been recorded on a straight-line basis since the inception of the lease. We also would reverse the allowance for bad debt recorded on the balance of accounts receivable.</w:t>
      </w:r>
    </w:p>
    <w:p>
      <w:pPr>
        <w:spacing w:after="0" w:line="138" w:lineRule="exact"/>
        <w:rPr>
          <w:sz w:val="20"/>
          <w:szCs w:val="20"/>
          <w:color w:val="auto"/>
        </w:rPr>
      </w:pPr>
    </w:p>
    <w:p>
      <w:pPr>
        <w:ind w:left="20" w:right="59" w:firstLine="228"/>
        <w:spacing w:after="0" w:line="268" w:lineRule="auto"/>
        <w:rPr>
          <w:sz w:val="20"/>
          <w:szCs w:val="20"/>
          <w:color w:val="auto"/>
        </w:rPr>
      </w:pPr>
      <w:r>
        <w:rPr>
          <w:rFonts w:ascii="Times New Roman" w:cs="Times New Roman" w:eastAsia="Times New Roman" w:hAnsi="Times New Roman"/>
          <w:sz w:val="12"/>
          <w:szCs w:val="12"/>
          <w:i w:val="1"/>
          <w:iCs w:val="1"/>
          <w:color w:val="auto"/>
        </w:rPr>
        <w:t xml:space="preserve">Asset impairment evaluation. </w:t>
      </w:r>
      <w:r>
        <w:rPr>
          <w:rFonts w:ascii="Times New Roman" w:cs="Times New Roman" w:eastAsia="Times New Roman" w:hAnsi="Times New Roman"/>
          <w:sz w:val="12"/>
          <w:szCs w:val="12"/>
          <w:color w:val="auto"/>
        </w:rPr>
        <w:t>We review each of our properties for indicators that its carrying amount may not be recoverable. Examples of such indicators may include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significant decrease in the market price of the property, a change in the expected holding period for the property, a significant adverse change in how the property is being used or expected to be used based on the underwriting at the time of acquisition, an accumulation of costs significantly in excess of the amount originally expected for the acquisition or development of the property, or a history of operating or cash flow losses of the property. When such impairment indicators exist, we review an estimate of the future undiscounted net cash flows (excluding interest charges) expected to result from the property’s or asset group’s use and eventual disposition and compare that estimate to the carrying value of the property or the asset group. We consider factors such as future operating income, trends and prospects, as well as the effects of leasing demand, competition and other factors. If our future undiscounted net cash flow evaluation indicates that we are unable to recover the carrying value of a property or asset group, an impairment loss is recorded to the extent that the carrying value exceeds the estimated fair value of the property or fair value of the properties within the asset group. These losses have a direct impact on our net income because recording an impairment loss results in an immediate negative adjustment to net income. The evaluation of anticipated cash flows is highly subjective and is based in part on assumptions regarding future occupancy, rental rates and capital requirements that could differ materially from actual results in future periods. Since cash flows on properties considered to be long-lived assets to be held and used are considered on an undiscounted basis to determine whether the carrying value of a property or asset group is recoverable, our strategy of holding properties over the long-term directly decreases the likelihood of their carrying values not being recoverable and therefore requiring the recording of an impairment loss. If our strategy changes or market conditions otherwise dictate an earlier sale date, an impairment loss may be recognized, and such loss could be material. If we determine that the asset fails the recoverability test, the affected assets must be reduced to their fair value.</w:t>
      </w:r>
    </w:p>
    <w:p>
      <w:pPr>
        <w:spacing w:after="0" w:line="123" w:lineRule="exact"/>
        <w:rPr>
          <w:sz w:val="20"/>
          <w:szCs w:val="20"/>
          <w:color w:val="auto"/>
        </w:rPr>
      </w:pPr>
    </w:p>
    <w:p>
      <w:pPr>
        <w:ind w:left="20" w:right="339" w:firstLine="228"/>
        <w:spacing w:after="0" w:line="256" w:lineRule="auto"/>
        <w:rPr>
          <w:sz w:val="20"/>
          <w:szCs w:val="20"/>
          <w:color w:val="auto"/>
        </w:rPr>
      </w:pPr>
      <w:r>
        <w:rPr>
          <w:rFonts w:ascii="Times New Roman" w:cs="Times New Roman" w:eastAsia="Times New Roman" w:hAnsi="Times New Roman"/>
          <w:sz w:val="13"/>
          <w:szCs w:val="13"/>
          <w:color w:val="auto"/>
        </w:rPr>
        <w:t>We generally estimate the fair value of rental properties utilizing a discounted cash flow analysis that includes projections of future revenues, expenses and capital improvement costs that a market participant would use based on the highest and best use of the asset, which is similar to the income approach that is commonly utilized by appraisers. In certain cases, we may supplement this analysis by obtaining outside broker opinions of value.</w:t>
      </w:r>
    </w:p>
    <w:p>
      <w:pPr>
        <w:spacing w:after="0" w:line="127" w:lineRule="exact"/>
        <w:rPr>
          <w:sz w:val="20"/>
          <w:szCs w:val="20"/>
          <w:color w:val="auto"/>
        </w:rPr>
      </w:pPr>
    </w:p>
    <w:p>
      <w:pPr>
        <w:ind w:left="20" w:right="199" w:firstLine="228"/>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Goodwill impairment evaluation. </w:t>
      </w:r>
      <w:r>
        <w:rPr>
          <w:rFonts w:ascii="Times New Roman" w:cs="Times New Roman" w:eastAsia="Times New Roman" w:hAnsi="Times New Roman"/>
          <w:sz w:val="13"/>
          <w:szCs w:val="13"/>
          <w:color w:val="auto"/>
        </w:rPr>
        <w:t>We perform an annual impairment test for goodwill and between annual tests, we evaluate goodwill for impairment whenever events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changes in circumstances occur that would more likely than not reduce the fair value of a reporting unit below its carrying value.</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9" w:name="page80"/>
    <w:bookmarkEnd w:id="7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Recently Issued Accounting Pronouncements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Please refer to Item 8, Note 2(aa) in the Notes to the Consolidated Financial Statements for new accounting standards adopted in 2020.</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56" w:lineRule="exact"/>
        <w:rPr>
          <w:sz w:val="20"/>
          <w:szCs w:val="20"/>
          <w:color w:val="auto"/>
        </w:rPr>
      </w:pPr>
    </w:p>
    <w:p>
      <w:pPr>
        <w:ind w:left="20" w:right="219" w:firstLine="228"/>
        <w:spacing w:after="0" w:line="268" w:lineRule="auto"/>
        <w:rPr>
          <w:sz w:val="20"/>
          <w:szCs w:val="20"/>
          <w:color w:val="auto"/>
        </w:rPr>
      </w:pPr>
      <w:r>
        <w:rPr>
          <w:rFonts w:ascii="Times New Roman" w:cs="Times New Roman" w:eastAsia="Times New Roman" w:hAnsi="Times New Roman"/>
          <w:sz w:val="13"/>
          <w:szCs w:val="13"/>
          <w:color w:val="auto"/>
        </w:rPr>
        <w:t>The discussion below relates to our results of operations for the years ended December 31, 2020, 2019 and 2018. A summary of our operating results for the years ended December 31, 2020, 2019 and 2018 is as follows (in thousands).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72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jc w:val="right"/>
              <w:ind w:right="498"/>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jc w:val="right"/>
              <w:ind w:right="499"/>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2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jc w:val="right"/>
              <w:ind w:right="498"/>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Income Statement Data:</w:t>
            </w: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Total operating revenues</w:t>
            </w:r>
          </w:p>
        </w:tc>
        <w:tc>
          <w:tcPr>
            <w:tcW w:w="1140" w:type="dxa"/>
            <w:vAlign w:val="bottom"/>
            <w:gridSpan w:val="2"/>
          </w:tcPr>
          <w:p>
            <w:pPr>
              <w:jc w:val="right"/>
              <w:ind w:right="18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3,903,609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3,209,241</w:t>
            </w:r>
          </w:p>
        </w:tc>
        <w:tc>
          <w:tcPr>
            <w:tcW w:w="540" w:type="dxa"/>
            <w:vAlign w:val="bottom"/>
            <w:gridSpan w:val="2"/>
          </w:tcPr>
          <w:p>
            <w:pPr>
              <w:jc w:val="right"/>
              <w:ind w:right="18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3,046,478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8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(3,346,083)</w:t>
            </w:r>
          </w:p>
        </w:tc>
        <w:tc>
          <w:tcPr>
            <w:tcW w:w="2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(2,615,026)</w:t>
            </w:r>
          </w:p>
        </w:tc>
        <w:tc>
          <w:tcPr>
            <w:tcW w:w="2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(2,496,691)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auto"/>
              </w:rPr>
              <w:t>Operating income</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557,526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594,215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549,787</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Equity in (loss) earnings of unconsolidated joint ventures</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(57,629)</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8,067</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32,979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on disposition of properties, net</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316,894</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267,651</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80,049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Gain on deconsolidation, net</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67,497</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other income, net</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20,222</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66,000</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(333,021)</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(353,057)</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(321,529)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early extinguishment of debt</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(103,215)</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(39,157)</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8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(38,047)</w:t>
            </w:r>
          </w:p>
        </w:tc>
        <w:tc>
          <w:tcPr>
            <w:tcW w:w="2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(11,995)</w:t>
            </w:r>
          </w:p>
        </w:tc>
        <w:tc>
          <w:tcPr>
            <w:tcW w:w="2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20" w:type="dxa"/>
            <w:vAlign w:val="bottom"/>
            <w:tcBorders>
              <w:bottom w:val="single" w:sz="8" w:color="CCEEFF"/>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362,730</w:t>
            </w:r>
          </w:p>
        </w:tc>
        <w:tc>
          <w:tcPr>
            <w:tcW w:w="2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599,221</w:t>
            </w:r>
          </w:p>
        </w:tc>
        <w:tc>
          <w:tcPr>
            <w:tcW w:w="2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341,115</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0" w:right="39" w:firstLine="228"/>
        <w:spacing w:after="0" w:line="249" w:lineRule="auto"/>
        <w:rPr>
          <w:sz w:val="20"/>
          <w:szCs w:val="20"/>
          <w:color w:val="auto"/>
        </w:rPr>
      </w:pPr>
      <w:r>
        <w:rPr>
          <w:rFonts w:ascii="Times New Roman" w:cs="Times New Roman" w:eastAsia="Times New Roman" w:hAnsi="Times New Roman"/>
          <w:sz w:val="13"/>
          <w:szCs w:val="13"/>
          <w:color w:val="auto"/>
        </w:rPr>
        <w:t>Our property portfolio has experienced consistent and significant growth since the first property acquisition in January 2002. As a result of this growth, our period-to-period comparison of our financial performance focuses on the impact on our revenues and expenses on a stabilized portfolio basis. Our stabilized portfolio includes properties owned as of December 31, 2018 with less than 5% of total rentable square feet under development and excludes properties that were undergoing, or were expected to undergo, development activities in 2019-2020 and properties sold or contributed to joint ventures. Our non-stabilized pool includes the results of the newly acquired operating properties and newly delivered properties that were previously under development.</w:t>
      </w:r>
    </w:p>
    <w:p>
      <w:pPr>
        <w:spacing w:after="0" w:line="286" w:lineRule="exact"/>
        <w:rPr>
          <w:sz w:val="20"/>
          <w:szCs w:val="20"/>
          <w:color w:val="auto"/>
        </w:rPr>
      </w:pPr>
    </w:p>
    <w:p>
      <w:pPr>
        <w:ind w:left="20" w:right="459" w:firstLine="228"/>
        <w:spacing w:after="0" w:line="271" w:lineRule="auto"/>
        <w:rPr>
          <w:sz w:val="20"/>
          <w:szCs w:val="20"/>
          <w:color w:val="auto"/>
        </w:rPr>
      </w:pPr>
      <w:r>
        <w:rPr>
          <w:rFonts w:ascii="Times New Roman" w:cs="Times New Roman" w:eastAsia="Times New Roman" w:hAnsi="Times New Roman"/>
          <w:sz w:val="13"/>
          <w:szCs w:val="13"/>
          <w:i w:val="1"/>
          <w:iCs w:val="1"/>
          <w:color w:val="auto"/>
        </w:rPr>
        <w:t>Comparison of the Year Ended December 31, 2020 to the Year Ended December 31, 2019 and Comparison of the Year Ended December 31, 2019 to the Year Ended December 31, 2018</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Portfolio</w:t>
      </w:r>
    </w:p>
    <w:p>
      <w:pPr>
        <w:spacing w:after="0" w:line="156" w:lineRule="exact"/>
        <w:rPr>
          <w:sz w:val="20"/>
          <w:szCs w:val="20"/>
          <w:color w:val="auto"/>
        </w:rPr>
      </w:pPr>
    </w:p>
    <w:p>
      <w:pPr>
        <w:ind w:left="20" w:right="39" w:firstLine="228"/>
        <w:spacing w:after="0" w:line="247" w:lineRule="auto"/>
        <w:rPr>
          <w:sz w:val="20"/>
          <w:szCs w:val="20"/>
          <w:color w:val="auto"/>
        </w:rPr>
      </w:pPr>
      <w:r>
        <w:rPr>
          <w:rFonts w:ascii="Times New Roman" w:cs="Times New Roman" w:eastAsia="Times New Roman" w:hAnsi="Times New Roman"/>
          <w:sz w:val="13"/>
          <w:szCs w:val="13"/>
          <w:color w:val="auto"/>
        </w:rPr>
        <w:t>As of December 31, 2020, our portfolio consisted of 291 data centers, including 43 data centers held as investments in unconsolidated joint ventures, with an aggregate of 43.6 million rentable square feet including 5.4 million square feet of space under active development and 2.3 million square feet of space held for development compared to a portfolio consisting of 225 data centers, including 12 held-for-sale data centers and 41 data centers held as investments in unconsolidated joint ventures, with an aggregate of approximately 36.6 million rentable square feet including 5.4 million square feet of space under active development and 2.3 million square feet of space held for development as of December 31, 2019 and compared to a portfolio consisting of 214 data centers, including 18 data centers held as investments in unconsolidated joint ventures, with an aggregate of approximately 34.5 million rentable square feet including 3.4 million square feet of space under active development and 2.1 million square feet of space held for development as of December 31, 2018.</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80" w:name="page81"/>
    <w:bookmarkEnd w:id="8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Revenues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Total operating revenues for the years ended December 31, 2020, 2019 and 2018 were as follows (in thousands):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20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6"/>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tcBorders>
              <w:bottom w:val="single" w:sz="8" w:color="auto"/>
            </w:tcBorders>
            <w:gridSpan w:val="3"/>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Percentage Change</w:t>
            </w:r>
          </w:p>
        </w:tc>
        <w:tc>
          <w:tcPr>
            <w:tcW w:w="160" w:type="dxa"/>
            <w:vAlign w:val="bottom"/>
          </w:tcPr>
          <w:p>
            <w:pPr>
              <w:spacing w:after="0"/>
              <w:rPr>
                <w:sz w:val="11"/>
                <w:szCs w:val="11"/>
                <w:color w:val="auto"/>
              </w:rPr>
            </w:pPr>
          </w:p>
        </w:tc>
      </w:tr>
      <w:tr>
        <w:trPr>
          <w:trHeight w:val="103"/>
        </w:trPr>
        <w:tc>
          <w:tcPr>
            <w:tcW w:w="2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right"/>
              <w:ind w:right="246"/>
              <w:spacing w:after="0" w:line="104" w:lineRule="exact"/>
              <w:rPr>
                <w:sz w:val="20"/>
                <w:szCs w:val="20"/>
                <w:color w:val="auto"/>
              </w:rPr>
            </w:pPr>
            <w:r>
              <w:rPr>
                <w:rFonts w:ascii="Times New Roman" w:cs="Times New Roman" w:eastAsia="Times New Roman" w:hAnsi="Times New Roman"/>
                <w:sz w:val="11"/>
                <w:szCs w:val="11"/>
                <w:b w:val="1"/>
                <w:bCs w:val="1"/>
                <w:color w:val="auto"/>
              </w:rPr>
              <w:t>2020</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ind w:right="226"/>
              <w:spacing w:after="0" w:line="104" w:lineRule="exact"/>
              <w:rPr>
                <w:sz w:val="20"/>
                <w:szCs w:val="20"/>
                <w:color w:val="auto"/>
              </w:rPr>
            </w:pPr>
            <w:r>
              <w:rPr>
                <w:rFonts w:ascii="Times New Roman" w:cs="Times New Roman" w:eastAsia="Times New Roman" w:hAnsi="Times New Roman"/>
                <w:sz w:val="11"/>
                <w:szCs w:val="11"/>
                <w:b w:val="1"/>
                <w:bCs w:val="1"/>
                <w:color w:val="auto"/>
              </w:rPr>
              <w:t>2019</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ind w:right="246"/>
              <w:spacing w:after="0" w:line="104" w:lineRule="exact"/>
              <w:rPr>
                <w:sz w:val="20"/>
                <w:szCs w:val="20"/>
                <w:color w:val="auto"/>
              </w:rPr>
            </w:pPr>
            <w:r>
              <w:rPr>
                <w:rFonts w:ascii="Times New Roman" w:cs="Times New Roman" w:eastAsia="Times New Roman" w:hAnsi="Times New Roman"/>
                <w:sz w:val="11"/>
                <w:szCs w:val="11"/>
                <w:b w:val="1"/>
                <w:bCs w:val="1"/>
                <w:color w:val="auto"/>
              </w:rPr>
              <w:t>2018</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ind w:left="40"/>
              <w:spacing w:after="0" w:line="104" w:lineRule="exact"/>
              <w:rPr>
                <w:sz w:val="20"/>
                <w:szCs w:val="20"/>
                <w:color w:val="auto"/>
              </w:rPr>
            </w:pPr>
            <w:r>
              <w:rPr>
                <w:rFonts w:ascii="Times New Roman" w:cs="Times New Roman" w:eastAsia="Times New Roman" w:hAnsi="Times New Roman"/>
                <w:sz w:val="11"/>
                <w:szCs w:val="11"/>
                <w:b w:val="1"/>
                <w:bCs w:val="1"/>
                <w:color w:val="auto"/>
              </w:rPr>
              <w:t>2020 vs 2019</w:t>
            </w:r>
          </w:p>
        </w:tc>
        <w:tc>
          <w:tcPr>
            <w:tcW w:w="120" w:type="dxa"/>
            <w:vAlign w:val="bottom"/>
          </w:tcPr>
          <w:p>
            <w:pPr>
              <w:spacing w:after="0"/>
              <w:rPr>
                <w:sz w:val="8"/>
                <w:szCs w:val="8"/>
                <w:color w:val="auto"/>
              </w:rPr>
            </w:pPr>
          </w:p>
        </w:tc>
        <w:tc>
          <w:tcPr>
            <w:tcW w:w="740" w:type="dxa"/>
            <w:vAlign w:val="bottom"/>
          </w:tcPr>
          <w:p>
            <w:pPr>
              <w:jc w:val="right"/>
              <w:ind w:right="86"/>
              <w:spacing w:after="0" w:line="104" w:lineRule="exact"/>
              <w:rPr>
                <w:sz w:val="20"/>
                <w:szCs w:val="20"/>
                <w:color w:val="auto"/>
              </w:rPr>
            </w:pPr>
            <w:r>
              <w:rPr>
                <w:rFonts w:ascii="Times New Roman" w:cs="Times New Roman" w:eastAsia="Times New Roman" w:hAnsi="Times New Roman"/>
                <w:sz w:val="11"/>
                <w:szCs w:val="11"/>
                <w:b w:val="1"/>
                <w:bCs w:val="1"/>
                <w:color w:val="auto"/>
                <w:w w:val="97"/>
              </w:rPr>
              <w:t>2019 vs 2018</w:t>
            </w:r>
          </w:p>
        </w:tc>
        <w:tc>
          <w:tcPr>
            <w:tcW w:w="140" w:type="dxa"/>
            <w:vAlign w:val="bottom"/>
          </w:tcPr>
          <w:p>
            <w:pPr>
              <w:spacing w:after="0"/>
              <w:rPr>
                <w:sz w:val="8"/>
                <w:szCs w:val="8"/>
                <w:color w:val="auto"/>
              </w:rPr>
            </w:pPr>
          </w:p>
        </w:tc>
        <w:tc>
          <w:tcPr>
            <w:tcW w:w="880" w:type="dxa"/>
            <w:vAlign w:val="bottom"/>
          </w:tcPr>
          <w:p>
            <w:pPr>
              <w:jc w:val="right"/>
              <w:ind w:right="106"/>
              <w:spacing w:after="0" w:line="104" w:lineRule="exact"/>
              <w:rPr>
                <w:sz w:val="20"/>
                <w:szCs w:val="20"/>
                <w:color w:val="auto"/>
              </w:rPr>
            </w:pPr>
            <w:r>
              <w:rPr>
                <w:rFonts w:ascii="Times New Roman" w:cs="Times New Roman" w:eastAsia="Times New Roman" w:hAnsi="Times New Roman"/>
                <w:sz w:val="11"/>
                <w:szCs w:val="11"/>
                <w:b w:val="1"/>
                <w:bCs w:val="1"/>
                <w:color w:val="auto"/>
              </w:rPr>
              <w:t>2020 vs 2019</w:t>
            </w:r>
          </w:p>
        </w:tc>
        <w:tc>
          <w:tcPr>
            <w:tcW w:w="180" w:type="dxa"/>
            <w:vAlign w:val="bottom"/>
          </w:tcPr>
          <w:p>
            <w:pPr>
              <w:spacing w:after="0"/>
              <w:rPr>
                <w:sz w:val="8"/>
                <w:szCs w:val="8"/>
                <w:color w:val="auto"/>
              </w:rPr>
            </w:pPr>
          </w:p>
        </w:tc>
        <w:tc>
          <w:tcPr>
            <w:tcW w:w="880" w:type="dxa"/>
            <w:vAlign w:val="bottom"/>
          </w:tcPr>
          <w:p>
            <w:pPr>
              <w:jc w:val="right"/>
              <w:ind w:right="86"/>
              <w:spacing w:after="0" w:line="104" w:lineRule="exact"/>
              <w:rPr>
                <w:sz w:val="20"/>
                <w:szCs w:val="20"/>
                <w:color w:val="auto"/>
              </w:rPr>
            </w:pPr>
            <w:r>
              <w:rPr>
                <w:rFonts w:ascii="Times New Roman" w:cs="Times New Roman" w:eastAsia="Times New Roman" w:hAnsi="Times New Roman"/>
                <w:sz w:val="11"/>
                <w:szCs w:val="11"/>
                <w:b w:val="1"/>
                <w:bCs w:val="1"/>
                <w:color w:val="auto"/>
              </w:rPr>
              <w:t>2019 vs 2018</w:t>
            </w:r>
          </w:p>
        </w:tc>
        <w:tc>
          <w:tcPr>
            <w:tcW w:w="160" w:type="dxa"/>
            <w:vAlign w:val="bottom"/>
          </w:tcPr>
          <w:p>
            <w:pPr>
              <w:spacing w:after="0"/>
              <w:rPr>
                <w:sz w:val="8"/>
                <w:szCs w:val="8"/>
                <w:color w:val="auto"/>
              </w:rPr>
            </w:pPr>
          </w:p>
        </w:tc>
      </w:tr>
      <w:tr>
        <w:trPr>
          <w:trHeight w:val="103"/>
        </w:trPr>
        <w:tc>
          <w:tcPr>
            <w:tcW w:w="202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1"/>
                <w:szCs w:val="11"/>
                <w:color w:val="auto"/>
              </w:rPr>
              <w:t>Rental and other services</w:t>
            </w:r>
          </w:p>
        </w:tc>
        <w:tc>
          <w:tcPr>
            <w:tcW w:w="160" w:type="dxa"/>
            <w:vAlign w:val="bottom"/>
            <w:tcBorders>
              <w:top w:val="single" w:sz="8" w:color="auto"/>
            </w:tcBorders>
            <w:shd w:val="clear" w:color="auto" w:fill="CCEEFF"/>
          </w:tcPr>
          <w:p>
            <w:pPr>
              <w:jc w:val="right"/>
              <w:ind w:right="4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3,886,546</w:t>
            </w: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ind w:right="6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3,196,356</w:t>
            </w:r>
          </w:p>
        </w:tc>
        <w:tc>
          <w:tcPr>
            <w:tcW w:w="1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2,412,076</w:t>
            </w: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690,190</w:t>
            </w: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784,280</w:t>
            </w:r>
          </w:p>
        </w:tc>
        <w:tc>
          <w:tcPr>
            <w:tcW w:w="14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21.6</w:t>
            </w:r>
          </w:p>
        </w:tc>
        <w:tc>
          <w:tcPr>
            <w:tcW w:w="180" w:type="dxa"/>
            <w:vAlign w:val="bottom"/>
            <w:tcBorders>
              <w:top w:val="single" w:sz="8" w:color="CCEEFF"/>
            </w:tcBorders>
            <w:shd w:val="clear" w:color="auto" w:fill="CCEEFF"/>
          </w:tcPr>
          <w:p>
            <w:pPr>
              <w:jc w:val="right"/>
              <w:ind w:right="52"/>
              <w:spacing w:after="0" w:line="104" w:lineRule="exact"/>
              <w:rPr>
                <w:sz w:val="20"/>
                <w:szCs w:val="20"/>
                <w:color w:val="auto"/>
              </w:rPr>
            </w:pPr>
            <w:r>
              <w:rPr>
                <w:rFonts w:ascii="Times New Roman" w:cs="Times New Roman" w:eastAsia="Times New Roman" w:hAnsi="Times New Roman"/>
                <w:sz w:val="10"/>
                <w:szCs w:val="10"/>
                <w:color w:val="auto"/>
                <w:w w:val="71"/>
              </w:rPr>
              <w:t>%</w:t>
            </w:r>
          </w:p>
        </w:tc>
        <w:tc>
          <w:tcPr>
            <w:tcW w:w="88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32.5</w:t>
            </w:r>
          </w:p>
        </w:tc>
        <w:tc>
          <w:tcPr>
            <w:tcW w:w="160" w:type="dxa"/>
            <w:vAlign w:val="bottom"/>
            <w:tcBorders>
              <w:top w:val="single" w:sz="8" w:color="CCEEFF"/>
            </w:tcBorders>
            <w:shd w:val="clear" w:color="auto" w:fill="CCEEFF"/>
          </w:tcPr>
          <w:p>
            <w:pPr>
              <w:jc w:val="right"/>
              <w:ind w:right="32"/>
              <w:spacing w:after="0" w:line="104" w:lineRule="exact"/>
              <w:rPr>
                <w:sz w:val="20"/>
                <w:szCs w:val="20"/>
                <w:color w:val="auto"/>
              </w:rPr>
            </w:pPr>
            <w:r>
              <w:rPr>
                <w:rFonts w:ascii="Times New Roman" w:cs="Times New Roman" w:eastAsia="Times New Roman" w:hAnsi="Times New Roman"/>
                <w:sz w:val="10"/>
                <w:szCs w:val="10"/>
                <w:color w:val="auto"/>
                <w:w w:val="71"/>
              </w:rPr>
              <w:t>%</w:t>
            </w:r>
          </w:p>
        </w:tc>
      </w:tr>
      <w:tr>
        <w:trPr>
          <w:trHeight w:val="114"/>
        </w:trPr>
        <w:tc>
          <w:tcPr>
            <w:tcW w:w="202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Tenant reimbursements</w:t>
            </w:r>
          </w:p>
        </w:tc>
        <w:tc>
          <w:tcPr>
            <w:tcW w:w="160" w:type="dxa"/>
            <w:vAlign w:val="bottom"/>
          </w:tcPr>
          <w:p>
            <w:pPr>
              <w:spacing w:after="0"/>
              <w:rPr>
                <w:sz w:val="9"/>
                <w:szCs w:val="9"/>
                <w:color w:val="auto"/>
              </w:rPr>
            </w:pPr>
          </w:p>
        </w:tc>
        <w:tc>
          <w:tcPr>
            <w:tcW w:w="78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8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624,637</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1"/>
                <w:szCs w:val="11"/>
                <w:color w:val="auto"/>
              </w:rPr>
              <w:t>(624,637)</w:t>
            </w:r>
          </w:p>
        </w:tc>
        <w:tc>
          <w:tcPr>
            <w:tcW w:w="1060" w:type="dxa"/>
            <w:vAlign w:val="bottom"/>
            <w:gridSpan w:val="2"/>
          </w:tcPr>
          <w:p>
            <w:pPr>
              <w:jc w:val="right"/>
              <w:ind w:right="52"/>
              <w:spacing w:after="0" w:line="114" w:lineRule="exact"/>
              <w:rPr>
                <w:sz w:val="20"/>
                <w:szCs w:val="20"/>
                <w:color w:val="auto"/>
              </w:rPr>
            </w:pPr>
            <w:r>
              <w:rPr>
                <w:rFonts w:ascii="Times New Roman" w:cs="Times New Roman" w:eastAsia="Times New Roman" w:hAnsi="Times New Roman"/>
                <w:sz w:val="11"/>
                <w:szCs w:val="11"/>
                <w:color w:val="auto"/>
              </w:rPr>
              <w:t>— %</w:t>
            </w:r>
          </w:p>
        </w:tc>
        <w:tc>
          <w:tcPr>
            <w:tcW w:w="1040" w:type="dxa"/>
            <w:vAlign w:val="bottom"/>
            <w:gridSpan w:val="2"/>
          </w:tcPr>
          <w:p>
            <w:pPr>
              <w:jc w:val="right"/>
              <w:ind w:right="32"/>
              <w:spacing w:after="0" w:line="114" w:lineRule="exact"/>
              <w:rPr>
                <w:sz w:val="20"/>
                <w:szCs w:val="20"/>
                <w:color w:val="auto"/>
              </w:rPr>
            </w:pPr>
            <w:r>
              <w:rPr>
                <w:rFonts w:ascii="Times New Roman" w:cs="Times New Roman" w:eastAsia="Times New Roman" w:hAnsi="Times New Roman"/>
                <w:sz w:val="11"/>
                <w:szCs w:val="11"/>
                <w:color w:val="auto"/>
              </w:rPr>
              <w:t>(100.0)%</w:t>
            </w:r>
          </w:p>
        </w:tc>
      </w:tr>
      <w:tr>
        <w:trPr>
          <w:trHeight w:val="114"/>
        </w:trPr>
        <w:tc>
          <w:tcPr>
            <w:tcW w:w="20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Fee income and other</w:t>
            </w:r>
          </w:p>
        </w:tc>
        <w:tc>
          <w:tcPr>
            <w:tcW w:w="16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17,063</w:t>
            </w:r>
          </w:p>
        </w:tc>
        <w:tc>
          <w:tcPr>
            <w:tcW w:w="14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12,885</w:t>
            </w:r>
          </w:p>
        </w:tc>
        <w:tc>
          <w:tcPr>
            <w:tcW w:w="16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9,765</w:t>
            </w:r>
          </w:p>
        </w:tc>
        <w:tc>
          <w:tcPr>
            <w:tcW w:w="1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4,178</w:t>
            </w:r>
          </w:p>
        </w:tc>
        <w:tc>
          <w:tcPr>
            <w:tcW w:w="14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3,120</w:t>
            </w:r>
          </w:p>
        </w:tc>
        <w:tc>
          <w:tcPr>
            <w:tcW w:w="140" w:type="dxa"/>
            <w:vAlign w:val="bottom"/>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32.4</w:t>
            </w:r>
          </w:p>
        </w:tc>
        <w:tc>
          <w:tcPr>
            <w:tcW w:w="180" w:type="dxa"/>
            <w:vAlign w:val="bottom"/>
            <w:shd w:val="clear" w:color="auto" w:fill="CCEEFF"/>
          </w:tcPr>
          <w:p>
            <w:pPr>
              <w:jc w:val="right"/>
              <w:ind w:right="52"/>
              <w:spacing w:after="0" w:line="114" w:lineRule="exact"/>
              <w:rPr>
                <w:sz w:val="20"/>
                <w:szCs w:val="20"/>
                <w:color w:val="auto"/>
              </w:rPr>
            </w:pPr>
            <w:r>
              <w:rPr>
                <w:rFonts w:ascii="Times New Roman" w:cs="Times New Roman" w:eastAsia="Times New Roman" w:hAnsi="Times New Roman"/>
                <w:sz w:val="10"/>
                <w:szCs w:val="10"/>
                <w:color w:val="auto"/>
                <w:w w:val="71"/>
              </w:rPr>
              <w:t>%</w:t>
            </w:r>
          </w:p>
        </w:tc>
        <w:tc>
          <w:tcPr>
            <w:tcW w:w="88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32.0</w:t>
            </w:r>
          </w:p>
        </w:tc>
        <w:tc>
          <w:tcPr>
            <w:tcW w:w="160" w:type="dxa"/>
            <w:vAlign w:val="bottom"/>
            <w:shd w:val="clear" w:color="auto" w:fill="CCEEFF"/>
          </w:tcPr>
          <w:p>
            <w:pPr>
              <w:jc w:val="right"/>
              <w:ind w:right="32"/>
              <w:spacing w:after="0" w:line="114" w:lineRule="exact"/>
              <w:rPr>
                <w:sz w:val="20"/>
                <w:szCs w:val="20"/>
                <w:color w:val="auto"/>
              </w:rPr>
            </w:pPr>
            <w:r>
              <w:rPr>
                <w:rFonts w:ascii="Times New Roman" w:cs="Times New Roman" w:eastAsia="Times New Roman" w:hAnsi="Times New Roman"/>
                <w:sz w:val="10"/>
                <w:szCs w:val="10"/>
                <w:color w:val="auto"/>
                <w:w w:val="71"/>
              </w:rPr>
              <w:t>%</w:t>
            </w:r>
          </w:p>
        </w:tc>
      </w:tr>
      <w:tr>
        <w:trPr>
          <w:trHeight w:val="112"/>
        </w:trPr>
        <w:tc>
          <w:tcPr>
            <w:tcW w:w="2020" w:type="dxa"/>
            <w:vAlign w:val="bottom"/>
          </w:tcPr>
          <w:p>
            <w:pPr>
              <w:spacing w:after="0" w:line="104" w:lineRule="exact"/>
              <w:rPr>
                <w:sz w:val="20"/>
                <w:szCs w:val="20"/>
                <w:color w:val="auto"/>
              </w:rPr>
            </w:pPr>
            <w:r>
              <w:rPr>
                <w:rFonts w:ascii="Times New Roman" w:cs="Times New Roman" w:eastAsia="Times New Roman" w:hAnsi="Times New Roman"/>
                <w:sz w:val="11"/>
                <w:szCs w:val="11"/>
                <w:color w:val="auto"/>
              </w:rPr>
              <w:t>Total operating revenues</w:t>
            </w:r>
          </w:p>
        </w:tc>
        <w:tc>
          <w:tcPr>
            <w:tcW w:w="160" w:type="dxa"/>
            <w:vAlign w:val="bottom"/>
            <w:tcBorders>
              <w:bottom w:val="single" w:sz="8" w:color="auto"/>
            </w:tcBorders>
          </w:tcPr>
          <w:p>
            <w:pPr>
              <w:jc w:val="right"/>
              <w:ind w:right="4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3,903,609</w:t>
            </w:r>
          </w:p>
        </w:tc>
        <w:tc>
          <w:tcPr>
            <w:tcW w:w="140" w:type="dxa"/>
            <w:vAlign w:val="bottom"/>
          </w:tcPr>
          <w:p>
            <w:pPr>
              <w:spacing w:after="0"/>
              <w:rPr>
                <w:sz w:val="9"/>
                <w:szCs w:val="9"/>
                <w:color w:val="auto"/>
              </w:rPr>
            </w:pPr>
          </w:p>
        </w:tc>
        <w:tc>
          <w:tcPr>
            <w:tcW w:w="180" w:type="dxa"/>
            <w:vAlign w:val="bottom"/>
            <w:tcBorders>
              <w:bottom w:val="single" w:sz="8" w:color="auto"/>
            </w:tcBorders>
          </w:tcPr>
          <w:p>
            <w:pPr>
              <w:jc w:val="right"/>
              <w:ind w:right="6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3,209,241</w:t>
            </w:r>
          </w:p>
        </w:tc>
        <w:tc>
          <w:tcPr>
            <w:tcW w:w="160" w:type="dxa"/>
            <w:vAlign w:val="bottom"/>
          </w:tcPr>
          <w:p>
            <w:pPr>
              <w:spacing w:after="0"/>
              <w:rPr>
                <w:sz w:val="9"/>
                <w:szCs w:val="9"/>
                <w:color w:val="auto"/>
              </w:rPr>
            </w:pPr>
          </w:p>
        </w:tc>
        <w:tc>
          <w:tcPr>
            <w:tcW w:w="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3,046,478</w:t>
            </w:r>
          </w:p>
        </w:tc>
        <w:tc>
          <w:tcPr>
            <w:tcW w:w="160" w:type="dxa"/>
            <w:vAlign w:val="bottom"/>
          </w:tcPr>
          <w:p>
            <w:pPr>
              <w:spacing w:after="0"/>
              <w:rPr>
                <w:sz w:val="9"/>
                <w:szCs w:val="9"/>
                <w:color w:val="auto"/>
              </w:rPr>
            </w:pPr>
          </w:p>
        </w:tc>
        <w:tc>
          <w:tcPr>
            <w:tcW w:w="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694,368</w:t>
            </w:r>
          </w:p>
        </w:tc>
        <w:tc>
          <w:tcPr>
            <w:tcW w:w="140" w:type="dxa"/>
            <w:vAlign w:val="bottom"/>
          </w:tcPr>
          <w:p>
            <w:pPr>
              <w:spacing w:after="0"/>
              <w:rPr>
                <w:sz w:val="9"/>
                <w:szCs w:val="9"/>
                <w:color w:val="auto"/>
              </w:rPr>
            </w:pPr>
          </w:p>
        </w:tc>
        <w:tc>
          <w:tcPr>
            <w:tcW w:w="120" w:type="dxa"/>
            <w:vAlign w:val="bottom"/>
            <w:tcBorders>
              <w:bottom w:val="single" w:sz="8" w:color="auto"/>
            </w:tcBorders>
          </w:tcPr>
          <w:p>
            <w:pPr>
              <w:jc w:val="right"/>
              <w:ind w:right="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162,763</w:t>
            </w:r>
          </w:p>
        </w:tc>
        <w:tc>
          <w:tcPr>
            <w:tcW w:w="140" w:type="dxa"/>
            <w:vAlign w:val="bottom"/>
          </w:tcPr>
          <w:p>
            <w:pPr>
              <w:spacing w:after="0"/>
              <w:rPr>
                <w:sz w:val="9"/>
                <w:szCs w:val="9"/>
                <w:color w:val="auto"/>
              </w:rPr>
            </w:pPr>
          </w:p>
        </w:tc>
        <w:tc>
          <w:tcPr>
            <w:tcW w:w="88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21.6</w:t>
            </w:r>
          </w:p>
        </w:tc>
        <w:tc>
          <w:tcPr>
            <w:tcW w:w="180" w:type="dxa"/>
            <w:vAlign w:val="bottom"/>
          </w:tcPr>
          <w:p>
            <w:pPr>
              <w:jc w:val="right"/>
              <w:ind w:right="52"/>
              <w:spacing w:after="0" w:line="104" w:lineRule="exact"/>
              <w:rPr>
                <w:sz w:val="20"/>
                <w:szCs w:val="20"/>
                <w:color w:val="auto"/>
              </w:rPr>
            </w:pPr>
            <w:r>
              <w:rPr>
                <w:rFonts w:ascii="Times New Roman" w:cs="Times New Roman" w:eastAsia="Times New Roman" w:hAnsi="Times New Roman"/>
                <w:sz w:val="10"/>
                <w:szCs w:val="10"/>
                <w:color w:val="auto"/>
                <w:w w:val="71"/>
              </w:rPr>
              <w:t>%</w:t>
            </w:r>
          </w:p>
        </w:tc>
        <w:tc>
          <w:tcPr>
            <w:tcW w:w="88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5.3</w:t>
            </w:r>
          </w:p>
        </w:tc>
        <w:tc>
          <w:tcPr>
            <w:tcW w:w="160" w:type="dxa"/>
            <w:vAlign w:val="bottom"/>
          </w:tcPr>
          <w:p>
            <w:pPr>
              <w:jc w:val="right"/>
              <w:ind w:right="32"/>
              <w:spacing w:after="0" w:line="104" w:lineRule="exact"/>
              <w:rPr>
                <w:sz w:val="20"/>
                <w:szCs w:val="20"/>
                <w:color w:val="auto"/>
              </w:rPr>
            </w:pPr>
            <w:r>
              <w:rPr>
                <w:rFonts w:ascii="Times New Roman" w:cs="Times New Roman" w:eastAsia="Times New Roman" w:hAnsi="Times New Roman"/>
                <w:sz w:val="10"/>
                <w:szCs w:val="10"/>
                <w:color w:val="auto"/>
                <w:w w:val="71"/>
              </w:rPr>
              <w:t>%</w:t>
            </w:r>
          </w:p>
        </w:tc>
      </w:tr>
    </w:tbl>
    <w:p>
      <w:pPr>
        <w:spacing w:after="0" w:line="139" w:lineRule="exact"/>
        <w:rPr>
          <w:sz w:val="20"/>
          <w:szCs w:val="20"/>
          <w:color w:val="auto"/>
        </w:rPr>
      </w:pPr>
    </w:p>
    <w:p>
      <w:pPr>
        <w:ind w:left="20" w:right="119" w:firstLine="228"/>
        <w:spacing w:after="0" w:line="256" w:lineRule="auto"/>
        <w:rPr>
          <w:sz w:val="20"/>
          <w:szCs w:val="20"/>
          <w:color w:val="auto"/>
        </w:rPr>
      </w:pPr>
      <w:r>
        <w:rPr>
          <w:rFonts w:ascii="Times New Roman" w:cs="Times New Roman" w:eastAsia="Times New Roman" w:hAnsi="Times New Roman"/>
          <w:sz w:val="13"/>
          <w:szCs w:val="13"/>
          <w:color w:val="auto"/>
        </w:rPr>
        <w:t>The following tables show revenues for the years ended December 31, 2020, 2019 and 2018 for stabilized properties and non-stabilized properties and other (all other properties) (in thousands). Revenue totals for non-stabilized include results from properties that have not yet met the definition of stabilized and properties that are classified as held for sale or were sold during the period.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6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left="348"/>
              <w:spacing w:after="0"/>
              <w:rPr>
                <w:sz w:val="20"/>
                <w:szCs w:val="20"/>
                <w:color w:val="auto"/>
              </w:rPr>
            </w:pPr>
            <w:r>
              <w:rPr>
                <w:rFonts w:ascii="Times New Roman" w:cs="Times New Roman" w:eastAsia="Times New Roman" w:hAnsi="Times New Roman"/>
                <w:sz w:val="10"/>
                <w:szCs w:val="10"/>
                <w:b w:val="1"/>
                <w:bCs w:val="1"/>
                <w:color w:val="auto"/>
                <w:w w:val="99"/>
              </w:rPr>
              <w:t>Stabilized</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Non-Stabilized</w:t>
            </w: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r>
      <w:tr>
        <w:trPr>
          <w:trHeight w:val="94"/>
        </w:trPr>
        <w:tc>
          <w:tcPr>
            <w:tcW w:w="2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gridSpan w:val="5"/>
          </w:tcPr>
          <w:p>
            <w:pPr>
              <w:jc w:val="center"/>
              <w:ind w:right="460"/>
              <w:spacing w:after="0" w:line="94" w:lineRule="exact"/>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gridSpan w:val="5"/>
          </w:tcPr>
          <w:p>
            <w:pPr>
              <w:jc w:val="center"/>
              <w:ind w:left="487"/>
              <w:spacing w:after="0" w:line="94" w:lineRule="exact"/>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94"/>
        </w:trPr>
        <w:tc>
          <w:tcPr>
            <w:tcW w:w="2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ind w:right="246"/>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right"/>
              <w:ind w:right="268"/>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ind w:left="60"/>
              <w:spacing w:after="0" w:line="94" w:lineRule="exact"/>
              <w:rPr>
                <w:sz w:val="20"/>
                <w:szCs w:val="20"/>
                <w:color w:val="auto"/>
              </w:rPr>
            </w:pPr>
            <w:r>
              <w:rPr>
                <w:rFonts w:ascii="Times New Roman" w:cs="Times New Roman" w:eastAsia="Times New Roman" w:hAnsi="Times New Roman"/>
                <w:sz w:val="10"/>
                <w:szCs w:val="10"/>
                <w:b w:val="1"/>
                <w:bCs w:val="1"/>
                <w:color w:val="auto"/>
              </w:rPr>
              <w:t>Change</w:t>
            </w:r>
          </w:p>
        </w:tc>
        <w:tc>
          <w:tcPr>
            <w:tcW w:w="660" w:type="dxa"/>
            <w:vAlign w:val="bottom"/>
          </w:tcPr>
          <w:p>
            <w:pPr>
              <w:jc w:val="right"/>
              <w:ind w:right="46"/>
              <w:spacing w:after="0" w:line="94" w:lineRule="exact"/>
              <w:rPr>
                <w:sz w:val="20"/>
                <w:szCs w:val="20"/>
                <w:color w:val="auto"/>
              </w:rPr>
            </w:pPr>
            <w:r>
              <w:rPr>
                <w:rFonts w:ascii="Times New Roman" w:cs="Times New Roman" w:eastAsia="Times New Roman" w:hAnsi="Times New Roman"/>
                <w:sz w:val="10"/>
                <w:szCs w:val="10"/>
                <w:b w:val="1"/>
                <w:bCs w:val="1"/>
                <w:color w:val="auto"/>
              </w:rPr>
              <w:t>% Change</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jc w:val="right"/>
              <w:ind w:right="267"/>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ind w:right="206"/>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ind w:right="166"/>
              <w:spacing w:after="0" w:line="94" w:lineRule="exact"/>
              <w:rPr>
                <w:sz w:val="20"/>
                <w:szCs w:val="20"/>
                <w:color w:val="auto"/>
              </w:rPr>
            </w:pPr>
            <w:r>
              <w:rPr>
                <w:rFonts w:ascii="Times New Roman" w:cs="Times New Roman" w:eastAsia="Times New Roman" w:hAnsi="Times New Roman"/>
                <w:sz w:val="10"/>
                <w:szCs w:val="10"/>
                <w:b w:val="1"/>
                <w:bCs w:val="1"/>
                <w:color w:val="auto"/>
              </w:rPr>
              <w:t>Change</w:t>
            </w:r>
          </w:p>
        </w:tc>
      </w:tr>
      <w:tr>
        <w:trPr>
          <w:trHeight w:val="140"/>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Rental and other services</w:t>
            </w: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2,433,322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2,470,236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(36,914)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20" w:type="dxa"/>
            <w:vAlign w:val="bottom"/>
            <w:tcBorders>
              <w:top w:val="single" w:sz="8" w:color="CCEEFF"/>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86"/>
              </w:rPr>
              <w:t>%</w:t>
            </w: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1,453,224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726,120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727,104</w:t>
            </w:r>
          </w:p>
        </w:tc>
      </w:tr>
    </w:tbl>
    <w:p>
      <w:pPr>
        <w:spacing w:after="0" w:line="139" w:lineRule="exact"/>
        <w:rPr>
          <w:sz w:val="20"/>
          <w:szCs w:val="20"/>
          <w:color w:val="auto"/>
        </w:rPr>
      </w:pPr>
    </w:p>
    <w:p>
      <w:pPr>
        <w:ind w:left="20" w:right="379" w:firstLine="228"/>
        <w:spacing w:after="0" w:line="268" w:lineRule="auto"/>
        <w:rPr>
          <w:sz w:val="20"/>
          <w:szCs w:val="20"/>
          <w:color w:val="auto"/>
        </w:rPr>
      </w:pPr>
      <w:r>
        <w:rPr>
          <w:rFonts w:ascii="Times New Roman" w:cs="Times New Roman" w:eastAsia="Times New Roman" w:hAnsi="Times New Roman"/>
          <w:sz w:val="13"/>
          <w:szCs w:val="13"/>
          <w:color w:val="auto"/>
        </w:rPr>
        <w:t>Stabilized revenue decreased $36.9 million for the year ended December 31, 2020 compared to the same period in 2019 due to delayed timing of re-leasing space that expired towards the end of 2019 as well as reduced utility consumption also related to these vacancies not yet re-leased.</w:t>
      </w:r>
    </w:p>
    <w:p>
      <w:pPr>
        <w:spacing w:after="0" w:line="122" w:lineRule="exact"/>
        <w:rPr>
          <w:sz w:val="20"/>
          <w:szCs w:val="20"/>
          <w:color w:val="auto"/>
        </w:rPr>
      </w:pPr>
    </w:p>
    <w:p>
      <w:pPr>
        <w:ind w:left="20" w:right="59" w:firstLine="228"/>
        <w:spacing w:after="0" w:line="252" w:lineRule="auto"/>
        <w:rPr>
          <w:sz w:val="20"/>
          <w:szCs w:val="20"/>
          <w:color w:val="auto"/>
        </w:rPr>
      </w:pPr>
      <w:r>
        <w:rPr>
          <w:rFonts w:ascii="Times New Roman" w:cs="Times New Roman" w:eastAsia="Times New Roman" w:hAnsi="Times New Roman"/>
          <w:sz w:val="13"/>
          <w:szCs w:val="13"/>
          <w:color w:val="auto"/>
        </w:rPr>
        <w:t>Non-stabilized revenues increased $727.1 million for the year ended December 31, 2020 compared to the same period in 2019 primarily as a result of revenues associated with the Interxion Combination of $691.4 million for the year ended December 31, 2020 along with development properties placed into service during the year ended December 31, 2020, partially offset by properties sold to Mapletree in January 2020, properties contributed to the Mapletree joint venture in November 2019 and the Ascenty Acquisition prior to deconsolidation in March 2019.</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center"/>
              <w:ind w:left="306"/>
              <w:spacing w:after="0"/>
              <w:rPr>
                <w:sz w:val="20"/>
                <w:szCs w:val="20"/>
                <w:color w:val="auto"/>
              </w:rPr>
            </w:pPr>
            <w:r>
              <w:rPr>
                <w:rFonts w:ascii="Times New Roman" w:cs="Times New Roman" w:eastAsia="Times New Roman" w:hAnsi="Times New Roman"/>
                <w:sz w:val="10"/>
                <w:szCs w:val="10"/>
                <w:b w:val="1"/>
                <w:bCs w:val="1"/>
                <w:color w:val="auto"/>
              </w:rPr>
              <w:t>Stabilized</w:t>
            </w: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Non-Stabilized</w:t>
            </w: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r>
        <w:trPr>
          <w:trHeight w:val="94"/>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gridSpan w:val="5"/>
          </w:tcPr>
          <w:p>
            <w:pPr>
              <w:jc w:val="center"/>
              <w:ind w:right="480"/>
              <w:spacing w:after="0" w:line="94" w:lineRule="exact"/>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6"/>
          </w:tcPr>
          <w:p>
            <w:pPr>
              <w:jc w:val="right"/>
              <w:ind w:right="23"/>
              <w:spacing w:after="0" w:line="94" w:lineRule="exact"/>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640" w:type="dxa"/>
            <w:vAlign w:val="bottom"/>
            <w:tcBorders>
              <w:bottom w:val="single" w:sz="8" w:color="auto"/>
            </w:tcBorders>
          </w:tcPr>
          <w:p>
            <w:pPr>
              <w:spacing w:after="0"/>
              <w:rPr>
                <w:sz w:val="8"/>
                <w:szCs w:val="8"/>
                <w:color w:val="auto"/>
              </w:rPr>
            </w:pPr>
          </w:p>
        </w:tc>
      </w:tr>
      <w:tr>
        <w:trPr>
          <w:trHeight w:val="94"/>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ind w:right="265"/>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right"/>
              <w:ind w:right="286"/>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ind w:left="80"/>
              <w:spacing w:after="0" w:line="94" w:lineRule="exact"/>
              <w:rPr>
                <w:sz w:val="20"/>
                <w:szCs w:val="20"/>
                <w:color w:val="auto"/>
              </w:rPr>
            </w:pPr>
            <w:r>
              <w:rPr>
                <w:rFonts w:ascii="Times New Roman" w:cs="Times New Roman" w:eastAsia="Times New Roman" w:hAnsi="Times New Roman"/>
                <w:sz w:val="10"/>
                <w:szCs w:val="10"/>
                <w:b w:val="1"/>
                <w:bCs w:val="1"/>
                <w:color w:val="auto"/>
              </w:rPr>
              <w:t>$ Change</w:t>
            </w:r>
          </w:p>
        </w:tc>
        <w:tc>
          <w:tcPr>
            <w:tcW w:w="680" w:type="dxa"/>
            <w:vAlign w:val="bottom"/>
          </w:tcPr>
          <w:p>
            <w:pPr>
              <w:jc w:val="right"/>
              <w:ind w:right="65"/>
              <w:spacing w:after="0" w:line="94" w:lineRule="exact"/>
              <w:rPr>
                <w:sz w:val="20"/>
                <w:szCs w:val="20"/>
                <w:color w:val="auto"/>
              </w:rPr>
            </w:pPr>
            <w:r>
              <w:rPr>
                <w:rFonts w:ascii="Times New Roman" w:cs="Times New Roman" w:eastAsia="Times New Roman" w:hAnsi="Times New Roman"/>
                <w:sz w:val="10"/>
                <w:szCs w:val="10"/>
                <w:b w:val="1"/>
                <w:bCs w:val="1"/>
                <w:color w:val="auto"/>
              </w:rPr>
              <w:t>% Change</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165"/>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ind w:right="226"/>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ind w:right="165"/>
              <w:spacing w:after="0" w:line="94" w:lineRule="exact"/>
              <w:rPr>
                <w:sz w:val="20"/>
                <w:szCs w:val="20"/>
                <w:color w:val="auto"/>
              </w:rPr>
            </w:pPr>
            <w:r>
              <w:rPr>
                <w:rFonts w:ascii="Times New Roman" w:cs="Times New Roman" w:eastAsia="Times New Roman" w:hAnsi="Times New Roman"/>
                <w:sz w:val="10"/>
                <w:szCs w:val="10"/>
                <w:b w:val="1"/>
                <w:bCs w:val="1"/>
                <w:color w:val="auto"/>
              </w:rPr>
              <w:t>Change</w:t>
            </w:r>
          </w:p>
        </w:tc>
      </w:tr>
      <w:tr>
        <w:trPr>
          <w:trHeight w:val="132"/>
        </w:trPr>
        <w:tc>
          <w:tcPr>
            <w:tcW w:w="20" w:type="dxa"/>
            <w:vAlign w:val="bottom"/>
          </w:tcPr>
          <w:p>
            <w:pPr>
              <w:spacing w:after="0"/>
              <w:rPr>
                <w:sz w:val="11"/>
                <w:szCs w:val="11"/>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Rental and other services</w:t>
            </w: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2,396,319</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1,915,882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480,437</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160" w:type="dxa"/>
            <w:vAlign w:val="bottom"/>
            <w:tcBorders>
              <w:top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86"/>
              </w:rPr>
              <w:t>%</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800,037</w:t>
            </w:r>
          </w:p>
        </w:tc>
        <w:tc>
          <w:tcPr>
            <w:tcW w:w="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496,194</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303,843</w:t>
            </w: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Tenant reimbursements</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514,050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(514,050)</w:t>
            </w:r>
          </w:p>
        </w:tc>
        <w:tc>
          <w:tcPr>
            <w:tcW w:w="140" w:type="dxa"/>
            <w:vAlign w:val="bottom"/>
          </w:tcPr>
          <w:p>
            <w:pPr>
              <w:spacing w:after="0"/>
              <w:rPr>
                <w:sz w:val="12"/>
                <w:szCs w:val="12"/>
                <w:color w:val="auto"/>
              </w:rPr>
            </w:pPr>
          </w:p>
        </w:tc>
        <w:tc>
          <w:tcPr>
            <w:tcW w:w="84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(100.0)%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110,588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(110,588)</w:t>
            </w:r>
          </w:p>
        </w:tc>
      </w:tr>
      <w:tr>
        <w:trPr>
          <w:trHeight w:val="140"/>
        </w:trPr>
        <w:tc>
          <w:tcPr>
            <w:tcW w:w="20" w:type="dxa"/>
            <w:vAlign w:val="bottom"/>
          </w:tcPr>
          <w:p>
            <w:pPr>
              <w:spacing w:after="0"/>
              <w:rPr>
                <w:sz w:val="12"/>
                <w:szCs w:val="12"/>
                <w:color w:val="auto"/>
              </w:rPr>
            </w:pPr>
          </w:p>
        </w:tc>
        <w:tc>
          <w:tcPr>
            <w:tcW w:w="26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Total</w:t>
            </w: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2,396,319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2,429,932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(33,613)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60" w:type="dxa"/>
            <w:vAlign w:val="bottom"/>
            <w:tcBorders>
              <w:top w:val="single" w:sz="8" w:color="CCEEFF"/>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86"/>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800,037</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606,782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193,255</w:t>
            </w:r>
          </w:p>
        </w:tc>
      </w:tr>
    </w:tbl>
    <w:p>
      <w:pPr>
        <w:spacing w:after="0" w:line="139" w:lineRule="exact"/>
        <w:rPr>
          <w:sz w:val="20"/>
          <w:szCs w:val="20"/>
          <w:color w:val="auto"/>
        </w:rPr>
      </w:pPr>
    </w:p>
    <w:p>
      <w:pPr>
        <w:ind w:left="20" w:right="39" w:firstLine="228"/>
        <w:spacing w:after="0" w:line="249" w:lineRule="auto"/>
        <w:rPr>
          <w:sz w:val="20"/>
          <w:szCs w:val="20"/>
          <w:color w:val="auto"/>
        </w:rPr>
      </w:pPr>
      <w:r>
        <w:rPr>
          <w:rFonts w:ascii="Times New Roman" w:cs="Times New Roman" w:eastAsia="Times New Roman" w:hAnsi="Times New Roman"/>
          <w:sz w:val="13"/>
          <w:szCs w:val="13"/>
          <w:color w:val="auto"/>
        </w:rPr>
        <w:t>On January 1, 2019, we adopted Topic 842 and the practical expedient that resulted in combining the expenses reimbursed by our customers (“tenant reimbursements”) with contractual rental revenue if certain criteria were met. We assessed these criteria and concluded that the timing and pattern of transfer for rental revenue and the associated tenant reimbursements are the same and as our leases qualify as operating leases, we accounted for and presented rental and other services and tenant reimbursements as a single component under rental and other services in our consolidated income statements for the years ended December 31, 2020 and 2019. As a result, the prior periods are not directly comparable other than on an aggregate basis.</w:t>
      </w:r>
    </w:p>
    <w:p>
      <w:pPr>
        <w:spacing w:after="0" w:line="136" w:lineRule="exact"/>
        <w:rPr>
          <w:sz w:val="20"/>
          <w:szCs w:val="20"/>
          <w:color w:val="auto"/>
        </w:rPr>
      </w:pPr>
    </w:p>
    <w:p>
      <w:pPr>
        <w:ind w:left="20" w:right="119" w:firstLine="228"/>
        <w:spacing w:after="0" w:line="268" w:lineRule="auto"/>
        <w:rPr>
          <w:sz w:val="20"/>
          <w:szCs w:val="20"/>
          <w:color w:val="auto"/>
        </w:rPr>
      </w:pPr>
      <w:r>
        <w:rPr>
          <w:rFonts w:ascii="Times New Roman" w:cs="Times New Roman" w:eastAsia="Times New Roman" w:hAnsi="Times New Roman"/>
          <w:sz w:val="13"/>
          <w:szCs w:val="13"/>
          <w:color w:val="auto"/>
        </w:rPr>
        <w:t>Stabilized revenue decreased $33.6 million for the year ended December 31, 2019 compared to the same period in 2018 due to unfavorable currency translation along with expiring leases at certain properties in the stabilized portfolio and higher bad debt expense.</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81" w:name="page82"/>
    <w:bookmarkEnd w:id="8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159" w:firstLine="228"/>
        <w:spacing w:after="0" w:line="268" w:lineRule="auto"/>
        <w:rPr>
          <w:sz w:val="20"/>
          <w:szCs w:val="20"/>
          <w:color w:val="auto"/>
        </w:rPr>
      </w:pPr>
      <w:r>
        <w:rPr>
          <w:rFonts w:ascii="Times New Roman" w:cs="Times New Roman" w:eastAsia="Times New Roman" w:hAnsi="Times New Roman"/>
          <w:sz w:val="13"/>
          <w:szCs w:val="13"/>
          <w:color w:val="auto"/>
        </w:rPr>
        <w:t>Non-stabilized revenues increased $193.3 million for the year ended December 31, 2019 compared to the same period in 2018 primarily as a result of new leasing activity and reimbursement from development properties and the Ascenty Acquisition (only for the three months ended March 31, 2019, prior to deconsolidation).</w:t>
      </w:r>
    </w:p>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Operating Expenses and Interest Expense</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Operating expenses and interest expense during the years ended December 31, 2020, 2019 and 2018 were as follows (in thousands):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gridSpan w:val="6"/>
          </w:tcPr>
          <w:p>
            <w:pPr>
              <w:jc w:val="right"/>
              <w:ind w:right="95"/>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gridSpan w:val="4"/>
          </w:tcPr>
          <w:p>
            <w:pPr>
              <w:jc w:val="right"/>
              <w:ind w:right="569"/>
              <w:spacing w:after="0"/>
              <w:rPr>
                <w:sz w:val="20"/>
                <w:szCs w:val="20"/>
                <w:color w:val="auto"/>
              </w:rPr>
            </w:pPr>
            <w:r>
              <w:rPr>
                <w:rFonts w:ascii="Times New Roman" w:cs="Times New Roman" w:eastAsia="Times New Roman" w:hAnsi="Times New Roman"/>
                <w:sz w:val="10"/>
                <w:szCs w:val="10"/>
                <w:b w:val="1"/>
                <w:bCs w:val="1"/>
                <w:color w:val="auto"/>
              </w:rPr>
              <w:t>Percentage Change</w:t>
            </w:r>
          </w:p>
        </w:tc>
      </w:tr>
      <w:tr>
        <w:trPr>
          <w:trHeight w:val="94"/>
        </w:trPr>
        <w:tc>
          <w:tcPr>
            <w:tcW w:w="25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229"/>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229"/>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229"/>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tcPr>
          <w:p>
            <w:pPr>
              <w:ind w:left="40"/>
              <w:spacing w:after="0" w:line="94" w:lineRule="exact"/>
              <w:rPr>
                <w:sz w:val="20"/>
                <w:szCs w:val="20"/>
                <w:color w:val="auto"/>
              </w:rPr>
            </w:pPr>
            <w:r>
              <w:rPr>
                <w:rFonts w:ascii="Times New Roman" w:cs="Times New Roman" w:eastAsia="Times New Roman" w:hAnsi="Times New Roman"/>
                <w:sz w:val="10"/>
                <w:szCs w:val="10"/>
                <w:b w:val="1"/>
                <w:bCs w:val="1"/>
                <w:color w:val="auto"/>
              </w:rPr>
              <w:t>2020 vs 2019</w:t>
            </w: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69"/>
              <w:spacing w:after="0" w:line="94" w:lineRule="exact"/>
              <w:rPr>
                <w:sz w:val="20"/>
                <w:szCs w:val="20"/>
                <w:color w:val="auto"/>
              </w:rPr>
            </w:pPr>
            <w:r>
              <w:rPr>
                <w:rFonts w:ascii="Times New Roman" w:cs="Times New Roman" w:eastAsia="Times New Roman" w:hAnsi="Times New Roman"/>
                <w:sz w:val="10"/>
                <w:szCs w:val="10"/>
                <w:b w:val="1"/>
                <w:bCs w:val="1"/>
                <w:color w:val="auto"/>
              </w:rPr>
              <w:t>2019 vs 2018</w:t>
            </w:r>
          </w:p>
        </w:tc>
        <w:tc>
          <w:tcPr>
            <w:tcW w:w="140" w:type="dxa"/>
            <w:vAlign w:val="bottom"/>
          </w:tcPr>
          <w:p>
            <w:pPr>
              <w:spacing w:after="0"/>
              <w:rPr>
                <w:sz w:val="8"/>
                <w:szCs w:val="8"/>
                <w:color w:val="auto"/>
              </w:rPr>
            </w:pPr>
          </w:p>
        </w:tc>
        <w:tc>
          <w:tcPr>
            <w:tcW w:w="1000" w:type="dxa"/>
            <w:vAlign w:val="bottom"/>
            <w:tcBorders>
              <w:top w:val="single" w:sz="8" w:color="auto"/>
            </w:tcBorders>
            <w:gridSpan w:val="2"/>
          </w:tcPr>
          <w:p>
            <w:pPr>
              <w:jc w:val="right"/>
              <w:ind w:right="269"/>
              <w:spacing w:after="0" w:line="94" w:lineRule="exact"/>
              <w:rPr>
                <w:sz w:val="20"/>
                <w:szCs w:val="20"/>
                <w:color w:val="auto"/>
              </w:rPr>
            </w:pPr>
            <w:r>
              <w:rPr>
                <w:rFonts w:ascii="Times New Roman" w:cs="Times New Roman" w:eastAsia="Times New Roman" w:hAnsi="Times New Roman"/>
                <w:sz w:val="10"/>
                <w:szCs w:val="10"/>
                <w:b w:val="1"/>
                <w:bCs w:val="1"/>
                <w:color w:val="auto"/>
              </w:rPr>
              <w:t>2020 vs 2019</w:t>
            </w:r>
          </w:p>
        </w:tc>
        <w:tc>
          <w:tcPr>
            <w:tcW w:w="800" w:type="dxa"/>
            <w:vAlign w:val="bottom"/>
            <w:tcBorders>
              <w:top w:val="single" w:sz="8" w:color="auto"/>
            </w:tcBorders>
          </w:tcPr>
          <w:p>
            <w:pPr>
              <w:jc w:val="right"/>
              <w:ind w:right="69"/>
              <w:spacing w:after="0" w:line="94" w:lineRule="exact"/>
              <w:rPr>
                <w:sz w:val="20"/>
                <w:szCs w:val="20"/>
                <w:color w:val="auto"/>
              </w:rPr>
            </w:pPr>
            <w:r>
              <w:rPr>
                <w:rFonts w:ascii="Times New Roman" w:cs="Times New Roman" w:eastAsia="Times New Roman" w:hAnsi="Times New Roman"/>
                <w:sz w:val="10"/>
                <w:szCs w:val="10"/>
                <w:b w:val="1"/>
                <w:bCs w:val="1"/>
                <w:color w:val="auto"/>
              </w:rPr>
              <w:t>2019 vs 2018</w:t>
            </w:r>
          </w:p>
        </w:tc>
        <w:tc>
          <w:tcPr>
            <w:tcW w:w="140" w:type="dxa"/>
            <w:vAlign w:val="bottom"/>
          </w:tcPr>
          <w:p>
            <w:pPr>
              <w:spacing w:after="0"/>
              <w:rPr>
                <w:sz w:val="8"/>
                <w:szCs w:val="8"/>
                <w:color w:val="auto"/>
              </w:rPr>
            </w:pPr>
          </w:p>
        </w:tc>
      </w:tr>
      <w:tr>
        <w:trPr>
          <w:trHeight w:val="94"/>
        </w:trPr>
        <w:tc>
          <w:tcPr>
            <w:tcW w:w="2500" w:type="dxa"/>
            <w:vAlign w:val="bottom"/>
            <w:tcBorders>
              <w:top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Rental property operating and maintenance</w:t>
            </w:r>
          </w:p>
        </w:tc>
        <w:tc>
          <w:tcPr>
            <w:tcW w:w="1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1,331,493</w:t>
            </w: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1,020,578</w:t>
            </w: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957,065</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310,915</w:t>
            </w: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9"/>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63,513</w:t>
            </w: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30.5</w:t>
            </w:r>
          </w:p>
        </w:tc>
        <w:tc>
          <w:tcPr>
            <w:tcW w:w="200" w:type="dxa"/>
            <w:vAlign w:val="bottom"/>
            <w:tcBorders>
              <w:top w:val="single" w:sz="8" w:color="CCEEFF"/>
            </w:tcBorders>
            <w:shd w:val="clear" w:color="auto" w:fill="CCEEFF"/>
          </w:tcPr>
          <w:p>
            <w:pPr>
              <w:jc w:val="right"/>
              <w:ind w:right="49"/>
              <w:spacing w:after="0" w:line="94" w:lineRule="exact"/>
              <w:rPr>
                <w:sz w:val="20"/>
                <w:szCs w:val="20"/>
                <w:color w:val="auto"/>
              </w:rPr>
            </w:pPr>
            <w:r>
              <w:rPr>
                <w:rFonts w:ascii="Times New Roman" w:cs="Times New Roman" w:eastAsia="Times New Roman" w:hAnsi="Times New Roman"/>
                <w:sz w:val="10"/>
                <w:szCs w:val="10"/>
                <w:color w:val="auto"/>
                <w:w w:val="95"/>
              </w:rPr>
              <w:t>%</w:t>
            </w:r>
          </w:p>
        </w:tc>
        <w:tc>
          <w:tcPr>
            <w:tcW w:w="800" w:type="dxa"/>
            <w:vAlign w:val="bottom"/>
            <w:tcBorders>
              <w:top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6.6</w:t>
            </w:r>
          </w:p>
        </w:tc>
        <w:tc>
          <w:tcPr>
            <w:tcW w:w="140" w:type="dxa"/>
            <w:vAlign w:val="bottom"/>
            <w:tcBorders>
              <w:top w:val="single" w:sz="8" w:color="CCEEFF"/>
            </w:tcBorders>
            <w:shd w:val="clear" w:color="auto" w:fill="CCEEFF"/>
          </w:tcPr>
          <w:p>
            <w:pPr>
              <w:jc w:val="right"/>
              <w:ind w:right="9"/>
              <w:spacing w:after="0" w:line="94" w:lineRule="exact"/>
              <w:rPr>
                <w:sz w:val="20"/>
                <w:szCs w:val="20"/>
                <w:color w:val="auto"/>
              </w:rPr>
            </w:pPr>
            <w:r>
              <w:rPr>
                <w:rFonts w:ascii="Times New Roman" w:cs="Times New Roman" w:eastAsia="Times New Roman" w:hAnsi="Times New Roman"/>
                <w:sz w:val="10"/>
                <w:szCs w:val="10"/>
                <w:color w:val="auto"/>
                <w:w w:val="71"/>
              </w:rPr>
              <w:t>%</w:t>
            </w:r>
          </w:p>
        </w:tc>
      </w:tr>
      <w:tr>
        <w:trPr>
          <w:trHeight w:val="104"/>
        </w:trPr>
        <w:tc>
          <w:tcPr>
            <w:tcW w:w="25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Property taxes and insurance</w:t>
            </w:r>
          </w:p>
        </w:tc>
        <w:tc>
          <w:tcPr>
            <w:tcW w:w="160" w:type="dxa"/>
            <w:vAlign w:val="bottom"/>
          </w:tcPr>
          <w:p>
            <w:pPr>
              <w:spacing w:after="0"/>
              <w:rPr>
                <w:sz w:val="9"/>
                <w:szCs w:val="9"/>
                <w:color w:val="auto"/>
              </w:rPr>
            </w:pPr>
          </w:p>
        </w:tc>
        <w:tc>
          <w:tcPr>
            <w:tcW w:w="5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182,623</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172,183</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140,918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10,440</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31,265</w:t>
            </w:r>
          </w:p>
        </w:tc>
        <w:tc>
          <w:tcPr>
            <w:tcW w:w="140" w:type="dxa"/>
            <w:vAlign w:val="bottom"/>
          </w:tcPr>
          <w:p>
            <w:pPr>
              <w:spacing w:after="0"/>
              <w:rPr>
                <w:sz w:val="9"/>
                <w:szCs w:val="9"/>
                <w:color w:val="auto"/>
              </w:rPr>
            </w:pPr>
          </w:p>
        </w:tc>
        <w:tc>
          <w:tcPr>
            <w:tcW w:w="1000" w:type="dxa"/>
            <w:vAlign w:val="bottom"/>
            <w:gridSpan w:val="2"/>
          </w:tcPr>
          <w:p>
            <w:pPr>
              <w:jc w:val="right"/>
              <w:ind w:right="49"/>
              <w:spacing w:after="0" w:line="104" w:lineRule="exact"/>
              <w:rPr>
                <w:sz w:val="20"/>
                <w:szCs w:val="20"/>
                <w:color w:val="auto"/>
              </w:rPr>
            </w:pPr>
            <w:r>
              <w:rPr>
                <w:rFonts w:ascii="Times New Roman" w:cs="Times New Roman" w:eastAsia="Times New Roman" w:hAnsi="Times New Roman"/>
                <w:sz w:val="10"/>
                <w:szCs w:val="10"/>
                <w:color w:val="auto"/>
              </w:rPr>
              <w:t>6.1 %</w:t>
            </w:r>
          </w:p>
        </w:tc>
        <w:tc>
          <w:tcPr>
            <w:tcW w:w="940" w:type="dxa"/>
            <w:vAlign w:val="bottom"/>
            <w:gridSpan w:val="2"/>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rPr>
              <w:t>22.2 %</w:t>
            </w:r>
          </w:p>
        </w:tc>
      </w:tr>
      <w:tr>
        <w:trPr>
          <w:trHeight w:val="104"/>
        </w:trPr>
        <w:tc>
          <w:tcPr>
            <w:tcW w:w="25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1,366,379</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1,163,774</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1,186,896</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202,605</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40"/>
              <w:spacing w:after="0" w:line="104" w:lineRule="exact"/>
              <w:rPr>
                <w:sz w:val="20"/>
                <w:szCs w:val="20"/>
                <w:color w:val="auto"/>
              </w:rPr>
            </w:pPr>
            <w:r>
              <w:rPr>
                <w:rFonts w:ascii="Times New Roman" w:cs="Times New Roman" w:eastAsia="Times New Roman" w:hAnsi="Times New Roman"/>
                <w:sz w:val="10"/>
                <w:szCs w:val="10"/>
                <w:color w:val="auto"/>
              </w:rPr>
              <w:t>(23,122)</w:t>
            </w:r>
          </w:p>
        </w:tc>
        <w:tc>
          <w:tcPr>
            <w:tcW w:w="1000" w:type="dxa"/>
            <w:vAlign w:val="bottom"/>
            <w:gridSpan w:val="2"/>
            <w:shd w:val="clear" w:color="auto" w:fill="CCEEFF"/>
          </w:tcPr>
          <w:p>
            <w:pPr>
              <w:jc w:val="right"/>
              <w:ind w:right="49"/>
              <w:spacing w:after="0" w:line="104" w:lineRule="exact"/>
              <w:rPr>
                <w:sz w:val="20"/>
                <w:szCs w:val="20"/>
                <w:color w:val="auto"/>
              </w:rPr>
            </w:pPr>
            <w:r>
              <w:rPr>
                <w:rFonts w:ascii="Times New Roman" w:cs="Times New Roman" w:eastAsia="Times New Roman" w:hAnsi="Times New Roman"/>
                <w:sz w:val="10"/>
                <w:szCs w:val="10"/>
                <w:color w:val="auto"/>
              </w:rPr>
              <w:t>17.4 %</w:t>
            </w:r>
          </w:p>
        </w:tc>
        <w:tc>
          <w:tcPr>
            <w:tcW w:w="940" w:type="dxa"/>
            <w:vAlign w:val="bottom"/>
            <w:gridSpan w:val="2"/>
            <w:shd w:val="clear" w:color="auto" w:fill="CCEEFF"/>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rPr>
              <w:t>(1.9)%</w:t>
            </w:r>
          </w:p>
        </w:tc>
      </w:tr>
      <w:tr>
        <w:trPr>
          <w:trHeight w:val="104"/>
        </w:trPr>
        <w:tc>
          <w:tcPr>
            <w:tcW w:w="25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General and administrative</w:t>
            </w:r>
          </w:p>
        </w:tc>
        <w:tc>
          <w:tcPr>
            <w:tcW w:w="160" w:type="dxa"/>
            <w:vAlign w:val="bottom"/>
          </w:tcPr>
          <w:p>
            <w:pPr>
              <w:spacing w:after="0"/>
              <w:rPr>
                <w:sz w:val="9"/>
                <w:szCs w:val="9"/>
                <w:color w:val="auto"/>
              </w:rPr>
            </w:pPr>
          </w:p>
        </w:tc>
        <w:tc>
          <w:tcPr>
            <w:tcW w:w="5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351,369</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211,097</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163,667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140,272</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47,430</w:t>
            </w:r>
          </w:p>
        </w:tc>
        <w:tc>
          <w:tcPr>
            <w:tcW w:w="140" w:type="dxa"/>
            <w:vAlign w:val="bottom"/>
          </w:tcPr>
          <w:p>
            <w:pPr>
              <w:spacing w:after="0"/>
              <w:rPr>
                <w:sz w:val="9"/>
                <w:szCs w:val="9"/>
                <w:color w:val="auto"/>
              </w:rPr>
            </w:pPr>
          </w:p>
        </w:tc>
        <w:tc>
          <w:tcPr>
            <w:tcW w:w="1000" w:type="dxa"/>
            <w:vAlign w:val="bottom"/>
            <w:gridSpan w:val="2"/>
          </w:tcPr>
          <w:p>
            <w:pPr>
              <w:jc w:val="right"/>
              <w:ind w:right="49"/>
              <w:spacing w:after="0" w:line="104" w:lineRule="exact"/>
              <w:rPr>
                <w:sz w:val="20"/>
                <w:szCs w:val="20"/>
                <w:color w:val="auto"/>
              </w:rPr>
            </w:pPr>
            <w:r>
              <w:rPr>
                <w:rFonts w:ascii="Times New Roman" w:cs="Times New Roman" w:eastAsia="Times New Roman" w:hAnsi="Times New Roman"/>
                <w:sz w:val="10"/>
                <w:szCs w:val="10"/>
                <w:color w:val="auto"/>
              </w:rPr>
              <w:t>66.4 %</w:t>
            </w:r>
          </w:p>
        </w:tc>
        <w:tc>
          <w:tcPr>
            <w:tcW w:w="940" w:type="dxa"/>
            <w:vAlign w:val="bottom"/>
            <w:gridSpan w:val="2"/>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rPr>
              <w:t>29.0 %</w:t>
            </w:r>
          </w:p>
        </w:tc>
      </w:tr>
      <w:tr>
        <w:trPr>
          <w:trHeight w:val="104"/>
        </w:trPr>
        <w:tc>
          <w:tcPr>
            <w:tcW w:w="25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Transaction and integration expenses</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106,662</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27,925</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45,327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78,737</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40"/>
              <w:spacing w:after="0" w:line="104" w:lineRule="exact"/>
              <w:rPr>
                <w:sz w:val="20"/>
                <w:szCs w:val="20"/>
                <w:color w:val="auto"/>
              </w:rPr>
            </w:pPr>
            <w:r>
              <w:rPr>
                <w:rFonts w:ascii="Times New Roman" w:cs="Times New Roman" w:eastAsia="Times New Roman" w:hAnsi="Times New Roman"/>
                <w:sz w:val="10"/>
                <w:szCs w:val="10"/>
                <w:color w:val="auto"/>
              </w:rPr>
              <w:t>(17,402)</w:t>
            </w:r>
          </w:p>
        </w:tc>
        <w:tc>
          <w:tcPr>
            <w:tcW w:w="1000" w:type="dxa"/>
            <w:vAlign w:val="bottom"/>
            <w:gridSpan w:val="2"/>
            <w:shd w:val="clear" w:color="auto" w:fill="CCEEFF"/>
          </w:tcPr>
          <w:p>
            <w:pPr>
              <w:jc w:val="right"/>
              <w:ind w:right="49"/>
              <w:spacing w:after="0" w:line="104" w:lineRule="exact"/>
              <w:rPr>
                <w:sz w:val="20"/>
                <w:szCs w:val="20"/>
                <w:color w:val="auto"/>
              </w:rPr>
            </w:pPr>
            <w:r>
              <w:rPr>
                <w:rFonts w:ascii="Times New Roman" w:cs="Times New Roman" w:eastAsia="Times New Roman" w:hAnsi="Times New Roman"/>
                <w:sz w:val="10"/>
                <w:szCs w:val="10"/>
                <w:color w:val="auto"/>
              </w:rPr>
              <w:t>282.0 %</w:t>
            </w:r>
          </w:p>
        </w:tc>
        <w:tc>
          <w:tcPr>
            <w:tcW w:w="940" w:type="dxa"/>
            <w:vAlign w:val="bottom"/>
            <w:gridSpan w:val="2"/>
            <w:shd w:val="clear" w:color="auto" w:fill="CCEEFF"/>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rPr>
              <w:t>(38.4)%</w:t>
            </w:r>
          </w:p>
        </w:tc>
      </w:tr>
      <w:tr>
        <w:trPr>
          <w:trHeight w:val="104"/>
        </w:trPr>
        <w:tc>
          <w:tcPr>
            <w:tcW w:w="25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Impairment of investments in real estate</w:t>
            </w:r>
          </w:p>
        </w:tc>
        <w:tc>
          <w:tcPr>
            <w:tcW w:w="160" w:type="dxa"/>
            <w:vAlign w:val="bottom"/>
          </w:tcPr>
          <w:p>
            <w:pPr>
              <w:spacing w:after="0"/>
              <w:rPr>
                <w:sz w:val="9"/>
                <w:szCs w:val="9"/>
                <w:color w:val="auto"/>
              </w:rPr>
            </w:pPr>
          </w:p>
        </w:tc>
        <w:tc>
          <w:tcPr>
            <w:tcW w:w="5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6,482</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5,351</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1,131</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5,351</w:t>
            </w:r>
          </w:p>
        </w:tc>
        <w:tc>
          <w:tcPr>
            <w:tcW w:w="140" w:type="dxa"/>
            <w:vAlign w:val="bottom"/>
          </w:tcPr>
          <w:p>
            <w:pPr>
              <w:spacing w:after="0"/>
              <w:rPr>
                <w:sz w:val="9"/>
                <w:szCs w:val="9"/>
                <w:color w:val="auto"/>
              </w:rPr>
            </w:pPr>
          </w:p>
        </w:tc>
        <w:tc>
          <w:tcPr>
            <w:tcW w:w="8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21.1</w:t>
            </w:r>
          </w:p>
        </w:tc>
        <w:tc>
          <w:tcPr>
            <w:tcW w:w="200" w:type="dxa"/>
            <w:vAlign w:val="bottom"/>
          </w:tcPr>
          <w:p>
            <w:pPr>
              <w:spacing w:after="0"/>
              <w:rPr>
                <w:sz w:val="9"/>
                <w:szCs w:val="9"/>
                <w:color w:val="auto"/>
              </w:rPr>
            </w:pPr>
          </w:p>
        </w:tc>
        <w:tc>
          <w:tcPr>
            <w:tcW w:w="940" w:type="dxa"/>
            <w:vAlign w:val="bottom"/>
            <w:gridSpan w:val="2"/>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rPr>
              <w:t>— %</w:t>
            </w:r>
          </w:p>
        </w:tc>
      </w:tr>
      <w:tr>
        <w:trPr>
          <w:trHeight w:val="104"/>
        </w:trPr>
        <w:tc>
          <w:tcPr>
            <w:tcW w:w="25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Other</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1,075</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14,118</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2,818</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40"/>
              <w:spacing w:after="0" w:line="104" w:lineRule="exact"/>
              <w:rPr>
                <w:sz w:val="20"/>
                <w:szCs w:val="20"/>
                <w:color w:val="auto"/>
              </w:rPr>
            </w:pPr>
            <w:r>
              <w:rPr>
                <w:rFonts w:ascii="Times New Roman" w:cs="Times New Roman" w:eastAsia="Times New Roman" w:hAnsi="Times New Roman"/>
                <w:sz w:val="10"/>
                <w:szCs w:val="10"/>
                <w:color w:val="auto"/>
              </w:rPr>
              <w:t>(13,043)</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11,300</w:t>
            </w:r>
          </w:p>
        </w:tc>
        <w:tc>
          <w:tcPr>
            <w:tcW w:w="14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49"/>
              <w:spacing w:after="0" w:line="104" w:lineRule="exact"/>
              <w:rPr>
                <w:sz w:val="20"/>
                <w:szCs w:val="20"/>
                <w:color w:val="auto"/>
              </w:rPr>
            </w:pPr>
            <w:r>
              <w:rPr>
                <w:rFonts w:ascii="Times New Roman" w:cs="Times New Roman" w:eastAsia="Times New Roman" w:hAnsi="Times New Roman"/>
                <w:sz w:val="10"/>
                <w:szCs w:val="10"/>
                <w:color w:val="auto"/>
              </w:rPr>
              <w:t>(92.4)%</w:t>
            </w:r>
          </w:p>
        </w:tc>
        <w:tc>
          <w:tcPr>
            <w:tcW w:w="940" w:type="dxa"/>
            <w:vAlign w:val="bottom"/>
            <w:gridSpan w:val="2"/>
            <w:shd w:val="clear" w:color="auto" w:fill="CCEEFF"/>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rPr>
              <w:t>401.0 %</w:t>
            </w:r>
          </w:p>
        </w:tc>
      </w:tr>
      <w:tr>
        <w:trPr>
          <w:trHeight w:val="102"/>
        </w:trPr>
        <w:tc>
          <w:tcPr>
            <w:tcW w:w="2500" w:type="dxa"/>
            <w:vAlign w:val="bottom"/>
            <w:tcBorders>
              <w:bottom w:val="single" w:sz="8" w:color="CCEEFF"/>
            </w:tcBorders>
          </w:tcPr>
          <w:p>
            <w:pPr>
              <w:spacing w:after="0" w:line="94" w:lineRule="exact"/>
              <w:rPr>
                <w:sz w:val="20"/>
                <w:szCs w:val="20"/>
                <w:color w:val="auto"/>
              </w:rPr>
            </w:pPr>
            <w:r>
              <w:rPr>
                <w:rFonts w:ascii="Times New Roman" w:cs="Times New Roman" w:eastAsia="Times New Roman" w:hAnsi="Times New Roman"/>
                <w:sz w:val="10"/>
                <w:szCs w:val="10"/>
                <w:color w:val="auto"/>
              </w:rPr>
              <w:t>Total operating expenses</w:t>
            </w:r>
          </w:p>
        </w:tc>
        <w:tc>
          <w:tcPr>
            <w:tcW w:w="1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3,346,083</w:t>
            </w:r>
          </w:p>
        </w:tc>
        <w:tc>
          <w:tcPr>
            <w:tcW w:w="140" w:type="dxa"/>
            <w:vAlign w:val="bottom"/>
            <w:tcBorders>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2,615,026</w:t>
            </w:r>
          </w:p>
        </w:tc>
        <w:tc>
          <w:tcPr>
            <w:tcW w:w="140" w:type="dxa"/>
            <w:vAlign w:val="bottom"/>
            <w:tcBorders>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2,496,691</w:t>
            </w:r>
          </w:p>
        </w:tc>
        <w:tc>
          <w:tcPr>
            <w:tcW w:w="14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731,057</w:t>
            </w:r>
          </w:p>
        </w:tc>
        <w:tc>
          <w:tcPr>
            <w:tcW w:w="140" w:type="dxa"/>
            <w:vAlign w:val="bottom"/>
            <w:tcBorders>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9"/>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118,335</w:t>
            </w:r>
          </w:p>
        </w:tc>
        <w:tc>
          <w:tcPr>
            <w:tcW w:w="140" w:type="dxa"/>
            <w:vAlign w:val="bottom"/>
            <w:tcBorders>
              <w:bottom w:val="single" w:sz="8" w:color="CCEEFF"/>
            </w:tcBorders>
          </w:tcPr>
          <w:p>
            <w:pPr>
              <w:spacing w:after="0"/>
              <w:rPr>
                <w:sz w:val="8"/>
                <w:szCs w:val="8"/>
                <w:color w:val="auto"/>
              </w:rPr>
            </w:pPr>
          </w:p>
        </w:tc>
        <w:tc>
          <w:tcPr>
            <w:tcW w:w="80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28.0</w:t>
            </w:r>
          </w:p>
        </w:tc>
        <w:tc>
          <w:tcPr>
            <w:tcW w:w="200" w:type="dxa"/>
            <w:vAlign w:val="bottom"/>
            <w:tcBorders>
              <w:bottom w:val="single" w:sz="8" w:color="CCEEFF"/>
            </w:tcBorders>
          </w:tcPr>
          <w:p>
            <w:pPr>
              <w:jc w:val="right"/>
              <w:ind w:right="49"/>
              <w:spacing w:after="0" w:line="94" w:lineRule="exact"/>
              <w:rPr>
                <w:sz w:val="20"/>
                <w:szCs w:val="20"/>
                <w:color w:val="auto"/>
              </w:rPr>
            </w:pPr>
            <w:r>
              <w:rPr>
                <w:rFonts w:ascii="Times New Roman" w:cs="Times New Roman" w:eastAsia="Times New Roman" w:hAnsi="Times New Roman"/>
                <w:sz w:val="10"/>
                <w:szCs w:val="10"/>
                <w:color w:val="auto"/>
                <w:w w:val="95"/>
              </w:rPr>
              <w:t>%</w:t>
            </w:r>
          </w:p>
        </w:tc>
        <w:tc>
          <w:tcPr>
            <w:tcW w:w="80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4.7</w:t>
            </w:r>
          </w:p>
        </w:tc>
        <w:tc>
          <w:tcPr>
            <w:tcW w:w="140" w:type="dxa"/>
            <w:vAlign w:val="bottom"/>
            <w:tcBorders>
              <w:bottom w:val="single" w:sz="8" w:color="CCEEFF"/>
            </w:tcBorders>
          </w:tcPr>
          <w:p>
            <w:pPr>
              <w:jc w:val="right"/>
              <w:ind w:right="9"/>
              <w:spacing w:after="0" w:line="94" w:lineRule="exact"/>
              <w:rPr>
                <w:sz w:val="20"/>
                <w:szCs w:val="20"/>
                <w:color w:val="auto"/>
              </w:rPr>
            </w:pPr>
            <w:r>
              <w:rPr>
                <w:rFonts w:ascii="Times New Roman" w:cs="Times New Roman" w:eastAsia="Times New Roman" w:hAnsi="Times New Roman"/>
                <w:sz w:val="10"/>
                <w:szCs w:val="10"/>
                <w:color w:val="auto"/>
                <w:w w:val="71"/>
              </w:rPr>
              <w:t>%</w:t>
            </w:r>
          </w:p>
        </w:tc>
      </w:tr>
      <w:tr>
        <w:trPr>
          <w:trHeight w:val="113"/>
        </w:trPr>
        <w:tc>
          <w:tcPr>
            <w:tcW w:w="2500" w:type="dxa"/>
            <w:vAlign w:val="bottom"/>
            <w:tcBorders>
              <w:bottom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Interest expense</w:t>
            </w:r>
          </w:p>
        </w:tc>
        <w:tc>
          <w:tcPr>
            <w:tcW w:w="1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333,021</w:t>
            </w:r>
          </w:p>
        </w:tc>
        <w:tc>
          <w:tcPr>
            <w:tcW w:w="1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353,057</w:t>
            </w:r>
          </w:p>
        </w:tc>
        <w:tc>
          <w:tcPr>
            <w:tcW w:w="1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321,529</w:t>
            </w:r>
          </w:p>
        </w:tc>
        <w:tc>
          <w:tcPr>
            <w:tcW w:w="1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(20,036)</w:t>
            </w:r>
          </w:p>
        </w:tc>
        <w:tc>
          <w:tcPr>
            <w:tcW w:w="1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31,528</w:t>
            </w:r>
          </w:p>
        </w:tc>
        <w:tc>
          <w:tcPr>
            <w:tcW w:w="14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(5.7)</w:t>
            </w:r>
          </w:p>
        </w:tc>
        <w:tc>
          <w:tcPr>
            <w:tcW w:w="200" w:type="dxa"/>
            <w:vAlign w:val="bottom"/>
            <w:tcBorders>
              <w:bottom w:val="single" w:sz="8" w:color="CCEEFF"/>
            </w:tcBorders>
            <w:shd w:val="clear" w:color="auto" w:fill="CCEEFF"/>
          </w:tcPr>
          <w:p>
            <w:pPr>
              <w:jc w:val="right"/>
              <w:ind w:right="49"/>
              <w:spacing w:after="0" w:line="104" w:lineRule="exact"/>
              <w:rPr>
                <w:sz w:val="20"/>
                <w:szCs w:val="20"/>
                <w:color w:val="auto"/>
              </w:rPr>
            </w:pPr>
            <w:r>
              <w:rPr>
                <w:rFonts w:ascii="Times New Roman" w:cs="Times New Roman" w:eastAsia="Times New Roman" w:hAnsi="Times New Roman"/>
                <w:sz w:val="10"/>
                <w:szCs w:val="10"/>
                <w:color w:val="auto"/>
                <w:w w:val="95"/>
              </w:rPr>
              <w:t>%</w:t>
            </w:r>
          </w:p>
        </w:tc>
        <w:tc>
          <w:tcPr>
            <w:tcW w:w="80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9.8</w:t>
            </w:r>
          </w:p>
        </w:tc>
        <w:tc>
          <w:tcPr>
            <w:tcW w:w="140" w:type="dxa"/>
            <w:vAlign w:val="bottom"/>
            <w:tcBorders>
              <w:bottom w:val="single" w:sz="8" w:color="CCEEFF"/>
            </w:tcBorders>
            <w:shd w:val="clear" w:color="auto" w:fill="CCEEFF"/>
          </w:tcPr>
          <w:p>
            <w:pPr>
              <w:jc w:val="right"/>
              <w:ind w:right="9"/>
              <w:spacing w:after="0" w:line="104" w:lineRule="exact"/>
              <w:rPr>
                <w:sz w:val="20"/>
                <w:szCs w:val="20"/>
                <w:color w:val="auto"/>
              </w:rPr>
            </w:pPr>
            <w:r>
              <w:rPr>
                <w:rFonts w:ascii="Times New Roman" w:cs="Times New Roman" w:eastAsia="Times New Roman" w:hAnsi="Times New Roman"/>
                <w:sz w:val="10"/>
                <w:szCs w:val="10"/>
                <w:color w:val="auto"/>
                <w:w w:val="71"/>
              </w:rPr>
              <w:t>%</w:t>
            </w:r>
          </w:p>
        </w:tc>
      </w:tr>
    </w:tbl>
    <w:p>
      <w:pPr>
        <w:spacing w:after="0" w:line="139" w:lineRule="exact"/>
        <w:rPr>
          <w:sz w:val="20"/>
          <w:szCs w:val="20"/>
          <w:color w:val="auto"/>
        </w:rPr>
      </w:pPr>
    </w:p>
    <w:p>
      <w:pPr>
        <w:jc w:val="both"/>
        <w:ind w:left="20" w:right="79" w:firstLine="228"/>
        <w:spacing w:after="0" w:line="256" w:lineRule="auto"/>
        <w:rPr>
          <w:sz w:val="20"/>
          <w:szCs w:val="20"/>
          <w:color w:val="auto"/>
        </w:rPr>
      </w:pPr>
      <w:r>
        <w:rPr>
          <w:rFonts w:ascii="Times New Roman" w:cs="Times New Roman" w:eastAsia="Times New Roman" w:hAnsi="Times New Roman"/>
          <w:sz w:val="13"/>
          <w:szCs w:val="13"/>
          <w:color w:val="auto"/>
        </w:rPr>
        <w:t>The following tables show expenses for the years ended December 31, 2020, 2019 and 2018 for stabilized properties and non-stabilized properties (all other properties) (in thousands). Expense totals for non-stabilized include results from properties that have not yet met the definition of stabilized and properties that are classified as held for sale or were sold during the period.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6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jc w:val="center"/>
              <w:ind w:left="263"/>
              <w:spacing w:after="0"/>
              <w:rPr>
                <w:sz w:val="20"/>
                <w:szCs w:val="20"/>
                <w:color w:val="auto"/>
              </w:rPr>
            </w:pPr>
            <w:r>
              <w:rPr>
                <w:rFonts w:ascii="Times New Roman" w:cs="Times New Roman" w:eastAsia="Times New Roman" w:hAnsi="Times New Roman"/>
                <w:sz w:val="10"/>
                <w:szCs w:val="10"/>
                <w:b w:val="1"/>
                <w:bCs w:val="1"/>
                <w:color w:val="auto"/>
                <w:w w:val="99"/>
              </w:rPr>
              <w:t>Stabilized</w:t>
            </w:r>
          </w:p>
        </w:tc>
        <w:tc>
          <w:tcPr>
            <w:tcW w:w="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Non-Stabilized</w:t>
            </w: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94"/>
        </w:trPr>
        <w:tc>
          <w:tcPr>
            <w:tcW w:w="2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5"/>
          </w:tcPr>
          <w:p>
            <w:pPr>
              <w:jc w:val="center"/>
              <w:ind w:right="400"/>
              <w:spacing w:after="0" w:line="94" w:lineRule="exact"/>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6"/>
          </w:tcPr>
          <w:p>
            <w:pPr>
              <w:jc w:val="center"/>
              <w:ind w:right="77"/>
              <w:spacing w:after="0" w:line="94" w:lineRule="exact"/>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680" w:type="dxa"/>
            <w:vAlign w:val="bottom"/>
            <w:tcBorders>
              <w:bottom w:val="single" w:sz="8" w:color="auto"/>
            </w:tcBorders>
          </w:tcPr>
          <w:p>
            <w:pPr>
              <w:spacing w:after="0"/>
              <w:rPr>
                <w:sz w:val="8"/>
                <w:szCs w:val="8"/>
                <w:color w:val="auto"/>
              </w:rPr>
            </w:pPr>
          </w:p>
        </w:tc>
      </w:tr>
      <w:tr>
        <w:trPr>
          <w:trHeight w:val="94"/>
        </w:trPr>
        <w:tc>
          <w:tcPr>
            <w:tcW w:w="26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0"/>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43"/>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00"/>
              <w:spacing w:after="0" w:line="94" w:lineRule="exact"/>
              <w:rPr>
                <w:sz w:val="20"/>
                <w:szCs w:val="20"/>
                <w:color w:val="auto"/>
              </w:rPr>
            </w:pPr>
            <w:r>
              <w:rPr>
                <w:rFonts w:ascii="Times New Roman" w:cs="Times New Roman" w:eastAsia="Times New Roman" w:hAnsi="Times New Roman"/>
                <w:sz w:val="10"/>
                <w:szCs w:val="10"/>
                <w:b w:val="1"/>
                <w:bCs w:val="1"/>
                <w:color w:val="auto"/>
              </w:rPr>
              <w:t>Change</w:t>
            </w:r>
          </w:p>
        </w:tc>
        <w:tc>
          <w:tcPr>
            <w:tcW w:w="14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jc w:val="right"/>
              <w:ind w:right="40"/>
              <w:spacing w:after="0" w:line="94" w:lineRule="exact"/>
              <w:rPr>
                <w:sz w:val="20"/>
                <w:szCs w:val="20"/>
                <w:color w:val="auto"/>
              </w:rPr>
            </w:pPr>
            <w:r>
              <w:rPr>
                <w:rFonts w:ascii="Times New Roman" w:cs="Times New Roman" w:eastAsia="Times New Roman" w:hAnsi="Times New Roman"/>
                <w:sz w:val="10"/>
                <w:szCs w:val="10"/>
                <w:b w:val="1"/>
                <w:bCs w:val="1"/>
                <w:color w:val="auto"/>
              </w:rPr>
              <w:t>% Change</w:t>
            </w:r>
          </w:p>
        </w:tc>
        <w:tc>
          <w:tcPr>
            <w:tcW w:w="24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20"/>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center"/>
              <w:ind w:right="22"/>
              <w:spacing w:after="0" w:line="94"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1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00"/>
              <w:spacing w:after="0" w:line="94" w:lineRule="exact"/>
              <w:rPr>
                <w:sz w:val="20"/>
                <w:szCs w:val="20"/>
                <w:color w:val="auto"/>
              </w:rPr>
            </w:pPr>
            <w:r>
              <w:rPr>
                <w:rFonts w:ascii="Times New Roman" w:cs="Times New Roman" w:eastAsia="Times New Roman" w:hAnsi="Times New Roman"/>
                <w:sz w:val="10"/>
                <w:szCs w:val="10"/>
                <w:b w:val="1"/>
                <w:bCs w:val="1"/>
                <w:color w:val="auto"/>
              </w:rPr>
              <w:t>Change</w:t>
            </w:r>
          </w:p>
        </w:tc>
      </w:tr>
      <w:tr>
        <w:trPr>
          <w:trHeight w:val="141"/>
        </w:trPr>
        <w:tc>
          <w:tcPr>
            <w:tcW w:w="26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Rental property operating and maintenance</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772,725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778,006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(5,281)</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7"/>
              <w:spacing w:after="0" w:line="141" w:lineRule="exact"/>
              <w:rPr>
                <w:sz w:val="20"/>
                <w:szCs w:val="20"/>
                <w:color w:val="auto"/>
              </w:rPr>
            </w:pPr>
            <w:r>
              <w:rPr>
                <w:rFonts w:ascii="Times New Roman" w:cs="Times New Roman" w:eastAsia="Times New Roman" w:hAnsi="Times New Roman"/>
                <w:sz w:val="13"/>
                <w:szCs w:val="13"/>
                <w:color w:val="auto"/>
              </w:rPr>
              <w:t>(0.7)%</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558,769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242,571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316,198</w:t>
            </w:r>
          </w:p>
        </w:tc>
      </w:tr>
      <w:tr>
        <w:trPr>
          <w:trHeight w:val="152"/>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Property taxes and insurance</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131,204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125,994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5,210</w:t>
            </w:r>
          </w:p>
        </w:tc>
        <w:tc>
          <w:tcPr>
            <w:tcW w:w="140" w:type="dxa"/>
            <w:vAlign w:val="bottom"/>
          </w:tcPr>
          <w:p>
            <w:pPr>
              <w:spacing w:after="0"/>
              <w:rPr>
                <w:sz w:val="13"/>
                <w:szCs w:val="13"/>
                <w:color w:val="auto"/>
              </w:rPr>
            </w:pPr>
          </w:p>
        </w:tc>
        <w:tc>
          <w:tcPr>
            <w:tcW w:w="92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4.1 %</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51,418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46,190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5,228</w:t>
            </w:r>
          </w:p>
        </w:tc>
      </w:tr>
      <w:tr>
        <w:trPr>
          <w:trHeight w:val="150"/>
        </w:trPr>
        <w:tc>
          <w:tcPr>
            <w:tcW w:w="26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903,929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904,000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(0.0)</w:t>
            </w:r>
          </w:p>
        </w:tc>
        <w:tc>
          <w:tcPr>
            <w:tcW w:w="240" w:type="dxa"/>
            <w:vAlign w:val="bottom"/>
            <w:tcBorders>
              <w:top w:val="single" w:sz="8" w:color="CCEEFF"/>
              <w:bottom w:val="single" w:sz="8" w:color="CCEEFF"/>
            </w:tcBorders>
            <w:shd w:val="clear" w:color="auto" w:fill="CCEEFF"/>
          </w:tcPr>
          <w:p>
            <w:pPr>
              <w:jc w:val="right"/>
              <w:ind w:right="7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610,187</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288,761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321,426</w:t>
            </w:r>
          </w:p>
        </w:tc>
      </w:tr>
    </w:tbl>
    <w:p>
      <w:pPr>
        <w:spacing w:after="0" w:line="139" w:lineRule="exact"/>
        <w:rPr>
          <w:sz w:val="20"/>
          <w:szCs w:val="20"/>
          <w:color w:val="auto"/>
        </w:rPr>
      </w:pPr>
    </w:p>
    <w:p>
      <w:pPr>
        <w:ind w:left="20" w:right="179" w:firstLine="228"/>
        <w:spacing w:after="0" w:line="268" w:lineRule="auto"/>
        <w:rPr>
          <w:sz w:val="20"/>
          <w:szCs w:val="20"/>
          <w:color w:val="auto"/>
        </w:rPr>
      </w:pPr>
      <w:r>
        <w:rPr>
          <w:rFonts w:ascii="Times New Roman" w:cs="Times New Roman" w:eastAsia="Times New Roman" w:hAnsi="Times New Roman"/>
          <w:sz w:val="13"/>
          <w:szCs w:val="13"/>
          <w:color w:val="auto"/>
        </w:rPr>
        <w:t>Stabilized rental property operating and maintenance expenses decreased approximately $5.3 million for the year ended December 31, 2020 compared to the same period in 2019, primarily related to lower utility consumption at certain properties in the stabilized portfolio.</w:t>
      </w:r>
    </w:p>
    <w:p>
      <w:pPr>
        <w:spacing w:after="0" w:line="122" w:lineRule="exact"/>
        <w:rPr>
          <w:sz w:val="20"/>
          <w:szCs w:val="20"/>
          <w:color w:val="auto"/>
        </w:rPr>
      </w:pPr>
    </w:p>
    <w:p>
      <w:pPr>
        <w:ind w:left="20" w:right="59" w:firstLine="228"/>
        <w:spacing w:after="0" w:line="268" w:lineRule="auto"/>
        <w:rPr>
          <w:sz w:val="20"/>
          <w:szCs w:val="20"/>
          <w:color w:val="auto"/>
        </w:rPr>
      </w:pPr>
      <w:r>
        <w:rPr>
          <w:rFonts w:ascii="Times New Roman" w:cs="Times New Roman" w:eastAsia="Times New Roman" w:hAnsi="Times New Roman"/>
          <w:sz w:val="13"/>
          <w:szCs w:val="13"/>
          <w:color w:val="auto"/>
        </w:rPr>
        <w:t>Stabilized property taxes and insurance increased by approximately $5.2 million for the year ended December 31, 2020 compared to the same period in 2019, primarily due to property tax refunds in 2019 that are not recurring.</w:t>
      </w:r>
    </w:p>
    <w:p>
      <w:pPr>
        <w:spacing w:after="0" w:line="122" w:lineRule="exact"/>
        <w:rPr>
          <w:sz w:val="20"/>
          <w:szCs w:val="20"/>
          <w:color w:val="auto"/>
        </w:rPr>
      </w:pPr>
    </w:p>
    <w:p>
      <w:pPr>
        <w:ind w:left="20" w:right="39" w:firstLine="228"/>
        <w:spacing w:after="0" w:line="252" w:lineRule="auto"/>
        <w:rPr>
          <w:sz w:val="20"/>
          <w:szCs w:val="20"/>
          <w:color w:val="auto"/>
        </w:rPr>
      </w:pPr>
      <w:r>
        <w:rPr>
          <w:rFonts w:ascii="Times New Roman" w:cs="Times New Roman" w:eastAsia="Times New Roman" w:hAnsi="Times New Roman"/>
          <w:sz w:val="13"/>
          <w:szCs w:val="13"/>
          <w:color w:val="auto"/>
        </w:rPr>
        <w:t>Non-stabilized rental property operating and maintenance expenses increased by approximately $316.2 million for the year ended December 31, 2020 compared to the same period in 2019, primarily due to the Interxion Combination, which contributed $275.7 million for the year ended December 31, 2020 along with higher expenses as a result of leasing activity during the twelve months ended December 31, 2020 partially offset by properties sold to Mapletree in January 2020, properties contributed to the Mapletree joint venture in November 2019 and the Ascenty Acquisition prior to deconsolidation in March 2019.</w:t>
      </w:r>
    </w:p>
    <w:p>
      <w:pPr>
        <w:spacing w:after="0" w:line="132" w:lineRule="exact"/>
        <w:rPr>
          <w:sz w:val="20"/>
          <w:szCs w:val="20"/>
          <w:color w:val="auto"/>
        </w:rPr>
      </w:pPr>
    </w:p>
    <w:p>
      <w:pPr>
        <w:jc w:val="center"/>
        <w:ind w:left="20" w:right="199"/>
        <w:spacing w:after="0" w:line="310" w:lineRule="auto"/>
        <w:rPr>
          <w:sz w:val="20"/>
          <w:szCs w:val="20"/>
          <w:color w:val="auto"/>
        </w:rPr>
      </w:pPr>
      <w:r>
        <w:rPr>
          <w:rFonts w:ascii="Times New Roman" w:cs="Times New Roman" w:eastAsia="Times New Roman" w:hAnsi="Times New Roman"/>
          <w:sz w:val="12"/>
          <w:szCs w:val="12"/>
          <w:color w:val="auto"/>
        </w:rPr>
        <w:t>Non-stabilized property taxes increased approximately $5.2 million for the year ended December 31, 2020 compared to the same period in 2019 due to the Interxion Combination, which contributed $3.5 million for the year ended December 31 2020 along with increased assessed values at our non-stabilized Northern Virginia and Chicago</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82" w:name="page83"/>
    <w:bookmarkEnd w:id="8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properties offset by properties sold to Mapletree in January 2020 and properties contributed to the Mapletree joint venture in November 2019.</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Stabilized</w:t>
            </w: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Non-Stabilized</w:t>
            </w: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r>
      <w:tr>
        <w:trPr>
          <w:trHeight w:val="94"/>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gridSpan w:val="5"/>
          </w:tcPr>
          <w:p>
            <w:pPr>
              <w:ind w:left="60"/>
              <w:spacing w:after="0" w:line="94" w:lineRule="exact"/>
              <w:rPr>
                <w:sz w:val="20"/>
                <w:szCs w:val="20"/>
                <w:color w:val="auto"/>
              </w:rPr>
            </w:pPr>
            <w:r>
              <w:rPr>
                <w:rFonts w:ascii="Times New Roman" w:cs="Times New Roman" w:eastAsia="Times New Roman" w:hAnsi="Times New Roman"/>
                <w:sz w:val="10"/>
                <w:szCs w:val="10"/>
                <w:b w:val="1"/>
                <w:bCs w:val="1"/>
                <w:color w:val="auto"/>
              </w:rPr>
              <w:t>Year Ended December 31,</w:t>
            </w: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gridSpan w:val="5"/>
          </w:tcPr>
          <w:p>
            <w:pPr>
              <w:ind w:left="560"/>
              <w:spacing w:after="0" w:line="94" w:lineRule="exact"/>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94"/>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ind w:right="240"/>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ind w:right="223"/>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ind w:left="40"/>
              <w:spacing w:after="0" w:line="94" w:lineRule="exact"/>
              <w:rPr>
                <w:sz w:val="20"/>
                <w:szCs w:val="20"/>
                <w:color w:val="auto"/>
              </w:rPr>
            </w:pPr>
            <w:r>
              <w:rPr>
                <w:rFonts w:ascii="Times New Roman" w:cs="Times New Roman" w:eastAsia="Times New Roman" w:hAnsi="Times New Roman"/>
                <w:sz w:val="10"/>
                <w:szCs w:val="10"/>
                <w:b w:val="1"/>
                <w:bCs w:val="1"/>
                <w:color w:val="auto"/>
              </w:rPr>
              <w:t>$ Change</w:t>
            </w:r>
          </w:p>
        </w:tc>
        <w:tc>
          <w:tcPr>
            <w:tcW w:w="680" w:type="dxa"/>
            <w:vAlign w:val="bottom"/>
          </w:tcPr>
          <w:p>
            <w:pPr>
              <w:jc w:val="right"/>
              <w:ind w:right="40"/>
              <w:spacing w:after="0" w:line="94" w:lineRule="exact"/>
              <w:rPr>
                <w:sz w:val="20"/>
                <w:szCs w:val="20"/>
                <w:color w:val="auto"/>
              </w:rPr>
            </w:pPr>
            <w:r>
              <w:rPr>
                <w:rFonts w:ascii="Times New Roman" w:cs="Times New Roman" w:eastAsia="Times New Roman" w:hAnsi="Times New Roman"/>
                <w:sz w:val="10"/>
                <w:szCs w:val="10"/>
                <w:b w:val="1"/>
                <w:bCs w:val="1"/>
                <w:color w:val="auto"/>
              </w:rPr>
              <w:t>% Change</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ind w:right="242"/>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jc w:val="right"/>
              <w:ind w:right="242"/>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ind w:right="160"/>
              <w:spacing w:after="0" w:line="94" w:lineRule="exact"/>
              <w:rPr>
                <w:sz w:val="20"/>
                <w:szCs w:val="20"/>
                <w:color w:val="auto"/>
              </w:rPr>
            </w:pPr>
            <w:r>
              <w:rPr>
                <w:rFonts w:ascii="Times New Roman" w:cs="Times New Roman" w:eastAsia="Times New Roman" w:hAnsi="Times New Roman"/>
                <w:sz w:val="10"/>
                <w:szCs w:val="10"/>
                <w:b w:val="1"/>
                <w:bCs w:val="1"/>
                <w:color w:val="auto"/>
              </w:rPr>
              <w:t>Change</w:t>
            </w:r>
          </w:p>
        </w:tc>
      </w:tr>
      <w:tr>
        <w:trPr>
          <w:trHeight w:val="141"/>
        </w:trPr>
        <w:tc>
          <w:tcPr>
            <w:tcW w:w="20" w:type="dxa"/>
            <w:vAlign w:val="bottom"/>
          </w:tcPr>
          <w:p>
            <w:pPr>
              <w:spacing w:after="0"/>
              <w:rPr>
                <w:sz w:val="12"/>
                <w:szCs w:val="12"/>
                <w:color w:val="auto"/>
              </w:rPr>
            </w:pPr>
          </w:p>
        </w:tc>
        <w:tc>
          <w:tcPr>
            <w:tcW w:w="24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Rental property operating and maintenance</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756,326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753,340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2,986</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0.4</w:t>
            </w:r>
          </w:p>
        </w:tc>
        <w:tc>
          <w:tcPr>
            <w:tcW w:w="180" w:type="dxa"/>
            <w:vAlign w:val="bottom"/>
            <w:tcBorders>
              <w:top w:val="single" w:sz="8" w:color="CCEEFF"/>
            </w:tcBorders>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264,252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203,726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60,526</w:t>
            </w:r>
          </w:p>
        </w:tc>
      </w:tr>
      <w:tr>
        <w:trPr>
          <w:trHeight w:val="152"/>
        </w:trPr>
        <w:tc>
          <w:tcPr>
            <w:tcW w:w="20" w:type="dxa"/>
            <w:vAlign w:val="bottom"/>
          </w:tcPr>
          <w:p>
            <w:pPr>
              <w:spacing w:after="0"/>
              <w:rPr>
                <w:sz w:val="13"/>
                <w:szCs w:val="13"/>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Property taxes and insurance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118,292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103,908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14,384</w:t>
            </w:r>
          </w:p>
        </w:tc>
        <w:tc>
          <w:tcPr>
            <w:tcW w:w="140" w:type="dxa"/>
            <w:vAlign w:val="bottom"/>
          </w:tcPr>
          <w:p>
            <w:pPr>
              <w:spacing w:after="0"/>
              <w:rPr>
                <w:sz w:val="13"/>
                <w:szCs w:val="13"/>
                <w:color w:val="auto"/>
              </w:rPr>
            </w:pPr>
          </w:p>
        </w:tc>
        <w:tc>
          <w:tcPr>
            <w:tcW w:w="8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13.8 %</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53,891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37,010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16,881</w:t>
            </w:r>
          </w:p>
        </w:tc>
      </w:tr>
      <w:tr>
        <w:trPr>
          <w:trHeight w:val="150"/>
        </w:trPr>
        <w:tc>
          <w:tcPr>
            <w:tcW w:w="20" w:type="dxa"/>
            <w:vAlign w:val="bottom"/>
          </w:tcPr>
          <w:p>
            <w:pPr>
              <w:spacing w:after="0"/>
              <w:rPr>
                <w:sz w:val="13"/>
                <w:szCs w:val="13"/>
                <w:color w:val="auto"/>
              </w:rPr>
            </w:pPr>
          </w:p>
        </w:tc>
        <w:tc>
          <w:tcPr>
            <w:tcW w:w="24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874,618</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857,248</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17,370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2.0</w:t>
            </w:r>
          </w:p>
        </w:tc>
        <w:tc>
          <w:tcPr>
            <w:tcW w:w="180" w:type="dxa"/>
            <w:vAlign w:val="bottom"/>
            <w:tcBorders>
              <w:top w:val="single" w:sz="8" w:color="CCEEFF"/>
              <w:bottom w:val="single" w:sz="8" w:color="CCEEFF"/>
            </w:tcBorders>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318,143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240,736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77,407</w:t>
            </w:r>
          </w:p>
        </w:tc>
      </w:tr>
    </w:tbl>
    <w:p>
      <w:pPr>
        <w:spacing w:after="0" w:line="139" w:lineRule="exact"/>
        <w:rPr>
          <w:sz w:val="20"/>
          <w:szCs w:val="20"/>
          <w:color w:val="auto"/>
        </w:rPr>
      </w:pPr>
    </w:p>
    <w:p>
      <w:pPr>
        <w:ind w:left="20" w:right="199" w:firstLine="228"/>
        <w:spacing w:after="0" w:line="268" w:lineRule="auto"/>
        <w:rPr>
          <w:sz w:val="20"/>
          <w:szCs w:val="20"/>
          <w:color w:val="auto"/>
        </w:rPr>
      </w:pPr>
      <w:r>
        <w:rPr>
          <w:rFonts w:ascii="Times New Roman" w:cs="Times New Roman" w:eastAsia="Times New Roman" w:hAnsi="Times New Roman"/>
          <w:sz w:val="13"/>
          <w:szCs w:val="13"/>
          <w:color w:val="auto"/>
        </w:rPr>
        <w:t>Stabilized rental property operating and maintenance expenses increased approximately $3.0 million for the year ended December 31, 2019 compared to the same period in 2018, primarily related to higher rent expense and internal labor costs across the portfolio.</w:t>
      </w:r>
    </w:p>
    <w:p>
      <w:pPr>
        <w:spacing w:after="0" w:line="122" w:lineRule="exact"/>
        <w:rPr>
          <w:sz w:val="20"/>
          <w:szCs w:val="20"/>
          <w:color w:val="auto"/>
        </w:rPr>
      </w:pPr>
    </w:p>
    <w:p>
      <w:pPr>
        <w:ind w:left="20" w:right="159" w:firstLine="228"/>
        <w:spacing w:after="0" w:line="310" w:lineRule="auto"/>
        <w:rPr>
          <w:sz w:val="20"/>
          <w:szCs w:val="20"/>
          <w:color w:val="auto"/>
        </w:rPr>
      </w:pPr>
      <w:r>
        <w:rPr>
          <w:rFonts w:ascii="Times New Roman" w:cs="Times New Roman" w:eastAsia="Times New Roman" w:hAnsi="Times New Roman"/>
          <w:sz w:val="12"/>
          <w:szCs w:val="12"/>
          <w:color w:val="auto"/>
        </w:rPr>
        <w:t>Stabilized property taxes increased by approximately $14.4 million, or 13.8%, for the year ended December 31, 2019 compared to the same period in 2018. The increase was primarily due to a tax refund in 2018 at one of our properties in the stabilized portfolio along with higher 2019 assessments at certain properties in the stabilized portfolio.</w:t>
      </w:r>
    </w:p>
    <w:p>
      <w:pPr>
        <w:spacing w:after="0" w:line="99" w:lineRule="exact"/>
        <w:rPr>
          <w:sz w:val="20"/>
          <w:szCs w:val="20"/>
          <w:color w:val="auto"/>
        </w:rPr>
      </w:pPr>
    </w:p>
    <w:p>
      <w:pPr>
        <w:ind w:left="20" w:right="99" w:firstLine="228"/>
        <w:spacing w:after="0" w:line="256" w:lineRule="auto"/>
        <w:rPr>
          <w:sz w:val="20"/>
          <w:szCs w:val="20"/>
          <w:color w:val="auto"/>
        </w:rPr>
      </w:pPr>
      <w:r>
        <w:rPr>
          <w:rFonts w:ascii="Times New Roman" w:cs="Times New Roman" w:eastAsia="Times New Roman" w:hAnsi="Times New Roman"/>
          <w:sz w:val="13"/>
          <w:szCs w:val="13"/>
          <w:color w:val="auto"/>
        </w:rPr>
        <w:t>Non-stabilized rental property operating and maintenance expenses increased by approximately $60.5 million for the year ended December 31, 2019 compared to the same period in 2018, primarily due to higher expenses as a result of leasing activity during the twelve months ended December 31, 2019 and the Ascenty Acquisition that increased expenses during the first quarter of 2019.</w:t>
      </w:r>
    </w:p>
    <w:p>
      <w:pPr>
        <w:spacing w:after="0" w:line="129" w:lineRule="exact"/>
        <w:rPr>
          <w:sz w:val="20"/>
          <w:szCs w:val="20"/>
          <w:color w:val="auto"/>
        </w:rPr>
      </w:pPr>
    </w:p>
    <w:p>
      <w:pPr>
        <w:ind w:left="20" w:right="199" w:firstLine="228"/>
        <w:spacing w:after="0" w:line="268" w:lineRule="auto"/>
        <w:rPr>
          <w:sz w:val="20"/>
          <w:szCs w:val="20"/>
          <w:color w:val="auto"/>
        </w:rPr>
      </w:pPr>
      <w:r>
        <w:rPr>
          <w:rFonts w:ascii="Times New Roman" w:cs="Times New Roman" w:eastAsia="Times New Roman" w:hAnsi="Times New Roman"/>
          <w:sz w:val="13"/>
          <w:szCs w:val="13"/>
          <w:color w:val="auto"/>
        </w:rPr>
        <w:t>Non-stabilized property taxes and insurance expense increased approximately $16.9 million for the year ended December 31, 2019 compared to the same period in 2018, due to increased assessed values at our non-stabilized Chicago properties along with properties being placed in service.</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Depreciation and Amortization</w:t>
      </w:r>
    </w:p>
    <w:p>
      <w:pPr>
        <w:spacing w:after="0" w:line="156" w:lineRule="exact"/>
        <w:rPr>
          <w:sz w:val="20"/>
          <w:szCs w:val="20"/>
          <w:color w:val="auto"/>
        </w:rPr>
      </w:pPr>
    </w:p>
    <w:p>
      <w:pPr>
        <w:ind w:left="20" w:right="319" w:firstLine="228"/>
        <w:spacing w:after="0" w:line="252" w:lineRule="auto"/>
        <w:rPr>
          <w:sz w:val="20"/>
          <w:szCs w:val="20"/>
          <w:color w:val="auto"/>
        </w:rPr>
      </w:pPr>
      <w:r>
        <w:rPr>
          <w:rFonts w:ascii="Times New Roman" w:cs="Times New Roman" w:eastAsia="Times New Roman" w:hAnsi="Times New Roman"/>
          <w:sz w:val="13"/>
          <w:szCs w:val="13"/>
          <w:color w:val="auto"/>
        </w:rPr>
        <w:t>Depreciation and amortization expense increased by approximately $202.6 million for the year ended December 31, 2020 compared to the same period in 2019. The increase was principally due to the Interxion Combination offset by properties sold to Mapletree in January 2020, properties contributed to the Mapletree joint venture in November 2019, certain intangibles related to the DFT Merger being fully amortized prior to the year ended December 31, 2020 along with 2019 activity from the Ascenty Acquisition prior to deconsolidation in March 2019.</w:t>
      </w:r>
    </w:p>
    <w:p>
      <w:pPr>
        <w:spacing w:after="0" w:line="132" w:lineRule="exact"/>
        <w:rPr>
          <w:sz w:val="20"/>
          <w:szCs w:val="20"/>
          <w:color w:val="auto"/>
        </w:rPr>
      </w:pPr>
    </w:p>
    <w:p>
      <w:pPr>
        <w:ind w:left="20" w:right="479" w:firstLine="228"/>
        <w:spacing w:after="0" w:line="268" w:lineRule="auto"/>
        <w:rPr>
          <w:sz w:val="20"/>
          <w:szCs w:val="20"/>
          <w:color w:val="auto"/>
        </w:rPr>
      </w:pPr>
      <w:r>
        <w:rPr>
          <w:rFonts w:ascii="Times New Roman" w:cs="Times New Roman" w:eastAsia="Times New Roman" w:hAnsi="Times New Roman"/>
          <w:sz w:val="13"/>
          <w:szCs w:val="13"/>
          <w:color w:val="auto"/>
        </w:rPr>
        <w:t>Depreciation and amortization expense decreased by approximately $23.1 million for the year ended December 31, 2019 compared to the same period in 2018. The decrease for the year was principally due to certain intangibles related to the DFT Merger being fully amortized during the year ended December 31, 2019.</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General and Administrative</w:t>
      </w:r>
    </w:p>
    <w:p>
      <w:pPr>
        <w:spacing w:after="0" w:line="156" w:lineRule="exact"/>
        <w:rPr>
          <w:sz w:val="20"/>
          <w:szCs w:val="20"/>
          <w:color w:val="auto"/>
        </w:rPr>
      </w:pPr>
    </w:p>
    <w:p>
      <w:pPr>
        <w:ind w:left="20" w:right="79" w:firstLine="228"/>
        <w:spacing w:after="0" w:line="268" w:lineRule="auto"/>
        <w:rPr>
          <w:sz w:val="20"/>
          <w:szCs w:val="20"/>
          <w:color w:val="auto"/>
        </w:rPr>
      </w:pPr>
      <w:r>
        <w:rPr>
          <w:rFonts w:ascii="Times New Roman" w:cs="Times New Roman" w:eastAsia="Times New Roman" w:hAnsi="Times New Roman"/>
          <w:sz w:val="13"/>
          <w:szCs w:val="13"/>
          <w:color w:val="auto"/>
        </w:rPr>
        <w:t>General and administrative expenses increased by approximately $140.3 million for the year ended December 31, 2020 compared to the same period in 2019, primarily due to the Interxion Combination.</w:t>
      </w:r>
    </w:p>
    <w:p>
      <w:pPr>
        <w:spacing w:after="0" w:line="122" w:lineRule="exact"/>
        <w:rPr>
          <w:sz w:val="20"/>
          <w:szCs w:val="20"/>
          <w:color w:val="auto"/>
        </w:rPr>
      </w:pPr>
    </w:p>
    <w:p>
      <w:pPr>
        <w:ind w:left="20" w:right="139" w:firstLine="228"/>
        <w:spacing w:after="0" w:line="256" w:lineRule="auto"/>
        <w:rPr>
          <w:sz w:val="20"/>
          <w:szCs w:val="20"/>
          <w:color w:val="auto"/>
        </w:rPr>
      </w:pPr>
      <w:r>
        <w:rPr>
          <w:rFonts w:ascii="Times New Roman" w:cs="Times New Roman" w:eastAsia="Times New Roman" w:hAnsi="Times New Roman"/>
          <w:sz w:val="13"/>
          <w:szCs w:val="13"/>
          <w:color w:val="auto"/>
        </w:rPr>
        <w:t>General and administrative expenses increased by approximately $47.4 million for the year ended December 31, 2019 compared to the same period in 2018, primarily due to the adoption of ASC 842 which resulted in an increase in the amount of fixed compensation expenses associated with successful leasing activities which were previously capitalized under ASC 840.</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83" w:name="page84"/>
    <w:bookmarkEnd w:id="8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Transactions and Integration Expense</w:t>
      </w:r>
    </w:p>
    <w:p>
      <w:pPr>
        <w:spacing w:after="0" w:line="156" w:lineRule="exact"/>
        <w:rPr>
          <w:sz w:val="20"/>
          <w:szCs w:val="20"/>
          <w:color w:val="auto"/>
        </w:rPr>
      </w:pPr>
    </w:p>
    <w:p>
      <w:pPr>
        <w:ind w:left="20" w:right="39" w:firstLine="228"/>
        <w:spacing w:after="0" w:line="268" w:lineRule="auto"/>
        <w:rPr>
          <w:sz w:val="20"/>
          <w:szCs w:val="20"/>
          <w:color w:val="auto"/>
        </w:rPr>
      </w:pPr>
      <w:r>
        <w:rPr>
          <w:rFonts w:ascii="Times New Roman" w:cs="Times New Roman" w:eastAsia="Times New Roman" w:hAnsi="Times New Roman"/>
          <w:sz w:val="13"/>
          <w:szCs w:val="13"/>
          <w:color w:val="auto"/>
        </w:rPr>
        <w:t>Transactions and integration expense increased by approximately $78.7 million for the year ended December 31, 2020 compared to the same period in 2019, principally due to integration and transaction costs associated with the Interxion Combination, which closed in March 2020.</w:t>
      </w:r>
    </w:p>
    <w:p>
      <w:pPr>
        <w:spacing w:after="0" w:line="122" w:lineRule="exact"/>
        <w:rPr>
          <w:sz w:val="20"/>
          <w:szCs w:val="20"/>
          <w:color w:val="auto"/>
        </w:rPr>
      </w:pPr>
    </w:p>
    <w:p>
      <w:pPr>
        <w:ind w:left="20" w:right="239" w:firstLine="228"/>
        <w:spacing w:after="0" w:line="268" w:lineRule="auto"/>
        <w:rPr>
          <w:sz w:val="20"/>
          <w:szCs w:val="20"/>
          <w:color w:val="auto"/>
        </w:rPr>
      </w:pPr>
      <w:r>
        <w:rPr>
          <w:rFonts w:ascii="Times New Roman" w:cs="Times New Roman" w:eastAsia="Times New Roman" w:hAnsi="Times New Roman"/>
          <w:sz w:val="13"/>
          <w:szCs w:val="13"/>
          <w:color w:val="auto"/>
        </w:rPr>
        <w:t>Transactions and integration expense decreased by approximately $17.4 million for the year ended December 31, 2019 compared to the same period in 2018, principally due to higher transaction costs in 2018 related to the Ascenty Acquisition.</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Impairment of Investments in Real Estate</w:t>
      </w:r>
    </w:p>
    <w:p>
      <w:pPr>
        <w:spacing w:after="0" w:line="156" w:lineRule="exact"/>
        <w:rPr>
          <w:sz w:val="20"/>
          <w:szCs w:val="20"/>
          <w:color w:val="auto"/>
        </w:rPr>
      </w:pPr>
    </w:p>
    <w:p>
      <w:pPr>
        <w:ind w:left="20" w:right="159" w:firstLine="228"/>
        <w:spacing w:after="0" w:line="252" w:lineRule="auto"/>
        <w:rPr>
          <w:sz w:val="20"/>
          <w:szCs w:val="20"/>
          <w:color w:val="auto"/>
        </w:rPr>
      </w:pPr>
      <w:r>
        <w:rPr>
          <w:rFonts w:ascii="Times New Roman" w:cs="Times New Roman" w:eastAsia="Times New Roman" w:hAnsi="Times New Roman"/>
          <w:sz w:val="13"/>
          <w:szCs w:val="13"/>
          <w:color w:val="auto"/>
        </w:rPr>
        <w:t>During the year ended December 31, 2020, it became more-likely-than-not that several assets would be disposed of in advance of their useful lives. We performed impairment procedures over said assets and as a result, recognized a $6.5 million of impairment charge on a property located in Europe. An impairment of approximately $5.4 million was also recognized during the year ended December 31, 2019 on a property located in the United States. The fair value of the properties were primarily based on comparable sales price data.</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Interest Expense</w:t>
      </w:r>
    </w:p>
    <w:p>
      <w:pPr>
        <w:spacing w:after="0" w:line="156" w:lineRule="exact"/>
        <w:rPr>
          <w:sz w:val="20"/>
          <w:szCs w:val="20"/>
          <w:color w:val="auto"/>
        </w:rPr>
      </w:pPr>
    </w:p>
    <w:p>
      <w:pPr>
        <w:ind w:left="20" w:right="99" w:firstLine="228"/>
        <w:spacing w:after="0" w:line="249" w:lineRule="auto"/>
        <w:rPr>
          <w:sz w:val="20"/>
          <w:szCs w:val="20"/>
          <w:color w:val="auto"/>
        </w:rPr>
      </w:pPr>
      <w:r>
        <w:rPr>
          <w:rFonts w:ascii="Times New Roman" w:cs="Times New Roman" w:eastAsia="Times New Roman" w:hAnsi="Times New Roman"/>
          <w:sz w:val="13"/>
          <w:szCs w:val="13"/>
          <w:color w:val="auto"/>
        </w:rPr>
        <w:t>Interest expense decreased by approximately $20.0 million for the year ended December 31, 2020 compared to the same period in 2019. The decrease was primarily due to lower average balances on our global revolving credit facilities and term loans in 2020, the redemption of the 4.750% 2023 Notes in October 2020 and the 3.950% 2022 Notes and 3.625% 2022 Notes in August 2020 along with the paydown of the Ascenty loan in March 2019. This was offset by the issuances of the 2.500% 2026 Notes in February 2019, the 3.600% 2029 Notes in June 2019, 1.125% 2028 Notes in October 2019, the 0.125% 2022 Notes, 0.625% 2025 Notes and 1.500% 2030 Notes in January 2020, the 1.250% 2031 Notes in June 2020 and the 2032 Notes in September 2020.</w:t>
      </w:r>
    </w:p>
    <w:p>
      <w:pPr>
        <w:spacing w:after="0" w:line="136" w:lineRule="exact"/>
        <w:rPr>
          <w:sz w:val="20"/>
          <w:szCs w:val="20"/>
          <w:color w:val="auto"/>
        </w:rPr>
      </w:pPr>
    </w:p>
    <w:p>
      <w:pPr>
        <w:ind w:left="20" w:right="219" w:firstLine="228"/>
        <w:spacing w:after="0" w:line="275" w:lineRule="auto"/>
        <w:rPr>
          <w:sz w:val="20"/>
          <w:szCs w:val="20"/>
          <w:color w:val="auto"/>
        </w:rPr>
      </w:pPr>
      <w:r>
        <w:rPr>
          <w:rFonts w:ascii="Times New Roman" w:cs="Times New Roman" w:eastAsia="Times New Roman" w:hAnsi="Times New Roman"/>
          <w:sz w:val="12"/>
          <w:szCs w:val="12"/>
          <w:color w:val="auto"/>
        </w:rPr>
        <w:t>Interest expense increased by approximately $31.5 million for the year ended December 31, 2019 compared to the same period in 2018, primarily due to the issuances of the 4.450% 2028 Notes in June 2018, the 3.750% 2030 Notes in October of 2018, the 2.500% 2026 Notes in February 2019, the 3.600% 2029 Notes in June 2019 and the</w:t>
      </w:r>
    </w:p>
    <w:p>
      <w:pPr>
        <w:ind w:left="20" w:right="159"/>
        <w:spacing w:after="0" w:line="247" w:lineRule="auto"/>
        <w:rPr>
          <w:sz w:val="20"/>
          <w:szCs w:val="20"/>
          <w:color w:val="auto"/>
        </w:rPr>
      </w:pPr>
      <w:r>
        <w:rPr>
          <w:rFonts w:ascii="Times New Roman" w:cs="Times New Roman" w:eastAsia="Times New Roman" w:hAnsi="Times New Roman"/>
          <w:sz w:val="13"/>
          <w:szCs w:val="13"/>
          <w:color w:val="auto"/>
        </w:rPr>
        <w:t>1.125% 2028 Notes in October 2019 and the Ascenty loan offset by the early tender offer and subsequent redemption of the 5.875% 2020 Notes in January and February 2019 and the 3.400% Notes due 2020 and 2021 Notes in June 2019 and July 2019.</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Interest and Other Income, Net</w:t>
      </w:r>
    </w:p>
    <w:p>
      <w:pPr>
        <w:spacing w:after="0" w:line="156" w:lineRule="exact"/>
        <w:rPr>
          <w:sz w:val="20"/>
          <w:szCs w:val="20"/>
          <w:color w:val="auto"/>
        </w:rPr>
      </w:pPr>
    </w:p>
    <w:p>
      <w:pPr>
        <w:ind w:left="20" w:right="139" w:firstLine="228"/>
        <w:spacing w:after="0" w:line="256" w:lineRule="auto"/>
        <w:rPr>
          <w:sz w:val="20"/>
          <w:szCs w:val="20"/>
          <w:color w:val="auto"/>
        </w:rPr>
      </w:pPr>
      <w:r>
        <w:rPr>
          <w:rFonts w:ascii="Times New Roman" w:cs="Times New Roman" w:eastAsia="Times New Roman" w:hAnsi="Times New Roman"/>
          <w:sz w:val="13"/>
          <w:szCs w:val="13"/>
          <w:color w:val="auto"/>
        </w:rPr>
        <w:t>Interest and other income, net decreased approximately $45.8 million for the year ended December 31, 2020 compared to the same period in 2019. The decrease is primarily due to realized and unrealized gains or losses from mark-to-market valuation changes on a marketable equity security and the reimbursement of transaction expenses as a result of the closing of the Ascenty joint venture with Brookfield in the three months ended March 31, 2019.</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Gain on Disposition of Properties</w:t>
      </w:r>
    </w:p>
    <w:p>
      <w:pPr>
        <w:spacing w:after="0" w:line="156" w:lineRule="exact"/>
        <w:rPr>
          <w:sz w:val="20"/>
          <w:szCs w:val="20"/>
          <w:color w:val="auto"/>
        </w:rPr>
      </w:pPr>
    </w:p>
    <w:p>
      <w:pPr>
        <w:ind w:left="20" w:right="499" w:firstLine="228"/>
        <w:spacing w:after="0" w:line="256" w:lineRule="auto"/>
        <w:rPr>
          <w:sz w:val="20"/>
          <w:szCs w:val="20"/>
          <w:color w:val="auto"/>
        </w:rPr>
      </w:pPr>
      <w:r>
        <w:rPr>
          <w:rFonts w:ascii="Times New Roman" w:cs="Times New Roman" w:eastAsia="Times New Roman" w:hAnsi="Times New Roman"/>
          <w:sz w:val="13"/>
          <w:szCs w:val="13"/>
          <w:color w:val="auto"/>
        </w:rPr>
        <w:t>During the year ended December 31, 2020, we sold (i) Liverpoolweg 10 in Amsterdam for gross proceeds of approximately $21.5 million, resulting in a gain of approximately $10.4 million in July 2020 and (ii) 10 Powered Base Building® properties, which comprise 12 data centers, in North America to Mapletree at a purchase consideration of approximately $557.0 million, resulting in a gain of approximately $306.5 million in January 2020.</w:t>
      </w:r>
    </w:p>
    <w:p>
      <w:pPr>
        <w:spacing w:after="0" w:line="129" w:lineRule="exact"/>
        <w:rPr>
          <w:sz w:val="20"/>
          <w:szCs w:val="20"/>
          <w:color w:val="auto"/>
        </w:rPr>
      </w:pPr>
    </w:p>
    <w:p>
      <w:pPr>
        <w:ind w:left="20" w:right="79" w:firstLine="228"/>
        <w:spacing w:after="0" w:line="256" w:lineRule="auto"/>
        <w:rPr>
          <w:sz w:val="20"/>
          <w:szCs w:val="20"/>
          <w:color w:val="auto"/>
        </w:rPr>
      </w:pPr>
      <w:r>
        <w:rPr>
          <w:rFonts w:ascii="Times New Roman" w:cs="Times New Roman" w:eastAsia="Times New Roman" w:hAnsi="Times New Roman"/>
          <w:sz w:val="13"/>
          <w:szCs w:val="13"/>
          <w:color w:val="auto"/>
        </w:rPr>
        <w:t>On November 1, 2019, we formed a joint venture with Mapletree and we contributed three Turn-Key Flex® data centers, valued at approximately $1.0 billion, to the new joint venture in which we retained a 20% interest. The transaction generated approximately $0.8 billion of net proceeds to us, comprised of Mapletree’s equity contribution, less our share of closing costs and accordingly we recognized a gain of approximately $266 million on the sale of the 80% interest in the joint venture.</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84" w:name="page85"/>
    <w:bookmarkEnd w:id="8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199" w:firstLine="228"/>
        <w:spacing w:after="0" w:line="249" w:lineRule="auto"/>
        <w:rPr>
          <w:sz w:val="20"/>
          <w:szCs w:val="20"/>
          <w:color w:val="auto"/>
        </w:rPr>
      </w:pPr>
      <w:r>
        <w:rPr>
          <w:rFonts w:ascii="Times New Roman" w:cs="Times New Roman" w:eastAsia="Times New Roman" w:hAnsi="Times New Roman"/>
          <w:sz w:val="13"/>
          <w:szCs w:val="13"/>
          <w:color w:val="auto"/>
        </w:rPr>
        <w:t>During the year ended December 31, 2018, we recognized a gain on sale of properties of $80.4 million primarily related to the disposition of (i) 200 Quannapowitt Parkway, which sold for $15.0 million in January 2018, (ii) 34551 Ardenwood Boulevard, which sold for $73.3 million in February 2018, (iii) 3065 Gold Camp Drive, which sold for $14.2 million in March 2018, (iv) 11085 Sun Center Drive, which sold for $36.8 million in March 2018, (v) the Austin Portfolio, which sold for $47.6 million in April 2018, (vi) 2010 East Centennial Circle, which sold for $5.5 million in May 2018, (vii) 1125 Energy Park Drive, which sold for $7.0 million in May 2018 and (viii) 360 Spear Street, which sold for $92.3 million in September 2018.</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Gain on Deconsolidation</w:t>
      </w:r>
    </w:p>
    <w:p>
      <w:pPr>
        <w:spacing w:after="0" w:line="156" w:lineRule="exact"/>
        <w:rPr>
          <w:sz w:val="20"/>
          <w:szCs w:val="20"/>
          <w:color w:val="auto"/>
        </w:rPr>
      </w:pPr>
    </w:p>
    <w:p>
      <w:pPr>
        <w:ind w:left="20" w:right="399" w:firstLine="228"/>
        <w:spacing w:after="0" w:line="268" w:lineRule="auto"/>
        <w:rPr>
          <w:sz w:val="20"/>
          <w:szCs w:val="20"/>
          <w:color w:val="auto"/>
        </w:rPr>
      </w:pPr>
      <w:r>
        <w:rPr>
          <w:rFonts w:ascii="Times New Roman" w:cs="Times New Roman" w:eastAsia="Times New Roman" w:hAnsi="Times New Roman"/>
          <w:sz w:val="13"/>
          <w:szCs w:val="13"/>
          <w:color w:val="auto"/>
        </w:rPr>
        <w:t>During the year ended December 31, 2019, we recognized a gain on the deconsolidation of Ascenty of approximately $67.5 million as a result of the formation of the Ascenty joint venture with Brookfield Infrastructure.</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Loss from Early Extinguishment of Debt</w:t>
      </w:r>
    </w:p>
    <w:p>
      <w:pPr>
        <w:spacing w:after="0" w:line="156" w:lineRule="exact"/>
        <w:rPr>
          <w:sz w:val="20"/>
          <w:szCs w:val="20"/>
          <w:color w:val="auto"/>
        </w:rPr>
      </w:pPr>
    </w:p>
    <w:p>
      <w:pPr>
        <w:jc w:val="both"/>
        <w:ind w:left="20" w:right="159" w:firstLine="228"/>
        <w:spacing w:after="0" w:line="287" w:lineRule="auto"/>
        <w:rPr>
          <w:sz w:val="20"/>
          <w:szCs w:val="20"/>
          <w:color w:val="auto"/>
        </w:rPr>
      </w:pPr>
      <w:r>
        <w:rPr>
          <w:rFonts w:ascii="Times New Roman" w:cs="Times New Roman" w:eastAsia="Times New Roman" w:hAnsi="Times New Roman"/>
          <w:sz w:val="12"/>
          <w:szCs w:val="12"/>
          <w:color w:val="auto"/>
        </w:rPr>
        <w:t>Loss from early extinguishment of debt increased approximately $64.1 million for the year ended December 31, 2020 compared to the same period in 2019, primarily due to the redemption of the 4.750% 2023 Notes in October 2020 and the 3.950% 2022 Notes and 3.625% 2022 Notes in August 2020 offset by the costs associated with the early tender offer and subsequent redemption of the 5.875% 2020 Notes in January and February 2019 along with the 3.400% Notes due 2020 and 2021 Notes in June 2019.</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Liquidity and Capital Resources of the Parent Company</w:t>
      </w:r>
    </w:p>
    <w:p>
      <w:pPr>
        <w:spacing w:after="0" w:line="156" w:lineRule="exact"/>
        <w:rPr>
          <w:sz w:val="20"/>
          <w:szCs w:val="20"/>
          <w:color w:val="auto"/>
        </w:rPr>
      </w:pPr>
    </w:p>
    <w:p>
      <w:pPr>
        <w:ind w:left="20" w:right="59" w:firstLine="228"/>
        <w:spacing w:after="0" w:line="268" w:lineRule="auto"/>
        <w:rPr>
          <w:sz w:val="20"/>
          <w:szCs w:val="20"/>
          <w:color w:val="auto"/>
        </w:rPr>
      </w:pPr>
      <w:r>
        <w:rPr>
          <w:rFonts w:ascii="Times New Roman" w:cs="Times New Roman" w:eastAsia="Times New Roman" w:hAnsi="Times New Roman"/>
          <w:sz w:val="13"/>
          <w:szCs w:val="13"/>
          <w:color w:val="auto"/>
        </w:rPr>
        <w:t>In this “Liquidity and Capital Resources of the Parent Company” section and in the “Liquidity and Capital Resources of the Operating Partnership” section below, the term, our “Parent Company” refers to Digital Realty Trust, Inc. on an unconsolidated basis, excluding our Operating Partnership.</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Analysis of Liquidity and Capital Resources</w:t>
      </w:r>
    </w:p>
    <w:p>
      <w:pPr>
        <w:spacing w:after="0" w:line="156" w:lineRule="exact"/>
        <w:rPr>
          <w:sz w:val="20"/>
          <w:szCs w:val="20"/>
          <w:color w:val="auto"/>
        </w:rPr>
      </w:pPr>
    </w:p>
    <w:p>
      <w:pPr>
        <w:ind w:left="20" w:right="119" w:firstLine="285"/>
        <w:spacing w:after="0" w:line="252" w:lineRule="auto"/>
        <w:rPr>
          <w:sz w:val="20"/>
          <w:szCs w:val="20"/>
          <w:color w:val="auto"/>
        </w:rPr>
      </w:pPr>
      <w:r>
        <w:rPr>
          <w:rFonts w:ascii="Times New Roman" w:cs="Times New Roman" w:eastAsia="Times New Roman" w:hAnsi="Times New Roman"/>
          <w:sz w:val="13"/>
          <w:szCs w:val="13"/>
          <w:color w:val="auto"/>
        </w:rPr>
        <w:t>Our Parent Company’s business is operated primarily through our Operating Partnership, of which our Parent Company is the sole general partner and which it consolidates for financial reporting purposes. Because our Parent Company operates on a consolidated basis with our Operating Partnership, the section entitled “Liquidity and Capital Resources of the Operating Partnership” should be read in conjunction with this section to understand the liquidity and capital resources of our Parent Company on a consolidated basis and how our Company is operated as a whole.</w:t>
      </w:r>
    </w:p>
    <w:p>
      <w:pPr>
        <w:spacing w:after="0" w:line="132" w:lineRule="exact"/>
        <w:rPr>
          <w:sz w:val="20"/>
          <w:szCs w:val="20"/>
          <w:color w:val="auto"/>
        </w:rPr>
      </w:pPr>
    </w:p>
    <w:p>
      <w:pPr>
        <w:ind w:left="20" w:right="59" w:firstLine="285"/>
        <w:spacing w:after="0" w:line="247" w:lineRule="auto"/>
        <w:rPr>
          <w:sz w:val="20"/>
          <w:szCs w:val="20"/>
          <w:color w:val="auto"/>
        </w:rPr>
      </w:pPr>
      <w:r>
        <w:rPr>
          <w:rFonts w:ascii="Times New Roman" w:cs="Times New Roman" w:eastAsia="Times New Roman" w:hAnsi="Times New Roman"/>
          <w:sz w:val="13"/>
          <w:szCs w:val="13"/>
          <w:color w:val="auto"/>
        </w:rPr>
        <w:t>Our Parent Company issues public equity from time to time, but generally does not otherwise generate any capital itself or conduct any business itself, other than incurring certain expenses in operating as a public company, which are fully reimbursed by the Operating Partnership. Our Parent Company itself does not hold any indebtedness other than guarantees of the indebtedness of our Operating Partnership and certain of its subsidiaries, and its only material asset is its ownership of partnership interests of our Operating Partnership. Therefore, the consolidated assets and liabilities and the consolidated revenues and expenses of our Parent Company and our Operating Partnership are the same on their respective financial statements, except for immaterial differences related to cash, other assets and accrued liabilities that arise from public company expenses paid by our Parent Company. All debt is held directly or indirectly at the Operating Partnership level. Our Parent Company’s principal funding requirement is the payment of dividends on its common and preferred stock. Our Parent Company’s principal source of funding for its dividend payments is distributions it receives from our Operating Partnership.</w:t>
      </w:r>
    </w:p>
    <w:p>
      <w:pPr>
        <w:spacing w:after="0" w:line="136" w:lineRule="exact"/>
        <w:rPr>
          <w:sz w:val="20"/>
          <w:szCs w:val="20"/>
          <w:color w:val="auto"/>
        </w:rPr>
      </w:pPr>
    </w:p>
    <w:p>
      <w:pPr>
        <w:ind w:left="20" w:right="79" w:firstLine="285"/>
        <w:spacing w:after="0" w:line="252" w:lineRule="auto"/>
        <w:rPr>
          <w:sz w:val="20"/>
          <w:szCs w:val="20"/>
          <w:color w:val="auto"/>
        </w:rPr>
      </w:pPr>
      <w:r>
        <w:rPr>
          <w:rFonts w:ascii="Times New Roman" w:cs="Times New Roman" w:eastAsia="Times New Roman" w:hAnsi="Times New Roman"/>
          <w:sz w:val="13"/>
          <w:szCs w:val="13"/>
          <w:color w:val="auto"/>
        </w:rPr>
        <w:t>As the sole general partner of our Operating Partnership, our Parent Company has the full, exclusive and complete responsibility for our Operating Partnership’s day-to-day management and control. Our Parent Company causes our Operating Partnership to distribute such portion of its available cash as our Parent Company may in its discretion determine, in the manner provided in our Operating Partnership’s partnership agreement. Our Parent Company receives proceeds from its equity issuances from time to time, but is generally required by our Operating Partnership’s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85" w:name="page86"/>
    <w:bookmarkEnd w:id="8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partnership agreement to contribute the proceeds from its equity issuances to our Operating Partnership in exchange for partnership units of our Operating Partnership.</w:t>
      </w:r>
    </w:p>
    <w:p>
      <w:pPr>
        <w:spacing w:after="0" w:line="154" w:lineRule="exact"/>
        <w:rPr>
          <w:sz w:val="20"/>
          <w:szCs w:val="20"/>
          <w:color w:val="auto"/>
        </w:rPr>
      </w:pPr>
    </w:p>
    <w:p>
      <w:pPr>
        <w:ind w:left="20" w:right="59" w:firstLine="285"/>
        <w:spacing w:after="0" w:line="275" w:lineRule="auto"/>
        <w:rPr>
          <w:sz w:val="20"/>
          <w:szCs w:val="20"/>
          <w:color w:val="auto"/>
        </w:rPr>
      </w:pPr>
      <w:r>
        <w:rPr>
          <w:rFonts w:ascii="Times New Roman" w:cs="Times New Roman" w:eastAsia="Times New Roman" w:hAnsi="Times New Roman"/>
          <w:sz w:val="12"/>
          <w:szCs w:val="12"/>
          <w:color w:val="auto"/>
        </w:rPr>
        <w:t>Our Parent Company is a well-known seasoned issuer with an effective shelf registration statement filed on March 17, 2020, which allows our Parent Company to register an unspecified amount of various classes of equity securities. As circumstances warrant, our Parent Company may issue equity from time to time on an opportunistic basis, dependent upon market conditions and available pricing. Any proceeds from such equity issuances would generally be contributed to our Operating Partnership in exchange for additional equity interests in our Operating Partnership. Our Operating Partnership may use the proceeds to acquire additional properties, to fund development opportunities and for general working capital purposes, including potentially for the repurchase, redemption or retirement of outstanding debt or equity securities.</w:t>
      </w:r>
    </w:p>
    <w:p>
      <w:pPr>
        <w:spacing w:after="0" w:line="121" w:lineRule="exact"/>
        <w:rPr>
          <w:sz w:val="20"/>
          <w:szCs w:val="20"/>
          <w:color w:val="auto"/>
        </w:rPr>
      </w:pPr>
    </w:p>
    <w:p>
      <w:pPr>
        <w:ind w:left="20" w:right="79" w:firstLine="285"/>
        <w:spacing w:after="0" w:line="249" w:lineRule="auto"/>
        <w:rPr>
          <w:sz w:val="20"/>
          <w:szCs w:val="20"/>
          <w:color w:val="auto"/>
        </w:rPr>
      </w:pPr>
      <w:r>
        <w:rPr>
          <w:rFonts w:ascii="Times New Roman" w:cs="Times New Roman" w:eastAsia="Times New Roman" w:hAnsi="Times New Roman"/>
          <w:sz w:val="13"/>
          <w:szCs w:val="13"/>
          <w:color w:val="auto"/>
        </w:rPr>
        <w:t>The liquidity of our Parent Company is dependent on our Operating Partnership’s ability to make sufficient distributions to our Parent Company. The primary cash requirement of our Parent Company is its payment of dividends to its stockholders. Our Parent Company also guarantees our Operating Partnership’s, as well as certain of its subsidiaries’ and affiliates’, unsecured debt. If our Operating Partnership or such subsidiaries fail to fulfill their debt requirements, which trigger Parent Company guarantee obligations, then our Parent Company will be required to fulfill its cash payment commitments under such guarantees. However, our Parent Company’s only material asset is its investment in our Operating Partnership.</w:t>
      </w:r>
    </w:p>
    <w:p>
      <w:pPr>
        <w:spacing w:after="0" w:line="136" w:lineRule="exact"/>
        <w:rPr>
          <w:sz w:val="20"/>
          <w:szCs w:val="20"/>
          <w:color w:val="auto"/>
        </w:rPr>
      </w:pPr>
    </w:p>
    <w:p>
      <w:pPr>
        <w:ind w:left="20" w:right="159" w:firstLine="228"/>
        <w:spacing w:after="0" w:line="249" w:lineRule="auto"/>
        <w:rPr>
          <w:sz w:val="20"/>
          <w:szCs w:val="20"/>
          <w:color w:val="auto"/>
        </w:rPr>
      </w:pPr>
      <w:r>
        <w:rPr>
          <w:rFonts w:ascii="Times New Roman" w:cs="Times New Roman" w:eastAsia="Times New Roman" w:hAnsi="Times New Roman"/>
          <w:sz w:val="13"/>
          <w:szCs w:val="13"/>
          <w:color w:val="auto"/>
        </w:rPr>
        <w:t>We believe our Operating Partnership’s sources of working capital, specifically its cash flow from operations, and funds available under its global revolving credit facility are adequate for it to make its distribution payments to our Parent Company and, in turn, for our Parent Company to make its dividend payments to its stockholders. However, we cannot assure you that our Operating Partnership’s sources of capital will continue to be available at all or in amounts sufficient to meet its needs, including making distribution payments to our Parent Company. The lack of availability of capital could adversely affect our Operating Partnership’s ability to pay its distributions to our Parent Company, which would in turn, adversely affect our Parent Company’s ability to pay cash dividends to its stockholders.</w:t>
      </w:r>
    </w:p>
    <w:p>
      <w:pPr>
        <w:spacing w:after="0" w:line="136" w:lineRule="exact"/>
        <w:rPr>
          <w:sz w:val="20"/>
          <w:szCs w:val="20"/>
          <w:color w:val="auto"/>
        </w:rPr>
      </w:pPr>
    </w:p>
    <w:p>
      <w:pPr>
        <w:ind w:left="20" w:right="39" w:firstLine="228"/>
        <w:spacing w:after="0" w:line="245" w:lineRule="auto"/>
        <w:rPr>
          <w:sz w:val="20"/>
          <w:szCs w:val="20"/>
          <w:color w:val="auto"/>
        </w:rPr>
      </w:pPr>
      <w:r>
        <w:rPr>
          <w:rFonts w:ascii="Times New Roman" w:cs="Times New Roman" w:eastAsia="Times New Roman" w:hAnsi="Times New Roman"/>
          <w:sz w:val="13"/>
          <w:szCs w:val="13"/>
          <w:color w:val="auto"/>
        </w:rPr>
        <w:t>On May 11, 2020, Digital Realty Trust, Inc. and Digital Realty Trust, L.P. entered into an amendment, which we refer to as the 2020 Amendment, to our ATM equity offering sales agreement dated January 4, 2019, which, as amended, we refer to as the Sales Agreement, with BofA Securities, Inc., Barclays Capital Inc., BTIG, LLC, Credit Suisse Securities (USA) LLC, Deutsche Bank Securities Inc., Jefferies LLC, J.P. Morgan Securities LLC, Mizuho Securities USA LLC, Morgan Stanley &amp; Co. LLC, MUFG Securities Americas Inc., Raymond James &amp; Associates, Inc., RBC Capital Markets, LLC, Scotia Capital (USA) Inc., SMBC Nikko Securities America, Inc., SunTrust Robinson Humphrey, Inc., TD Securities (USA) LLC, and Wells Fargo Securities, LLC, or the Agents, to increase the number of shares of common stock Digital Realty Trust, Inc. could issue and sell from time to time through, at its discretion, any of the Agents as its sales agents or as principals. Sales may also be made on a forward basis pursuant to separate forward sale agreements. In accordance with the Sales Agreement, following the date of the 2020 Amendment, Digital Realty Trust, Inc. may offer and sell shares of its common stock having an aggregate offering price of up to $1.0 billion. Prior to the 2020 Amendment, Digital Realty Trust, Inc. had offered and sold shares of its common stock having an aggregate gross sales price of approximately $652.2 million. The sales of common stock made under the Sales Agreement will be made in “at the market” offerings as defined in Rule 415 of the Securities Act. For the year ended December 31, 2020, Digital Realty Trust, Inc. generated net proceeds of approximately $893.8 million from the issuance of approximately 6.1 million common shares under the Sales Agreement at an average price of $146.90 per share after payment of approximately $9.0 million of commissions to the Agents, and approximately $749.4 million remains available for future sales under the program. The proceeds from the issuances for the year ended December 31, 2020 were contributed to our Operating Partnership in exchange for the issuance of approximately 6.1 million common units to our Parent Company. Our Parent Company has used and intends to use the net proceeds from the program to temporarily repay borrowings under our Operating Partnership’s global revolving credit facilities, to acquire additional properties or businesses, to fund development opportunities and for working capital and other general corporate purposes, including potentially for the repayment of other debt or the repurchase, redemption or retirement of outstanding debt securities. For additional information regarding the Sales Agreement, see Item 8, Note 13 in the Notes to the Consolidated Financial Statements.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86" w:name="page87"/>
    <w:bookmarkEnd w:id="8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119" w:firstLine="228"/>
        <w:spacing w:after="0" w:line="247" w:lineRule="auto"/>
        <w:rPr>
          <w:sz w:val="20"/>
          <w:szCs w:val="20"/>
          <w:color w:val="auto"/>
        </w:rPr>
      </w:pPr>
      <w:r>
        <w:rPr>
          <w:rFonts w:ascii="Times New Roman" w:cs="Times New Roman" w:eastAsia="Times New Roman" w:hAnsi="Times New Roman"/>
          <w:sz w:val="13"/>
          <w:szCs w:val="13"/>
          <w:color w:val="auto"/>
        </w:rPr>
        <w:t>Additionally, on September 27, 2018, Digital Realty Trust, Inc. completed an underwritten public offering of 9,775,000 shares of its common stock (including 1,275,000 shares from the exercise in full of the underwriters’ option to purchase additional shares), all of which were offered in connection with forward sale agreements it entered into with certain financial institutions acting as forward purchasers. The forward purchasers borrowed and sold an aggregate of 9,775,000 shares of Digital Realty Trust, Inc.’s common stock in the public offering. Digital Realty Trust, Inc. did not receive any proceeds from the sale of its common stock by the forward purchasers in the public offering. On September 17, 2019, the Company amended the forward sale agreements to extend the maturity date of such forward sales agreements from September 27, 2019 to September 25, 2020. On September 24, 2020, we physically settled the forward sale agreements in full by issuing an aggregate of 9,775,000 shares of our common stock to the forward purchasers in exchange for net proceeds of approximately $1.0 billion.</w:t>
      </w:r>
    </w:p>
    <w:p>
      <w:pPr>
        <w:spacing w:after="0" w:line="138" w:lineRule="exact"/>
        <w:rPr>
          <w:sz w:val="20"/>
          <w:szCs w:val="20"/>
          <w:color w:val="auto"/>
        </w:rPr>
      </w:pPr>
    </w:p>
    <w:p>
      <w:pPr>
        <w:ind w:left="20" w:right="379" w:firstLine="228"/>
        <w:spacing w:after="0" w:line="252" w:lineRule="auto"/>
        <w:rPr>
          <w:sz w:val="20"/>
          <w:szCs w:val="20"/>
          <w:color w:val="auto"/>
        </w:rPr>
      </w:pPr>
      <w:r>
        <w:rPr>
          <w:rFonts w:ascii="Times New Roman" w:cs="Times New Roman" w:eastAsia="Times New Roman" w:hAnsi="Times New Roman"/>
          <w:sz w:val="13"/>
          <w:szCs w:val="13"/>
          <w:color w:val="auto"/>
        </w:rPr>
        <w:t>On September 8, 2020, our Parent Company redeemed all 10,000,000 outstanding shares of its 6.350% series I cumulative redeemable preferred stock, or the series I preferred stock, for a redemption price of $25.29545 per share. The redemption price was equal to the original issuance price of $25.00 per share, plus accrued and unpaid dividends up to but not including the redemption date. The excess of the redemption price over the carrying value of the series I preferred stock of approximately $8.0 million relates to the original issuance costs and was recorded as a reduction to net income available to common stockholders</w:t>
      </w:r>
    </w:p>
    <w:p>
      <w:pPr>
        <w:spacing w:after="0" w:line="132" w:lineRule="exact"/>
        <w:rPr>
          <w:sz w:val="20"/>
          <w:szCs w:val="20"/>
          <w:color w:val="auto"/>
        </w:rPr>
      </w:pPr>
    </w:p>
    <w:p>
      <w:pPr>
        <w:ind w:left="20" w:right="379" w:firstLine="228"/>
        <w:spacing w:after="0" w:line="252" w:lineRule="auto"/>
        <w:rPr>
          <w:sz w:val="20"/>
          <w:szCs w:val="20"/>
          <w:color w:val="auto"/>
        </w:rPr>
      </w:pPr>
      <w:r>
        <w:rPr>
          <w:rFonts w:ascii="Times New Roman" w:cs="Times New Roman" w:eastAsia="Times New Roman" w:hAnsi="Times New Roman"/>
          <w:sz w:val="13"/>
          <w:szCs w:val="13"/>
          <w:color w:val="auto"/>
        </w:rPr>
        <w:t>On October 15, 2020, our Parent Company redeemed all 10,000,000 outstanding shares of its 5.875% series G cumulative redeemable preferred stock, or the series G preferred stock, for a redemption price of $25.057118 per share. The redemption price is equal to the original issuance price of $25.00 per share, plus accrued and unpaid dividends up to but not including the redemption date. The excess of the redemption price over the carrying value of the series G preferred stock of approximately $8.5 million relates to the original issuance costs and will be reflected as a reduction to net income available to common stockholders.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Future Uses of Cash</w:t>
      </w:r>
    </w:p>
    <w:p>
      <w:pPr>
        <w:spacing w:after="0" w:line="156" w:lineRule="exact"/>
        <w:rPr>
          <w:sz w:val="20"/>
          <w:szCs w:val="20"/>
          <w:color w:val="auto"/>
        </w:rPr>
      </w:pPr>
    </w:p>
    <w:p>
      <w:pPr>
        <w:ind w:left="20" w:right="139" w:firstLine="228"/>
        <w:spacing w:after="0" w:line="287" w:lineRule="auto"/>
        <w:rPr>
          <w:sz w:val="20"/>
          <w:szCs w:val="20"/>
          <w:color w:val="auto"/>
        </w:rPr>
      </w:pPr>
      <w:r>
        <w:rPr>
          <w:rFonts w:ascii="Times New Roman" w:cs="Times New Roman" w:eastAsia="Times New Roman" w:hAnsi="Times New Roman"/>
          <w:sz w:val="12"/>
          <w:szCs w:val="12"/>
          <w:color w:val="auto"/>
        </w:rPr>
        <w:t>Our Parent Company may from time to time seek to retire, redeem or repurchase its equity or the debt securities of our Operating Partnership or its subsidiaries through cash purchases and/or exchanges for equity securities in open market purchases, privately negotiated transactions or otherwise. Such repurchases, redemptions or exchanges, if any, will depend on prevailing market conditions, our liquidity requirements, contractual restrictions or other factors. The amounts involved may be material.</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We are also subject to the commitments discussed below under “Dividends and Distributions.”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Dividends and Distributions</w:t>
      </w:r>
    </w:p>
    <w:p>
      <w:pPr>
        <w:spacing w:after="0" w:line="156" w:lineRule="exact"/>
        <w:rPr>
          <w:sz w:val="20"/>
          <w:szCs w:val="20"/>
          <w:color w:val="auto"/>
        </w:rPr>
      </w:pPr>
    </w:p>
    <w:p>
      <w:pPr>
        <w:ind w:left="20" w:right="99" w:firstLine="228"/>
        <w:spacing w:after="0" w:line="247" w:lineRule="auto"/>
        <w:rPr>
          <w:sz w:val="20"/>
          <w:szCs w:val="20"/>
          <w:color w:val="auto"/>
        </w:rPr>
      </w:pPr>
      <w:r>
        <w:rPr>
          <w:rFonts w:ascii="Times New Roman" w:cs="Times New Roman" w:eastAsia="Times New Roman" w:hAnsi="Times New Roman"/>
          <w:sz w:val="13"/>
          <w:szCs w:val="13"/>
          <w:color w:val="auto"/>
        </w:rPr>
        <w:t>Our Parent Company is required to distribute 90% of its taxable income (excluding capital gains) on an annual basis in order for it to continue to qualify as a REIT for federal income tax purposes. Accordingly, our Parent Company intends to make, but is not contractually bound to make, regular quarterly distributions to its common stockholders from cash flow from our Operating Partnership’s operating activities. While historically our Parent Company has satisfied this distribution requirement by making cash distributions to its stockholders, it may choose to satisfy this requirement by making distributions of cash or other property. All such distributions are at the discretion of our Parent Company’s Board of Directors. Our Parent Company considers market factors and our Operating Partnership’s performance in addition to REIT requirements in determining distribution levels. Our Parent Company has distributed at least 100% of its taxable income annually since inception to minimize corporate level federal income taxes. Amounts accumulated for distribution to stockholders are invested primarily in interest-bearing accounts and short-term interest-bearing securities, which are consistent with our intention to maintain our Parent Company’s status as a REIT.</w:t>
      </w:r>
    </w:p>
    <w:p>
      <w:pPr>
        <w:spacing w:after="0" w:line="136" w:lineRule="exact"/>
        <w:rPr>
          <w:sz w:val="20"/>
          <w:szCs w:val="20"/>
          <w:color w:val="auto"/>
        </w:rPr>
      </w:pPr>
    </w:p>
    <w:p>
      <w:pPr>
        <w:jc w:val="both"/>
        <w:ind w:left="20" w:right="519" w:firstLine="228"/>
        <w:spacing w:after="0" w:line="256" w:lineRule="auto"/>
        <w:rPr>
          <w:sz w:val="20"/>
          <w:szCs w:val="20"/>
          <w:color w:val="auto"/>
        </w:rPr>
      </w:pPr>
      <w:r>
        <w:rPr>
          <w:rFonts w:ascii="Times New Roman" w:cs="Times New Roman" w:eastAsia="Times New Roman" w:hAnsi="Times New Roman"/>
          <w:sz w:val="13"/>
          <w:szCs w:val="13"/>
          <w:color w:val="auto"/>
        </w:rPr>
        <w:t>As a result of this distribution requirement, our Operating Partnership cannot rely on retained earnings to fund its on-going operations to the same extent that other companies whose parent companies are not REITs can. Our Parent Company may need to continue to raise capital in the debt and equity markets to fund our Operating Partnership’s working capital needs, as well as potential developments at new or existing properties, acquisitions or investments in</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87" w:name="page88"/>
    <w:bookmarkEnd w:id="8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299"/>
        <w:spacing w:after="0" w:line="268" w:lineRule="auto"/>
        <w:rPr>
          <w:sz w:val="20"/>
          <w:szCs w:val="20"/>
          <w:color w:val="auto"/>
        </w:rPr>
      </w:pPr>
      <w:r>
        <w:rPr>
          <w:rFonts w:ascii="Times New Roman" w:cs="Times New Roman" w:eastAsia="Times New Roman" w:hAnsi="Times New Roman"/>
          <w:sz w:val="13"/>
          <w:szCs w:val="13"/>
          <w:color w:val="auto"/>
        </w:rPr>
        <w:t>existing or newly created joint ventures. In addition, our Parent Company may be required to use borrowings under our global revolving credit facility, if necessary, to meet REIT distribution requirements and maintain our Parent Company’s REIT status.</w:t>
      </w:r>
    </w:p>
    <w:p>
      <w:pPr>
        <w:spacing w:after="0" w:line="122" w:lineRule="exact"/>
        <w:rPr>
          <w:sz w:val="20"/>
          <w:szCs w:val="20"/>
          <w:color w:val="auto"/>
        </w:rPr>
      </w:pPr>
    </w:p>
    <w:p>
      <w:pPr>
        <w:ind w:left="20" w:right="99" w:firstLine="228"/>
        <w:spacing w:after="0" w:line="268" w:lineRule="auto"/>
        <w:rPr>
          <w:sz w:val="20"/>
          <w:szCs w:val="20"/>
          <w:color w:val="auto"/>
        </w:rPr>
      </w:pPr>
      <w:r>
        <w:rPr>
          <w:rFonts w:ascii="Times New Roman" w:cs="Times New Roman" w:eastAsia="Times New Roman" w:hAnsi="Times New Roman"/>
          <w:sz w:val="13"/>
          <w:szCs w:val="13"/>
          <w:color w:val="auto"/>
        </w:rPr>
        <w:t>For additional information regarding dividends declared and paid by our Parent Company on its common and preferred stock for the years ended December 31, 2020, 2019 and 2018, see Item 8, Note 13 in the Notes to the Consolidated Financial Statements.</w:t>
      </w:r>
    </w:p>
    <w:p>
      <w:pPr>
        <w:spacing w:after="0" w:line="122" w:lineRule="exact"/>
        <w:rPr>
          <w:sz w:val="20"/>
          <w:szCs w:val="20"/>
          <w:color w:val="auto"/>
        </w:rPr>
      </w:pPr>
    </w:p>
    <w:p>
      <w:pPr>
        <w:jc w:val="both"/>
        <w:ind w:left="20" w:right="239" w:firstLine="228"/>
        <w:spacing w:after="0" w:line="249" w:lineRule="auto"/>
        <w:rPr>
          <w:sz w:val="20"/>
          <w:szCs w:val="20"/>
          <w:color w:val="auto"/>
        </w:rPr>
      </w:pPr>
      <w:r>
        <w:rPr>
          <w:rFonts w:ascii="Times New Roman" w:cs="Times New Roman" w:eastAsia="Times New Roman" w:hAnsi="Times New Roman"/>
          <w:sz w:val="13"/>
          <w:szCs w:val="13"/>
          <w:color w:val="auto"/>
        </w:rPr>
        <w:t>Distributions out of our Parent Company’s current or accumulated earnings and profits are generally classified as ordinary income whereas distributions in excess of our Parent Company’s current and accumulated earnings and profits, to the extent of a stockholder’s U.S. federal income tax basis in our Parent Company’s stock, are generally classified as a return of capital. Distributions in excess of a stockholder’s U.S. federal income tax basis in our Parent Company’s stock are generally characterized as capital gain. Cash provided by operating activities has been generally sufficient to fund distributions on an annual basis, however, we may also need to utilize borrowings under the global revolving credit facility to fund distributions.</w:t>
      </w:r>
    </w:p>
    <w:p>
      <w:pPr>
        <w:spacing w:after="0" w:line="60" w:lineRule="exact"/>
        <w:rPr>
          <w:sz w:val="20"/>
          <w:szCs w:val="20"/>
          <w:color w:val="auto"/>
        </w:rPr>
      </w:pPr>
    </w:p>
    <w:p>
      <w:pPr>
        <w:ind w:left="20" w:right="59" w:firstLine="228"/>
        <w:spacing w:after="0" w:line="279" w:lineRule="auto"/>
        <w:rPr>
          <w:sz w:val="20"/>
          <w:szCs w:val="20"/>
          <w:color w:val="auto"/>
        </w:rPr>
      </w:pPr>
      <w:r>
        <w:rPr>
          <w:rFonts w:ascii="Times New Roman" w:cs="Times New Roman" w:eastAsia="Times New Roman" w:hAnsi="Times New Roman"/>
          <w:sz w:val="12"/>
          <w:szCs w:val="12"/>
          <w:color w:val="auto"/>
        </w:rPr>
        <w:t>The expected tax treatment of distributions on our Parent Company’s common stock and preferred stock paid in 2020 is as follows: approximately 72% ordinary income and 28% capital gain distribution. The tax treatment of distributions on our Parent Company’s common stock and preferred stock paid in 2019 is as follows: approximately 83% ordinary income and 17% capital gain distribution. The tax treatment of distributions on our Parent Company’s common stock paid in 2018 was as follows: approximately 80% ordinary income and 20% return of capital. Distributions on our Parent Company’s preferred stock paid in 2018 were treated as 100% ordinary income.</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Liquidity and Capital Resources of the Operating Partnership</w:t>
      </w:r>
    </w:p>
    <w:p>
      <w:pPr>
        <w:spacing w:after="0" w:line="156" w:lineRule="exact"/>
        <w:rPr>
          <w:sz w:val="20"/>
          <w:szCs w:val="20"/>
          <w:color w:val="auto"/>
        </w:rPr>
      </w:pPr>
    </w:p>
    <w:p>
      <w:pPr>
        <w:ind w:left="20" w:right="579" w:firstLine="228"/>
        <w:spacing w:after="0" w:line="268" w:lineRule="auto"/>
        <w:rPr>
          <w:sz w:val="20"/>
          <w:szCs w:val="20"/>
          <w:color w:val="auto"/>
        </w:rPr>
      </w:pPr>
      <w:r>
        <w:rPr>
          <w:rFonts w:ascii="Times New Roman" w:cs="Times New Roman" w:eastAsia="Times New Roman" w:hAnsi="Times New Roman"/>
          <w:sz w:val="13"/>
          <w:szCs w:val="13"/>
          <w:color w:val="auto"/>
        </w:rPr>
        <w:t>In this “Liquidity and Capital Resources of the Operating Partnership” section, the terms “we”, “our” and “us” refer to our Operating Partnership together with its consolidated subsidiaries or our Operating Partnership and our Parent Company together with their consolidated subsidiaries, as the context requires.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Analysis of Liquidity and Capital Resources</w:t>
      </w:r>
    </w:p>
    <w:p>
      <w:pPr>
        <w:spacing w:after="0" w:line="156" w:lineRule="exact"/>
        <w:rPr>
          <w:sz w:val="20"/>
          <w:szCs w:val="20"/>
          <w:color w:val="auto"/>
        </w:rPr>
      </w:pPr>
    </w:p>
    <w:p>
      <w:pPr>
        <w:ind w:left="20" w:right="59" w:firstLine="228"/>
        <w:spacing w:after="0" w:line="256" w:lineRule="auto"/>
        <w:rPr>
          <w:sz w:val="20"/>
          <w:szCs w:val="20"/>
          <w:color w:val="auto"/>
        </w:rPr>
      </w:pPr>
      <w:r>
        <w:rPr>
          <w:rFonts w:ascii="Times New Roman" w:cs="Times New Roman" w:eastAsia="Times New Roman" w:hAnsi="Times New Roman"/>
          <w:sz w:val="13"/>
          <w:szCs w:val="13"/>
          <w:color w:val="auto"/>
        </w:rPr>
        <w:t>Our Parent Company is our sole general partner and consolidates our results of operations for financial reporting purposes. Because we operate on a consolidated basis with our Parent Company, the section entitled “Liquidity and Capital Resources of the Parent Company” should be read in conjunction with this section to understand our liquidity and capital resources on a consolidated basis.</w:t>
      </w:r>
    </w:p>
    <w:p>
      <w:pPr>
        <w:spacing w:after="0" w:line="129" w:lineRule="exact"/>
        <w:rPr>
          <w:sz w:val="20"/>
          <w:szCs w:val="20"/>
          <w:color w:val="auto"/>
        </w:rPr>
      </w:pPr>
    </w:p>
    <w:p>
      <w:pPr>
        <w:ind w:left="20" w:right="119" w:firstLine="228"/>
        <w:spacing w:after="0" w:line="268" w:lineRule="auto"/>
        <w:rPr>
          <w:sz w:val="20"/>
          <w:szCs w:val="20"/>
          <w:color w:val="auto"/>
        </w:rPr>
      </w:pPr>
      <w:r>
        <w:rPr>
          <w:rFonts w:ascii="Times New Roman" w:cs="Times New Roman" w:eastAsia="Times New Roman" w:hAnsi="Times New Roman"/>
          <w:sz w:val="13"/>
          <w:szCs w:val="13"/>
          <w:color w:val="auto"/>
        </w:rPr>
        <w:t>As of December 31, 2020, we had $108.5 million of cash and cash equivalents, excluding $15.2 million of restricted cash. Restricted cash primarily consists of contractual capital expenditures plus other deposits.</w:t>
      </w:r>
    </w:p>
    <w:p>
      <w:pPr>
        <w:spacing w:after="0" w:line="122" w:lineRule="exact"/>
        <w:rPr>
          <w:sz w:val="20"/>
          <w:szCs w:val="20"/>
          <w:color w:val="auto"/>
        </w:rPr>
      </w:pPr>
    </w:p>
    <w:p>
      <w:pPr>
        <w:ind w:left="20" w:right="99" w:firstLine="228"/>
        <w:spacing w:after="0" w:line="271" w:lineRule="auto"/>
        <w:rPr>
          <w:sz w:val="20"/>
          <w:szCs w:val="20"/>
          <w:color w:val="auto"/>
        </w:rPr>
      </w:pPr>
      <w:r>
        <w:rPr>
          <w:rFonts w:ascii="Times New Roman" w:cs="Times New Roman" w:eastAsia="Times New Roman" w:hAnsi="Times New Roman"/>
          <w:sz w:val="12"/>
          <w:szCs w:val="12"/>
          <w:color w:val="auto"/>
        </w:rPr>
        <w:t>Our global revolving credit facility provides for borrowings up to $2.35 billion. We have the ability from time to time to increase the size of the global revolving credit facility and our term loan facility, in any combination, by up to $1.25 billion, subject to the receipt of lender commitments and other conditions precedent. The global revolving credit facility matures on January 24, 2023, with two six-month extension options available. The global revolving credit facility provides for borrowings in U.S., Canadian, Singapore, Australian and Hong Kong dollars, as well as Euro, British pound sterling and Japanese yen and includes the ability to add additional currencies in the future. We have used and intend to use available borrowings under the global revolving credit facility to acquire additional properties, fund development opportunities and for general working capital and other corporate purposes, including potentially for the repurchase, redemption or retirement of outstanding debt or equity securities. For additional information regarding our global revolving credit facility and term loan facility, see Item 8, Note 9 in the Notes to the Consolidated Financial Statements.</w:t>
      </w:r>
    </w:p>
    <w:p>
      <w:pPr>
        <w:spacing w:after="0" w:line="124" w:lineRule="exact"/>
        <w:rPr>
          <w:sz w:val="20"/>
          <w:szCs w:val="20"/>
          <w:color w:val="auto"/>
        </w:rPr>
      </w:pPr>
    </w:p>
    <w:p>
      <w:pPr>
        <w:ind w:left="20" w:right="79" w:firstLine="228"/>
        <w:spacing w:after="0" w:line="310" w:lineRule="auto"/>
        <w:rPr>
          <w:sz w:val="20"/>
          <w:szCs w:val="20"/>
          <w:color w:val="auto"/>
        </w:rPr>
      </w:pPr>
      <w:r>
        <w:rPr>
          <w:rFonts w:ascii="Times New Roman" w:cs="Times New Roman" w:eastAsia="Times New Roman" w:hAnsi="Times New Roman"/>
          <w:sz w:val="12"/>
          <w:szCs w:val="12"/>
          <w:color w:val="auto"/>
        </w:rPr>
        <w:t>Our short-term liquidity requirements primarily consist of operating expenses, development costs and other expenditures associated with our properties, distributions to our Parent Company in order for it to make dividend payments on its preferred stock, distributions to our Parent Company in order for it to make dividend payments to its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88" w:name="page89"/>
    <w:bookmarkEnd w:id="8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jc w:val="both"/>
        <w:ind w:left="20" w:right="59"/>
        <w:spacing w:after="0" w:line="256" w:lineRule="auto"/>
        <w:rPr>
          <w:sz w:val="20"/>
          <w:szCs w:val="20"/>
          <w:color w:val="auto"/>
        </w:rPr>
      </w:pPr>
      <w:r>
        <w:rPr>
          <w:rFonts w:ascii="Times New Roman" w:cs="Times New Roman" w:eastAsia="Times New Roman" w:hAnsi="Times New Roman"/>
          <w:sz w:val="13"/>
          <w:szCs w:val="13"/>
          <w:color w:val="auto"/>
        </w:rPr>
        <w:t>stockholders required to maintain its REIT status, distributions to the unitholders of common limited partnership interests in Digital Realty Trust, L.P., capital expenditures, debt service on our loans and senior notes, and, potentially, acquisitions. We expect to meet our short-term liquidity requirements through net cash provided by operations, restricted cash accounts established for certain future payments and by drawing upon our global revolving credit facilities.</w:t>
      </w:r>
    </w:p>
    <w:p>
      <w:pPr>
        <w:spacing w:after="0" w:line="129" w:lineRule="exact"/>
        <w:rPr>
          <w:sz w:val="20"/>
          <w:szCs w:val="20"/>
          <w:color w:val="auto"/>
        </w:rPr>
      </w:pPr>
    </w:p>
    <w:p>
      <w:pPr>
        <w:ind w:left="20" w:right="119" w:firstLine="228"/>
        <w:spacing w:after="0" w:line="268" w:lineRule="auto"/>
        <w:rPr>
          <w:sz w:val="20"/>
          <w:szCs w:val="20"/>
          <w:color w:val="auto"/>
        </w:rPr>
      </w:pPr>
      <w:r>
        <w:rPr>
          <w:rFonts w:ascii="Times New Roman" w:cs="Times New Roman" w:eastAsia="Times New Roman" w:hAnsi="Times New Roman"/>
          <w:sz w:val="13"/>
          <w:szCs w:val="13"/>
          <w:color w:val="auto"/>
        </w:rPr>
        <w:t>For a discussion of the potential impact of current global economic and market conditions on our liquidity and capital resources, see “Factors Which May Influence Future Results of Operations—Global market and economic conditions” and “—COVID-19” above.</w:t>
      </w:r>
    </w:p>
    <w:p>
      <w:pPr>
        <w:spacing w:after="0" w:line="122" w:lineRule="exact"/>
        <w:rPr>
          <w:sz w:val="20"/>
          <w:szCs w:val="20"/>
          <w:color w:val="auto"/>
        </w:rPr>
      </w:pPr>
    </w:p>
    <w:p>
      <w:pPr>
        <w:ind w:left="20" w:right="39" w:firstLine="228"/>
        <w:spacing w:after="0" w:line="245" w:lineRule="auto"/>
        <w:rPr>
          <w:sz w:val="20"/>
          <w:szCs w:val="20"/>
          <w:color w:val="auto"/>
        </w:rPr>
      </w:pPr>
      <w:r>
        <w:rPr>
          <w:rFonts w:ascii="Times New Roman" w:cs="Times New Roman" w:eastAsia="Times New Roman" w:hAnsi="Times New Roman"/>
          <w:sz w:val="13"/>
          <w:szCs w:val="13"/>
          <w:color w:val="auto"/>
        </w:rPr>
        <w:t>On May 11, 2020, Digital Realty Trust, Inc. and Digital Realty Trust, L.P. entered into the 2020 Amendment to increase the number of shares of common stock Digital Realty Trust, Inc. could issue and sell from time to time through, at its discretion, any of the Agents as its sales agents or as principals. Sales may also be made on a forward basis pursuant to separate forward sale agreements. In accordance with the Sales Agreement, following the date of the 2020 Amendment, Digital Realty Trust, Inc. may offer and sell shares of its common stock having an aggregate offering price of up to $1.0 billion. Prior to the 2020 Amendment, Digital Realty Trust, Inc. had offered and sold shares of its common stock having an aggregate gross sales price of approximately $652.2 million. The sales of common stock made under the Sales Agreement will be made in “at the market” offerings as defined in Rule 415 of the Securities Act. For the year ended December 31, 2020, our Parent Company generated net proceeds of approximately $893.8 million from the issuance of approximately 6.1 million common shares under the Sales Agreement at an average price of $146.90 per share after payment of approximately $9.0 million of commissions to the Agents, and approximately $749.4 million remains available for future sales under the program. The proceeds from the issuances for the year ended December 31, 2020 were contributed to our Operating Partnership in exchange for the issuance of approximately 6.1 million common units to our Parent Company. Our Parent Company has used and intends to use the net proceeds from the program to temporarily repay borrowings under our Operating Partnership’s global revolving credit facilities, to acquire additional properties or businesses, to fund development opportunities and for working capital and other general corporate purposes, including potentially for the repayment of other debt or the repurchase, redemption or retirement of outstanding debt securities. For additional information regarding the Sales Agreement, see Item 8, Note 13 in the Notes to the Consolidated Financial Statements.</w:t>
      </w:r>
    </w:p>
    <w:p>
      <w:pPr>
        <w:spacing w:after="0" w:line="143" w:lineRule="exact"/>
        <w:rPr>
          <w:sz w:val="20"/>
          <w:szCs w:val="20"/>
          <w:color w:val="auto"/>
        </w:rPr>
      </w:pPr>
    </w:p>
    <w:p>
      <w:pPr>
        <w:ind w:left="20" w:right="59" w:firstLine="228"/>
        <w:spacing w:after="0" w:line="246" w:lineRule="auto"/>
        <w:rPr>
          <w:sz w:val="20"/>
          <w:szCs w:val="20"/>
          <w:color w:val="auto"/>
        </w:rPr>
      </w:pPr>
      <w:r>
        <w:rPr>
          <w:rFonts w:ascii="Times New Roman" w:cs="Times New Roman" w:eastAsia="Times New Roman" w:hAnsi="Times New Roman"/>
          <w:sz w:val="13"/>
          <w:szCs w:val="13"/>
          <w:color w:val="auto"/>
        </w:rPr>
        <w:t>On January 17, 2020, Digital Dutch Finco B.V., an indirect wholly owned finance subsidiary of the Operating Partnership, issued and sold €300.0 million aggregate principal amount of 0.125% Guaranteed Notes due 2022 (the “0.125% 2022 Notes”), €650.0 million aggregate principal amount of 0.625% Guaranteed Notes due 2025 (the “0.625% 2025 Notes”) and €750.0 million aggregate principal amount of 1.500% Guaranteed Notes due 2030 (the “1.500% 2030 Notes” and, together with the 0.125% 2022 Notes and 0.625% 2025 Notes, the “Euro Notes”). The Euro Notes are senior unsecured obligations of Digital Dutch Finco B.V. and are fully and unconditionally guaranteed by Digital Realty Trust, Inc. and the Operating Partnership. Net proceeds from the offering were approximately €1,678.6 million (or approximately $1,861.9 million based on the exchange rate as of January 17, 2020) after deducting managers’ discounts and estimated offering expenses. We intend to allocate an amount equal to the net proceeds from the offering of the 0.625% 2025 Notes and the 1.500% 2030 Notes to finance or refinance, in whole or in part, recently completed or future green building, energy and resource efficiency and renewable energy projects (collectively, “Eligible Green Projects”), including the development and redevelopment of such projects. Pending the allocation of an amount equal to the net proceeds of the 0.625% 2025 Notes and the 1.500% 2030 Notes to Eligible Green Projects, a portion of an amount equal to the net proceeds from the Euro Notes were used for the repayment, redemption and/or discharge of debt of Interxion or its subsidiaries and the payment of certain transaction fees and expenses incurred in connection with the Interxion Combination, to temporarily repay borrowings outstanding under the Operating Partnership’s global credit facility and for other general corporate purposes.</w:t>
      </w:r>
    </w:p>
    <w:p>
      <w:pPr>
        <w:spacing w:after="0" w:line="136" w:lineRule="exact"/>
        <w:rPr>
          <w:sz w:val="20"/>
          <w:szCs w:val="20"/>
          <w:color w:val="auto"/>
        </w:rPr>
      </w:pPr>
    </w:p>
    <w:p>
      <w:pPr>
        <w:ind w:left="20" w:right="299" w:firstLine="228"/>
        <w:spacing w:after="0" w:line="252" w:lineRule="auto"/>
        <w:rPr>
          <w:sz w:val="20"/>
          <w:szCs w:val="20"/>
          <w:color w:val="auto"/>
        </w:rPr>
      </w:pPr>
      <w:r>
        <w:rPr>
          <w:rFonts w:ascii="Times New Roman" w:cs="Times New Roman" w:eastAsia="Times New Roman" w:hAnsi="Times New Roman"/>
          <w:sz w:val="13"/>
          <w:szCs w:val="13"/>
          <w:color w:val="auto"/>
        </w:rPr>
        <w:t>On June 26, 2020, Digital Dutch Finco B.V. issued and sold €500.0 million aggregate principal amount of 1.250% Guaranteed Notes due 2031 (the “2031 Notes”). The 2031 Notes are senior unsecured obligations of Digital Dutch Finco B.V. and are fully and unconditionally guaranteed by Digital Realty Trust, Inc. and the Operating Partnership. Net proceeds from the offering were approximately €493.1 million (or approximately $553.2 million based on the exchange rate as of June 26, 2020) after deducting managers’ discounts and estimated offering expenses. We used the net proceeds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89" w:name="page90"/>
    <w:bookmarkEnd w:id="8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239"/>
        <w:spacing w:after="0" w:line="268" w:lineRule="auto"/>
        <w:rPr>
          <w:sz w:val="20"/>
          <w:szCs w:val="20"/>
          <w:color w:val="auto"/>
        </w:rPr>
      </w:pPr>
      <w:r>
        <w:rPr>
          <w:rFonts w:ascii="Times New Roman" w:cs="Times New Roman" w:eastAsia="Times New Roman" w:hAnsi="Times New Roman"/>
          <w:sz w:val="13"/>
          <w:szCs w:val="13"/>
          <w:color w:val="auto"/>
        </w:rPr>
        <w:t>from the offering of the 2031 Notes to temporarily repay borrowings outstanding under the Operating Partnership’s global credit facilities, for acquisitions and to provide for working capital and other general corporate purposes.</w:t>
      </w:r>
    </w:p>
    <w:p>
      <w:pPr>
        <w:spacing w:after="0" w:line="122" w:lineRule="exact"/>
        <w:rPr>
          <w:sz w:val="20"/>
          <w:szCs w:val="20"/>
          <w:color w:val="auto"/>
        </w:rPr>
      </w:pPr>
    </w:p>
    <w:p>
      <w:pPr>
        <w:ind w:left="20" w:right="59" w:firstLine="228"/>
        <w:spacing w:after="0" w:line="268" w:lineRule="auto"/>
        <w:rPr>
          <w:sz w:val="20"/>
          <w:szCs w:val="20"/>
          <w:color w:val="auto"/>
        </w:rPr>
      </w:pPr>
      <w:r>
        <w:rPr>
          <w:rFonts w:ascii="Times New Roman" w:cs="Times New Roman" w:eastAsia="Times New Roman" w:hAnsi="Times New Roman"/>
          <w:sz w:val="12"/>
          <w:szCs w:val="12"/>
          <w:color w:val="auto"/>
        </w:rPr>
        <w:t>On August 3, 2020 (the “2022 Notes Redemption Date”), the Operating Partnership redeemed the $300 million aggregate principal amount outstanding of its 3.625% Notes due 2022 (the “3.625% Notes”) and the $500 million aggregate principal amount outstanding of its 3.950% Notes due 2022 (the “3.950% Notes”). The redemption price for the 3.625% Notes was equal to the sum of (a) $1,060.018 per $1,000 principal amount of the 3.625% Notes, or 106.0018% of the aggregate principal amount of the 3.625% Notes, plus (b) accrued and unpaid interest to, but excluding, the 2022 Notes Redemption Date equal to $12.285 per $1,000 principal amount of the 3.625% Notes. The redemption price for the 3.950% Notes was equal to the sum of (a) $1,060.306 per $1,000 principal amount of the 3.950% Notes, or 106.0306% of the aggregate principal amount of the</w:t>
      </w:r>
    </w:p>
    <w:p>
      <w:pPr>
        <w:spacing w:after="0" w:line="2" w:lineRule="exact"/>
        <w:rPr>
          <w:sz w:val="20"/>
          <w:szCs w:val="20"/>
          <w:color w:val="auto"/>
        </w:rPr>
      </w:pPr>
    </w:p>
    <w:p>
      <w:pPr>
        <w:ind w:left="20" w:right="159"/>
        <w:spacing w:after="0" w:line="247" w:lineRule="auto"/>
        <w:rPr>
          <w:sz w:val="20"/>
          <w:szCs w:val="20"/>
          <w:color w:val="auto"/>
        </w:rPr>
      </w:pPr>
      <w:r>
        <w:rPr>
          <w:rFonts w:ascii="Times New Roman" w:cs="Times New Roman" w:eastAsia="Times New Roman" w:hAnsi="Times New Roman"/>
          <w:sz w:val="13"/>
          <w:szCs w:val="13"/>
          <w:color w:val="auto"/>
        </w:rPr>
        <w:t>3.950% Notes, plus (b) accrued and unpaid interest to, but excluding, the 2022 Notes Redemption Date equal to $3.511 per $1,000 principal amount of the 3.950% Notes. The Operating Partnership primarily used borrowings on the revolving credit facility to fund the redemption.</w:t>
      </w:r>
    </w:p>
    <w:p>
      <w:pPr>
        <w:spacing w:after="0" w:line="135" w:lineRule="exact"/>
        <w:rPr>
          <w:sz w:val="20"/>
          <w:szCs w:val="20"/>
          <w:color w:val="auto"/>
        </w:rPr>
      </w:pPr>
    </w:p>
    <w:p>
      <w:pPr>
        <w:ind w:left="20" w:right="99" w:firstLine="228"/>
        <w:spacing w:after="0" w:line="247" w:lineRule="auto"/>
        <w:rPr>
          <w:sz w:val="20"/>
          <w:szCs w:val="20"/>
          <w:color w:val="auto"/>
        </w:rPr>
      </w:pPr>
      <w:r>
        <w:rPr>
          <w:rFonts w:ascii="Times New Roman" w:cs="Times New Roman" w:eastAsia="Times New Roman" w:hAnsi="Times New Roman"/>
          <w:sz w:val="13"/>
          <w:szCs w:val="13"/>
          <w:color w:val="auto"/>
        </w:rPr>
        <w:t>On September 23, 2020, Digital Dutch Finco B.V. issued and sold €750.0 million aggregate principal amount of 1.000% Guaranteed Notes due 2032 (the “2032 Notes”). The 2032 Notes are senior unsecured obligations of Digital Dutch Finco B.V. and are fully and unconditionally guaranteed by Digital Realty Trust, Inc. and the Operating Partnership. Net proceeds from the offering were approximately €737.5 million (or approximately $860.0 million based on the exchange rate as of September 23, 2020) after deducting managers’ discounts and estimated offering expenses. We intend to allocate an amount equal to the net proceeds from the offering of the 2032 Notes to finance or refinance, in whole or in part, recently completed or future green building, energy and resource efficiency and renewable energy projects, including the development and redevelopment of such projects (collectively, “2032 Eligible Green Projects”). Pending the allocation of the net proceeds of the 2032 Notes to 2032 Eligible Green Projects, the net proceeds from the 2032 Notes were used to temporarily repay borrowings outstanding under the Operating Partnership’s global revolving credit facilities and for other general corporate purposes.</w:t>
      </w:r>
    </w:p>
    <w:p>
      <w:pPr>
        <w:spacing w:after="0" w:line="136" w:lineRule="exact"/>
        <w:rPr>
          <w:sz w:val="20"/>
          <w:szCs w:val="20"/>
          <w:color w:val="auto"/>
        </w:rPr>
      </w:pPr>
    </w:p>
    <w:p>
      <w:pPr>
        <w:ind w:left="20" w:right="79" w:firstLine="228"/>
        <w:spacing w:after="0" w:line="248" w:lineRule="auto"/>
        <w:rPr>
          <w:sz w:val="20"/>
          <w:szCs w:val="20"/>
          <w:color w:val="auto"/>
        </w:rPr>
      </w:pPr>
      <w:r>
        <w:rPr>
          <w:rFonts w:ascii="Times New Roman" w:cs="Times New Roman" w:eastAsia="Times New Roman" w:hAnsi="Times New Roman"/>
          <w:sz w:val="13"/>
          <w:szCs w:val="13"/>
          <w:color w:val="auto"/>
        </w:rPr>
        <w:t>On September 23, 2020, Digital Dutch Finco B.V. issued and sold €300.0 million aggregate principal amount of Floating Rate Guaranteed Notes due 2022 (the “2022 Notes”). The 2022 Notes bear interest at a rate per annum, reset quarterly, equal to three-month EURIBOR plus 0.48%, subject to a zero floor, and the interest rate for the initial interest period was 0%. The 2022 Notes are senior unsecured obligations of Digital Dutch Finco B.V. and are fully and unconditionally guaranteed by Digital Realty Trust, Inc. and the Operating Partnership. Net proceeds from the offering were approximately €299.0 million (or approximately $348.7 million based on the exchange rate as of September 23, 2020) after deducting managers’ discounts and estimated offering expenses. We used the net proceeds from the offering of the 2022 Notes to fund the redemption in full of Digital Stout Holding, LLC’s 4.750% Guaranteed Notes due 2023, which occurred on October 14, 2020.</w:t>
      </w:r>
    </w:p>
    <w:p>
      <w:pPr>
        <w:spacing w:after="0" w:line="136" w:lineRule="exact"/>
        <w:rPr>
          <w:sz w:val="20"/>
          <w:szCs w:val="20"/>
          <w:color w:val="auto"/>
        </w:rPr>
      </w:pPr>
    </w:p>
    <w:p>
      <w:pPr>
        <w:ind w:left="20" w:right="59" w:firstLine="228"/>
        <w:spacing w:after="0" w:line="254" w:lineRule="auto"/>
        <w:rPr>
          <w:sz w:val="20"/>
          <w:szCs w:val="20"/>
          <w:color w:val="auto"/>
        </w:rPr>
      </w:pPr>
      <w:r>
        <w:rPr>
          <w:rFonts w:ascii="Times New Roman" w:cs="Times New Roman" w:eastAsia="Times New Roman" w:hAnsi="Times New Roman"/>
          <w:sz w:val="13"/>
          <w:szCs w:val="13"/>
          <w:color w:val="auto"/>
        </w:rPr>
        <w:t>On October 14, 2020 (the “GBP Note Redemption Date”), Digital Stout Holding, LLC, a wholly owned subsidiary of the Operating Partnership, redeemed the £300 million aggregate principal amount outstanding of its 4.750% Notes due 2023 (the “4.750% Notes”). The redemption price for the 4.750% Notes was equal to the sum of</w:t>
      </w:r>
    </w:p>
    <w:p>
      <w:pPr>
        <w:ind w:left="20" w:right="99" w:firstLine="5"/>
        <w:spacing w:after="0" w:line="245" w:lineRule="auto"/>
        <w:tabs>
          <w:tab w:leader="none" w:pos="192"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£1,123.25 per £1,000 principal amount of the 4.750% Notes, or 112.325% of the aggregate principal amount of the 4.750% Notes, plus (b) accrued and unpaid interest to, but excluding, the GBP Note Redemption Date equal to £0.13 per £1,000 principal amount of the 4.750% Notes. Net proceeds from the issuance of the 2022 Notes were primarily used to fund the redemption. The redemption resulted in an early extinguishment charge of approximately $49.8 million during the three months ended December 31, 2020.</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90" w:name="page91"/>
    <w:bookmarkEnd w:id="9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Construction ($ in thousands)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2260" w:type="dxa"/>
            <w:vAlign w:val="bottom"/>
            <w:gridSpan w:val="5"/>
          </w:tcPr>
          <w:p>
            <w:pPr>
              <w:spacing w:after="0"/>
              <w:rPr>
                <w:sz w:val="20"/>
                <w:szCs w:val="20"/>
                <w:color w:val="auto"/>
              </w:rPr>
            </w:pPr>
            <w:r>
              <w:rPr>
                <w:rFonts w:ascii="Times New Roman" w:cs="Times New Roman" w:eastAsia="Times New Roman" w:hAnsi="Times New Roman"/>
                <w:sz w:val="9"/>
                <w:szCs w:val="9"/>
                <w:b w:val="1"/>
                <w:bCs w:val="1"/>
                <w:color w:val="auto"/>
              </w:rPr>
              <w:t>Development Lifecycle</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4"/>
          </w:tcPr>
          <w:p>
            <w:pPr>
              <w:jc w:val="right"/>
              <w:ind w:right="437"/>
              <w:spacing w:after="0"/>
              <w:rPr>
                <w:sz w:val="20"/>
                <w:szCs w:val="20"/>
                <w:color w:val="auto"/>
              </w:rPr>
            </w:pPr>
            <w:r>
              <w:rPr>
                <w:rFonts w:ascii="Times New Roman" w:cs="Times New Roman" w:eastAsia="Times New Roman" w:hAnsi="Times New Roman"/>
                <w:sz w:val="9"/>
                <w:szCs w:val="9"/>
                <w:b w:val="1"/>
                <w:bCs w:val="1"/>
                <w:color w:val="auto"/>
              </w:rPr>
              <w:t>As of December 31, 2020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gridSpan w:val="3"/>
          </w:tcPr>
          <w:p>
            <w:pPr>
              <w:jc w:val="right"/>
              <w:ind w:right="277"/>
              <w:spacing w:after="0"/>
              <w:rPr>
                <w:sz w:val="20"/>
                <w:szCs w:val="20"/>
                <w:color w:val="auto"/>
              </w:rPr>
            </w:pPr>
            <w:r>
              <w:rPr>
                <w:rFonts w:ascii="Times New Roman" w:cs="Times New Roman" w:eastAsia="Times New Roman" w:hAnsi="Times New Roman"/>
                <w:sz w:val="9"/>
                <w:szCs w:val="9"/>
                <w:b w:val="1"/>
                <w:bCs w:val="1"/>
                <w:color w:val="auto"/>
              </w:rPr>
              <w:t>As of December 31, 2019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auto"/>
            </w:tcBorders>
          </w:tcPr>
          <w:p>
            <w:pPr>
              <w:jc w:val="right"/>
              <w:ind w:right="117"/>
              <w:spacing w:after="0" w:line="72" w:lineRule="exact"/>
              <w:rPr>
                <w:sz w:val="20"/>
                <w:szCs w:val="20"/>
                <w:color w:val="auto"/>
              </w:rPr>
            </w:pPr>
            <w:r>
              <w:rPr>
                <w:rFonts w:ascii="Times New Roman" w:cs="Times New Roman" w:eastAsia="Times New Roman" w:hAnsi="Times New Roman"/>
                <w:sz w:val="8"/>
                <w:szCs w:val="8"/>
                <w:b w:val="1"/>
                <w:bCs w:val="1"/>
                <w:color w:val="auto"/>
              </w:rPr>
              <w:t>Net Rentable</w:t>
            </w: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jc w:val="center"/>
              <w:ind w:right="77"/>
              <w:spacing w:after="0" w:line="72" w:lineRule="exact"/>
              <w:rPr>
                <w:sz w:val="20"/>
                <w:szCs w:val="20"/>
                <w:color w:val="auto"/>
              </w:rPr>
            </w:pPr>
            <w:r>
              <w:rPr>
                <w:rFonts w:ascii="Times New Roman" w:cs="Times New Roman" w:eastAsia="Times New Roman" w:hAnsi="Times New Roman"/>
                <w:sz w:val="8"/>
                <w:szCs w:val="8"/>
                <w:b w:val="1"/>
                <w:bCs w:val="1"/>
                <w:color w:val="auto"/>
              </w:rPr>
              <w:t>Current</w:t>
            </w:r>
          </w:p>
        </w:tc>
        <w:tc>
          <w:tcPr>
            <w:tcW w:w="1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top w:val="single" w:sz="8" w:color="auto"/>
            </w:tcBorders>
          </w:tcPr>
          <w:p>
            <w:pPr>
              <w:jc w:val="center"/>
              <w:ind w:right="17"/>
              <w:spacing w:after="0" w:line="72" w:lineRule="exact"/>
              <w:rPr>
                <w:sz w:val="20"/>
                <w:szCs w:val="20"/>
                <w:color w:val="auto"/>
              </w:rPr>
            </w:pPr>
            <w:r>
              <w:rPr>
                <w:rFonts w:ascii="Times New Roman" w:cs="Times New Roman" w:eastAsia="Times New Roman" w:hAnsi="Times New Roman"/>
                <w:sz w:val="8"/>
                <w:szCs w:val="8"/>
                <w:b w:val="1"/>
                <w:bCs w:val="1"/>
                <w:color w:val="auto"/>
              </w:rPr>
              <w:t>Net Rentable</w:t>
            </w: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jc w:val="right"/>
              <w:ind w:right="137"/>
              <w:spacing w:after="0" w:line="72" w:lineRule="exact"/>
              <w:rPr>
                <w:sz w:val="20"/>
                <w:szCs w:val="20"/>
                <w:color w:val="auto"/>
              </w:rPr>
            </w:pPr>
            <w:r>
              <w:rPr>
                <w:rFonts w:ascii="Times New Roman" w:cs="Times New Roman" w:eastAsia="Times New Roman" w:hAnsi="Times New Roman"/>
                <w:sz w:val="8"/>
                <w:szCs w:val="8"/>
                <w:b w:val="1"/>
                <w:bCs w:val="1"/>
                <w:color w:val="auto"/>
              </w:rPr>
              <w:t>Current</w:t>
            </w:r>
          </w:p>
        </w:tc>
        <w:tc>
          <w:tcPr>
            <w:tcW w:w="2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center"/>
              <w:ind w:right="57"/>
              <w:spacing w:after="0" w:line="72" w:lineRule="exact"/>
              <w:rPr>
                <w:sz w:val="20"/>
                <w:szCs w:val="20"/>
                <w:color w:val="auto"/>
              </w:rPr>
            </w:pPr>
            <w:r>
              <w:rPr>
                <w:rFonts w:ascii="Times New Roman" w:cs="Times New Roman" w:eastAsia="Times New Roman" w:hAnsi="Times New Roman"/>
                <w:sz w:val="8"/>
                <w:szCs w:val="8"/>
                <w:b w:val="1"/>
                <w:bCs w:val="1"/>
                <w:color w:val="auto"/>
              </w:rPr>
              <w:t>Future</w:t>
            </w: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jc w:val="right"/>
              <w:ind w:right="117"/>
              <w:spacing w:after="0" w:line="89" w:lineRule="exact"/>
              <w:rPr>
                <w:sz w:val="20"/>
                <w:szCs w:val="20"/>
                <w:color w:val="auto"/>
              </w:rPr>
            </w:pPr>
            <w:r>
              <w:rPr>
                <w:rFonts w:ascii="Times New Roman" w:cs="Times New Roman" w:eastAsia="Times New Roman" w:hAnsi="Times New Roman"/>
                <w:sz w:val="9"/>
                <w:szCs w:val="9"/>
                <w:b w:val="1"/>
                <w:bCs w:val="1"/>
                <w:color w:val="auto"/>
              </w:rPr>
              <w:t>Square Feet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center"/>
              <w:ind w:right="57"/>
              <w:spacing w:after="0" w:line="89" w:lineRule="exact"/>
              <w:rPr>
                <w:sz w:val="20"/>
                <w:szCs w:val="20"/>
                <w:color w:val="auto"/>
              </w:rPr>
            </w:pPr>
            <w:r>
              <w:rPr>
                <w:rFonts w:ascii="Times New Roman" w:cs="Times New Roman" w:eastAsia="Times New Roman" w:hAnsi="Times New Roman"/>
                <w:sz w:val="9"/>
                <w:szCs w:val="9"/>
                <w:b w:val="1"/>
                <w:bCs w:val="1"/>
                <w:color w:val="auto"/>
              </w:rPr>
              <w:t>Investment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jc w:val="right"/>
              <w:ind w:right="117"/>
              <w:spacing w:after="0" w:line="89" w:lineRule="exact"/>
              <w:rPr>
                <w:sz w:val="20"/>
                <w:szCs w:val="20"/>
                <w:color w:val="auto"/>
              </w:rPr>
            </w:pPr>
            <w:r>
              <w:rPr>
                <w:rFonts w:ascii="Times New Roman" w:cs="Times New Roman" w:eastAsia="Times New Roman" w:hAnsi="Times New Roman"/>
                <w:sz w:val="9"/>
                <w:szCs w:val="9"/>
                <w:b w:val="1"/>
                <w:bCs w:val="1"/>
                <w:color w:val="auto"/>
              </w:rPr>
              <w:t>Future Investment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w w:val="99"/>
              </w:rPr>
              <w:t>Square Feet</w:t>
            </w:r>
          </w:p>
        </w:tc>
        <w:tc>
          <w:tcPr>
            <w:tcW w:w="180" w:type="dxa"/>
            <w:vAlign w:val="bottom"/>
          </w:tcPr>
          <w:p>
            <w:pPr>
              <w:spacing w:after="0"/>
              <w:rPr>
                <w:sz w:val="7"/>
                <w:szCs w:val="7"/>
                <w:color w:val="auto"/>
              </w:rPr>
            </w:pPr>
          </w:p>
        </w:tc>
        <w:tc>
          <w:tcPr>
            <w:tcW w:w="580" w:type="dxa"/>
            <w:vAlign w:val="bottom"/>
          </w:tcPr>
          <w:p>
            <w:pPr>
              <w:jc w:val="right"/>
              <w:ind w:right="77"/>
              <w:spacing w:after="0" w:line="89" w:lineRule="exact"/>
              <w:rPr>
                <w:sz w:val="20"/>
                <w:szCs w:val="20"/>
                <w:color w:val="auto"/>
              </w:rPr>
            </w:pPr>
            <w:r>
              <w:rPr>
                <w:rFonts w:ascii="Times New Roman" w:cs="Times New Roman" w:eastAsia="Times New Roman" w:hAnsi="Times New Roman"/>
                <w:sz w:val="9"/>
                <w:szCs w:val="9"/>
                <w:b w:val="1"/>
                <w:bCs w:val="1"/>
                <w:color w:val="auto"/>
              </w:rPr>
              <w:t>Investment</w:t>
            </w:r>
          </w:p>
        </w:tc>
        <w:tc>
          <w:tcPr>
            <w:tcW w:w="200" w:type="dxa"/>
            <w:vAlign w:val="bottom"/>
          </w:tcPr>
          <w:p>
            <w:pPr>
              <w:spacing w:after="0"/>
              <w:rPr>
                <w:sz w:val="7"/>
                <w:szCs w:val="7"/>
                <w:color w:val="auto"/>
              </w:rPr>
            </w:pPr>
          </w:p>
        </w:tc>
        <w:tc>
          <w:tcPr>
            <w:tcW w:w="600" w:type="dxa"/>
            <w:vAlign w:val="bottom"/>
          </w:tcPr>
          <w:p>
            <w:pPr>
              <w:jc w:val="center"/>
              <w:ind w:right="37"/>
              <w:spacing w:after="0" w:line="89" w:lineRule="exact"/>
              <w:rPr>
                <w:sz w:val="20"/>
                <w:szCs w:val="20"/>
                <w:color w:val="auto"/>
              </w:rPr>
            </w:pPr>
            <w:r>
              <w:rPr>
                <w:rFonts w:ascii="Times New Roman" w:cs="Times New Roman" w:eastAsia="Times New Roman" w:hAnsi="Times New Roman"/>
                <w:sz w:val="9"/>
                <w:szCs w:val="9"/>
                <w:b w:val="1"/>
                <w:bCs w:val="1"/>
                <w:color w:val="auto"/>
              </w:rPr>
              <w:t>Investment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260" w:type="dxa"/>
            <w:vAlign w:val="bottom"/>
            <w:gridSpan w:val="5"/>
          </w:tcPr>
          <w:p>
            <w:pPr>
              <w:spacing w:after="0"/>
              <w:rPr>
                <w:sz w:val="20"/>
                <w:szCs w:val="20"/>
                <w:color w:val="auto"/>
              </w:rPr>
            </w:pPr>
            <w:r>
              <w:rPr>
                <w:rFonts w:ascii="Times New Roman" w:cs="Times New Roman" w:eastAsia="Times New Roman" w:hAnsi="Times New Roman"/>
                <w:sz w:val="9"/>
                <w:szCs w:val="9"/>
                <w:b w:val="1"/>
                <w:bCs w:val="1"/>
                <w:color w:val="auto"/>
              </w:rPr>
              <w:t>(dollars in thousands)</w:t>
            </w:r>
          </w:p>
        </w:tc>
        <w:tc>
          <w:tcPr>
            <w:tcW w:w="760" w:type="dxa"/>
            <w:vAlign w:val="bottom"/>
          </w:tcPr>
          <w:p>
            <w:pPr>
              <w:jc w:val="right"/>
              <w:ind w:right="297"/>
              <w:spacing w:after="0"/>
              <w:rPr>
                <w:sz w:val="20"/>
                <w:szCs w:val="20"/>
                <w:color w:val="auto"/>
              </w:rPr>
            </w:pPr>
            <w:r>
              <w:rPr>
                <w:rFonts w:ascii="Times New Roman" w:cs="Times New Roman" w:eastAsia="Times New Roman" w:hAnsi="Times New Roman"/>
                <w:sz w:val="7"/>
                <w:szCs w:val="7"/>
                <w:b w:val="1"/>
                <w:bCs w:val="1"/>
                <w:color w:val="auto"/>
              </w:rPr>
              <w:t>(1)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57"/>
              <w:spacing w:after="0"/>
              <w:rPr>
                <w:sz w:val="20"/>
                <w:szCs w:val="20"/>
                <w:color w:val="auto"/>
              </w:rPr>
            </w:pPr>
            <w:r>
              <w:rPr>
                <w:rFonts w:ascii="Times New Roman" w:cs="Times New Roman" w:eastAsia="Times New Roman" w:hAnsi="Times New Roman"/>
                <w:sz w:val="7"/>
                <w:szCs w:val="7"/>
                <w:b w:val="1"/>
                <w:bCs w:val="1"/>
                <w:color w:val="auto"/>
                <w:w w:val="97"/>
              </w:rPr>
              <w:t>(2)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ind w:right="437"/>
              <w:spacing w:after="0"/>
              <w:rPr>
                <w:sz w:val="20"/>
                <w:szCs w:val="20"/>
                <w:color w:val="auto"/>
              </w:rPr>
            </w:pPr>
            <w:r>
              <w:rPr>
                <w:rFonts w:ascii="Times New Roman" w:cs="Times New Roman" w:eastAsia="Times New Roman" w:hAnsi="Times New Roman"/>
                <w:sz w:val="7"/>
                <w:szCs w:val="7"/>
                <w:b w:val="1"/>
                <w:bCs w:val="1"/>
                <w:color w:val="auto"/>
              </w:rPr>
              <w:t>(3)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Total Cost</w:t>
            </w:r>
          </w:p>
        </w:tc>
        <w:tc>
          <w:tcPr>
            <w:tcW w:w="760" w:type="dxa"/>
            <w:vAlign w:val="bottom"/>
          </w:tcPr>
          <w:p>
            <w:pPr>
              <w:jc w:val="center"/>
              <w:spacing w:after="0"/>
              <w:rPr>
                <w:sz w:val="20"/>
                <w:szCs w:val="20"/>
                <w:color w:val="auto"/>
              </w:rPr>
            </w:pPr>
            <w:r>
              <w:rPr>
                <w:rFonts w:ascii="Times New Roman" w:cs="Times New Roman" w:eastAsia="Times New Roman" w:hAnsi="Times New Roman"/>
                <w:sz w:val="7"/>
                <w:szCs w:val="7"/>
                <w:b w:val="1"/>
                <w:bCs w:val="1"/>
                <w:color w:val="auto"/>
                <w:w w:val="97"/>
              </w:rPr>
              <w:t>(1)</w:t>
            </w:r>
          </w:p>
        </w:tc>
        <w:tc>
          <w:tcPr>
            <w:tcW w:w="180" w:type="dxa"/>
            <w:vAlign w:val="bottom"/>
          </w:tcPr>
          <w:p>
            <w:pPr>
              <w:spacing w:after="0"/>
              <w:rPr>
                <w:sz w:val="9"/>
                <w:szCs w:val="9"/>
                <w:color w:val="auto"/>
              </w:rPr>
            </w:pPr>
          </w:p>
        </w:tc>
        <w:tc>
          <w:tcPr>
            <w:tcW w:w="580" w:type="dxa"/>
            <w:vAlign w:val="bottom"/>
          </w:tcPr>
          <w:p>
            <w:pPr>
              <w:jc w:val="right"/>
              <w:ind w:right="237"/>
              <w:spacing w:after="0"/>
              <w:rPr>
                <w:sz w:val="20"/>
                <w:szCs w:val="20"/>
                <w:color w:val="auto"/>
              </w:rPr>
            </w:pPr>
            <w:r>
              <w:rPr>
                <w:rFonts w:ascii="Times New Roman" w:cs="Times New Roman" w:eastAsia="Times New Roman" w:hAnsi="Times New Roman"/>
                <w:sz w:val="7"/>
                <w:szCs w:val="7"/>
                <w:b w:val="1"/>
                <w:bCs w:val="1"/>
                <w:color w:val="auto"/>
              </w:rPr>
              <w:t>(4)</w:t>
            </w:r>
          </w:p>
        </w:tc>
        <w:tc>
          <w:tcPr>
            <w:tcW w:w="200" w:type="dxa"/>
            <w:vAlign w:val="bottom"/>
          </w:tcPr>
          <w:p>
            <w:pPr>
              <w:spacing w:after="0"/>
              <w:rPr>
                <w:sz w:val="9"/>
                <w:szCs w:val="9"/>
                <w:color w:val="auto"/>
              </w:rPr>
            </w:pPr>
          </w:p>
        </w:tc>
        <w:tc>
          <w:tcPr>
            <w:tcW w:w="600" w:type="dxa"/>
            <w:vAlign w:val="bottom"/>
          </w:tcPr>
          <w:p>
            <w:pPr>
              <w:jc w:val="center"/>
              <w:ind w:right="37"/>
              <w:spacing w:after="0"/>
              <w:rPr>
                <w:sz w:val="20"/>
                <w:szCs w:val="20"/>
                <w:color w:val="auto"/>
              </w:rPr>
            </w:pPr>
            <w:r>
              <w:rPr>
                <w:rFonts w:ascii="Times New Roman" w:cs="Times New Roman" w:eastAsia="Times New Roman" w:hAnsi="Times New Roman"/>
                <w:sz w:val="7"/>
                <w:szCs w:val="7"/>
                <w:b w:val="1"/>
                <w:bCs w:val="1"/>
                <w:color w:val="auto"/>
                <w:w w:val="97"/>
              </w:rPr>
              <w:t>(3)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ind w:right="96"/>
              <w:spacing w:after="0"/>
              <w:rPr>
                <w:sz w:val="20"/>
                <w:szCs w:val="20"/>
                <w:color w:val="auto"/>
              </w:rPr>
            </w:pPr>
            <w:r>
              <w:rPr>
                <w:rFonts w:ascii="Times New Roman" w:cs="Times New Roman" w:eastAsia="Times New Roman" w:hAnsi="Times New Roman"/>
                <w:sz w:val="9"/>
                <w:szCs w:val="9"/>
                <w:b w:val="1"/>
                <w:bCs w:val="1"/>
                <w:color w:val="auto"/>
              </w:rPr>
              <w:t>Total Cost</w:t>
            </w:r>
          </w:p>
        </w:tc>
        <w:tc>
          <w:tcPr>
            <w:tcW w:w="0" w:type="dxa"/>
            <w:vAlign w:val="bottom"/>
          </w:tcPr>
          <w:p>
            <w:pPr>
              <w:spacing w:after="0"/>
              <w:rPr>
                <w:sz w:val="1"/>
                <w:szCs w:val="1"/>
                <w:color w:val="auto"/>
              </w:rPr>
            </w:pPr>
          </w:p>
        </w:tc>
      </w:tr>
      <w:tr>
        <w:trPr>
          <w:trHeight w:val="94"/>
        </w:trPr>
        <w:tc>
          <w:tcPr>
            <w:tcW w:w="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60" w:type="dxa"/>
            <w:vAlign w:val="bottom"/>
            <w:gridSpan w:val="5"/>
            <w:shd w:val="clear" w:color="auto" w:fill="CCEEFF"/>
          </w:tcPr>
          <w:p>
            <w:pPr>
              <w:spacing w:after="0" w:line="95" w:lineRule="exact"/>
              <w:rPr>
                <w:sz w:val="20"/>
                <w:szCs w:val="20"/>
                <w:color w:val="auto"/>
              </w:rPr>
            </w:pPr>
            <w:r>
              <w:rPr>
                <w:rFonts w:ascii="Times New Roman" w:cs="Times New Roman" w:eastAsia="Times New Roman" w:hAnsi="Times New Roman"/>
                <w:sz w:val="8"/>
                <w:szCs w:val="8"/>
                <w:b w:val="1"/>
                <w:bCs w:val="1"/>
                <w:color w:val="auto"/>
              </w:rPr>
              <w:t xml:space="preserve">Land held for future development </w:t>
            </w:r>
            <w:r>
              <w:rPr>
                <w:rFonts w:ascii="Times New Roman" w:cs="Times New Roman" w:eastAsia="Times New Roman" w:hAnsi="Times New Roman"/>
                <w:sz w:val="11"/>
                <w:szCs w:val="11"/>
                <w:b w:val="1"/>
                <w:bCs w:val="1"/>
                <w:color w:val="auto"/>
                <w:vertAlign w:val="superscript"/>
              </w:rPr>
              <w:t>(5)</w:t>
            </w:r>
          </w:p>
        </w:tc>
        <w:tc>
          <w:tcPr>
            <w:tcW w:w="7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N/A</w:t>
            </w:r>
          </w:p>
        </w:tc>
        <w:tc>
          <w:tcPr>
            <w:tcW w:w="20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226,862</w:t>
            </w:r>
          </w:p>
        </w:tc>
        <w:tc>
          <w:tcPr>
            <w:tcW w:w="22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9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22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226,862</w:t>
            </w: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N/A</w:t>
            </w:r>
          </w:p>
        </w:tc>
        <w:tc>
          <w:tcPr>
            <w:tcW w:w="180" w:type="dxa"/>
            <w:vAlign w:val="bottom"/>
            <w:tcBorders>
              <w:right w:val="single" w:sz="8" w:color="CCEEFF"/>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147,597</w:t>
            </w:r>
          </w:p>
        </w:tc>
        <w:tc>
          <w:tcPr>
            <w:tcW w:w="200" w:type="dxa"/>
            <w:vAlign w:val="bottom"/>
            <w:tcBorders>
              <w:right w:val="single" w:sz="8" w:color="CCEEFF"/>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6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b w:val="1"/>
                <w:bCs w:val="1"/>
                <w:color w:val="auto"/>
              </w:rPr>
              <w:t>147,597</w:t>
            </w:r>
          </w:p>
        </w:tc>
        <w:tc>
          <w:tcPr>
            <w:tcW w:w="0" w:type="dxa"/>
            <w:vAlign w:val="bottom"/>
          </w:tcPr>
          <w:p>
            <w:pPr>
              <w:spacing w:after="0"/>
              <w:rPr>
                <w:sz w:val="1"/>
                <w:szCs w:val="1"/>
                <w:color w:val="auto"/>
              </w:rPr>
            </w:pPr>
          </w:p>
        </w:tc>
      </w:tr>
      <w:tr>
        <w:trPr>
          <w:trHeight w:val="82"/>
        </w:trPr>
        <w:tc>
          <w:tcPr>
            <w:tcW w:w="2260" w:type="dxa"/>
            <w:vAlign w:val="bottom"/>
            <w:gridSpan w:val="5"/>
          </w:tcPr>
          <w:p>
            <w:pPr>
              <w:spacing w:after="0" w:line="82" w:lineRule="exact"/>
              <w:rPr>
                <w:sz w:val="20"/>
                <w:szCs w:val="20"/>
                <w:color w:val="auto"/>
              </w:rPr>
            </w:pPr>
            <w:r>
              <w:rPr>
                <w:rFonts w:ascii="Times New Roman" w:cs="Times New Roman" w:eastAsia="Times New Roman" w:hAnsi="Times New Roman"/>
                <w:sz w:val="9"/>
                <w:szCs w:val="9"/>
                <w:b w:val="1"/>
                <w:bCs w:val="1"/>
                <w:color w:val="auto"/>
              </w:rPr>
              <w:t>Construction in Progress and Space Held for</w:t>
            </w: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260" w:type="dxa"/>
            <w:vAlign w:val="bottom"/>
            <w:gridSpan w:val="5"/>
          </w:tcPr>
          <w:p>
            <w:pPr>
              <w:spacing w:after="0"/>
              <w:rPr>
                <w:sz w:val="20"/>
                <w:szCs w:val="20"/>
                <w:color w:val="auto"/>
              </w:rPr>
            </w:pPr>
            <w:r>
              <w:rPr>
                <w:rFonts w:ascii="Times New Roman" w:cs="Times New Roman" w:eastAsia="Times New Roman" w:hAnsi="Times New Roman"/>
                <w:sz w:val="9"/>
                <w:szCs w:val="9"/>
                <w:b w:val="1"/>
                <w:bCs w:val="1"/>
                <w:color w:val="auto"/>
              </w:rPr>
              <w:t>Development</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260" w:type="dxa"/>
            <w:vAlign w:val="bottom"/>
            <w:gridSpan w:val="5"/>
            <w:shd w:val="clear" w:color="auto" w:fill="CCEEFF"/>
          </w:tcPr>
          <w:p>
            <w:pPr>
              <w:spacing w:after="0" w:line="95" w:lineRule="exact"/>
              <w:rPr>
                <w:sz w:val="20"/>
                <w:szCs w:val="20"/>
                <w:color w:val="auto"/>
              </w:rPr>
            </w:pPr>
            <w:r>
              <w:rPr>
                <w:rFonts w:ascii="Times New Roman" w:cs="Times New Roman" w:eastAsia="Times New Roman" w:hAnsi="Times New Roman"/>
                <w:sz w:val="8"/>
                <w:szCs w:val="8"/>
                <w:color w:val="auto"/>
              </w:rPr>
              <w:t xml:space="preserve">Land - Current Development </w:t>
            </w:r>
            <w:r>
              <w:rPr>
                <w:rFonts w:ascii="Times New Roman" w:cs="Times New Roman" w:eastAsia="Times New Roman" w:hAnsi="Times New Roman"/>
                <w:sz w:val="11"/>
                <w:szCs w:val="11"/>
                <w:color w:val="auto"/>
                <w:vertAlign w:val="superscript"/>
              </w:rPr>
              <w:t>(5)</w:t>
            </w:r>
          </w:p>
        </w:tc>
        <w:tc>
          <w:tcPr>
            <w:tcW w:w="7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N/A</w:t>
            </w:r>
          </w:p>
        </w:tc>
        <w:tc>
          <w:tcPr>
            <w:tcW w:w="20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785,182</w:t>
            </w:r>
          </w:p>
        </w:tc>
        <w:tc>
          <w:tcPr>
            <w:tcW w:w="22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w:t>
            </w:r>
          </w:p>
        </w:tc>
        <w:tc>
          <w:tcPr>
            <w:tcW w:w="9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785,182</w:t>
            </w: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N/A</w:t>
            </w:r>
          </w:p>
        </w:tc>
        <w:tc>
          <w:tcPr>
            <w:tcW w:w="180" w:type="dxa"/>
            <w:vAlign w:val="bottom"/>
            <w:tcBorders>
              <w:right w:val="single" w:sz="8" w:color="CCEEFF"/>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517,900</w:t>
            </w:r>
          </w:p>
        </w:tc>
        <w:tc>
          <w:tcPr>
            <w:tcW w:w="200" w:type="dxa"/>
            <w:vAlign w:val="bottom"/>
            <w:tcBorders>
              <w:right w:val="single" w:sz="8" w:color="CCEEFF"/>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517,900</w:t>
            </w:r>
          </w:p>
        </w:tc>
        <w:tc>
          <w:tcPr>
            <w:tcW w:w="0" w:type="dxa"/>
            <w:vAlign w:val="bottom"/>
          </w:tcPr>
          <w:p>
            <w:pPr>
              <w:spacing w:after="0"/>
              <w:rPr>
                <w:sz w:val="1"/>
                <w:szCs w:val="1"/>
                <w:color w:val="auto"/>
              </w:rPr>
            </w:pPr>
          </w:p>
        </w:tc>
      </w:tr>
      <w:tr>
        <w:trPr>
          <w:trHeight w:val="95"/>
        </w:trPr>
        <w:tc>
          <w:tcPr>
            <w:tcW w:w="2260" w:type="dxa"/>
            <w:vAlign w:val="bottom"/>
            <w:gridSpan w:val="5"/>
          </w:tcPr>
          <w:p>
            <w:pPr>
              <w:spacing w:after="0" w:line="95" w:lineRule="exact"/>
              <w:rPr>
                <w:sz w:val="20"/>
                <w:szCs w:val="20"/>
                <w:color w:val="auto"/>
              </w:rPr>
            </w:pPr>
            <w:r>
              <w:rPr>
                <w:rFonts w:ascii="Times New Roman" w:cs="Times New Roman" w:eastAsia="Times New Roman" w:hAnsi="Times New Roman"/>
                <w:sz w:val="8"/>
                <w:szCs w:val="8"/>
                <w:color w:val="auto"/>
              </w:rPr>
              <w:t xml:space="preserve">Space Held for Development </w:t>
            </w:r>
            <w:r>
              <w:rPr>
                <w:rFonts w:ascii="Times New Roman" w:cs="Times New Roman" w:eastAsia="Times New Roman" w:hAnsi="Times New Roman"/>
                <w:sz w:val="11"/>
                <w:szCs w:val="11"/>
                <w:color w:val="auto"/>
                <w:vertAlign w:val="superscript"/>
              </w:rPr>
              <w:t>(6)</w:t>
            </w:r>
          </w:p>
        </w:tc>
        <w:tc>
          <w:tcPr>
            <w:tcW w:w="7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1,501,310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236,545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236,545</w:t>
            </w:r>
          </w:p>
        </w:tc>
        <w:tc>
          <w:tcPr>
            <w:tcW w:w="14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1,281,169</w:t>
            </w:r>
          </w:p>
        </w:tc>
        <w:tc>
          <w:tcPr>
            <w:tcW w:w="18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241,563</w:t>
            </w:r>
          </w:p>
        </w:tc>
        <w:tc>
          <w:tcPr>
            <w:tcW w:w="20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241,563</w:t>
            </w:r>
          </w:p>
        </w:tc>
        <w:tc>
          <w:tcPr>
            <w:tcW w:w="0" w:type="dxa"/>
            <w:vAlign w:val="bottom"/>
          </w:tcPr>
          <w:p>
            <w:pPr>
              <w:spacing w:after="0"/>
              <w:rPr>
                <w:sz w:val="1"/>
                <w:szCs w:val="1"/>
                <w:color w:val="auto"/>
              </w:rPr>
            </w:pPr>
          </w:p>
        </w:tc>
      </w:tr>
      <w:tr>
        <w:trPr>
          <w:trHeight w:val="95"/>
        </w:trPr>
        <w:tc>
          <w:tcPr>
            <w:tcW w:w="2260" w:type="dxa"/>
            <w:vAlign w:val="bottom"/>
            <w:gridSpan w:val="5"/>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Base Building Construction</w:t>
            </w:r>
          </w:p>
        </w:tc>
        <w:tc>
          <w:tcPr>
            <w:tcW w:w="7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2,331,472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458,357</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485,613</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943,970</w:t>
            </w: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2,936,071</w:t>
            </w:r>
          </w:p>
        </w:tc>
        <w:tc>
          <w:tcPr>
            <w:tcW w:w="180" w:type="dxa"/>
            <w:vAlign w:val="bottom"/>
            <w:tcBorders>
              <w:right w:val="single" w:sz="8" w:color="CCEEFF"/>
            </w:tcBorders>
            <w:shd w:val="clear" w:color="auto" w:fill="CCEEFF"/>
          </w:tcPr>
          <w:p>
            <w:pPr>
              <w:spacing w:after="0"/>
              <w:rPr>
                <w:sz w:val="8"/>
                <w:szCs w:val="8"/>
                <w:color w:val="auto"/>
              </w:rPr>
            </w:pPr>
          </w:p>
        </w:tc>
        <w:tc>
          <w:tcPr>
            <w:tcW w:w="5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485,489</w:t>
            </w:r>
          </w:p>
        </w:tc>
        <w:tc>
          <w:tcPr>
            <w:tcW w:w="200" w:type="dxa"/>
            <w:vAlign w:val="bottom"/>
            <w:tcBorders>
              <w:right w:val="single" w:sz="8" w:color="CCEEFF"/>
            </w:tcBorders>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404,082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889,571</w:t>
            </w:r>
          </w:p>
        </w:tc>
        <w:tc>
          <w:tcPr>
            <w:tcW w:w="0" w:type="dxa"/>
            <w:vAlign w:val="bottom"/>
          </w:tcPr>
          <w:p>
            <w:pPr>
              <w:spacing w:after="0"/>
              <w:rPr>
                <w:sz w:val="1"/>
                <w:szCs w:val="1"/>
                <w:color w:val="auto"/>
              </w:rPr>
            </w:pPr>
          </w:p>
        </w:tc>
      </w:tr>
      <w:tr>
        <w:trPr>
          <w:trHeight w:val="95"/>
        </w:trPr>
        <w:tc>
          <w:tcPr>
            <w:tcW w:w="2260" w:type="dxa"/>
            <w:vAlign w:val="bottom"/>
            <w:gridSpan w:val="5"/>
          </w:tcPr>
          <w:p>
            <w:pPr>
              <w:spacing w:after="0" w:line="95" w:lineRule="exact"/>
              <w:rPr>
                <w:sz w:val="20"/>
                <w:szCs w:val="20"/>
                <w:color w:val="auto"/>
              </w:rPr>
            </w:pPr>
            <w:r>
              <w:rPr>
                <w:rFonts w:ascii="Times New Roman" w:cs="Times New Roman" w:eastAsia="Times New Roman" w:hAnsi="Times New Roman"/>
                <w:sz w:val="9"/>
                <w:szCs w:val="9"/>
                <w:color w:val="auto"/>
              </w:rPr>
              <w:t>Data Center Construction</w:t>
            </w:r>
          </w:p>
        </w:tc>
        <w:tc>
          <w:tcPr>
            <w:tcW w:w="7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2,573,759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1,232,762</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1,596,821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2,829,583</w:t>
            </w:r>
          </w:p>
        </w:tc>
        <w:tc>
          <w:tcPr>
            <w:tcW w:w="14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1,175,673</w:t>
            </w:r>
          </w:p>
        </w:tc>
        <w:tc>
          <w:tcPr>
            <w:tcW w:w="18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441,852</w:t>
            </w:r>
          </w:p>
        </w:tc>
        <w:tc>
          <w:tcPr>
            <w:tcW w:w="20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703,607</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1,145,459</w:t>
            </w:r>
          </w:p>
        </w:tc>
        <w:tc>
          <w:tcPr>
            <w:tcW w:w="0" w:type="dxa"/>
            <w:vAlign w:val="bottom"/>
          </w:tcPr>
          <w:p>
            <w:pPr>
              <w:spacing w:after="0"/>
              <w:rPr>
                <w:sz w:val="1"/>
                <w:szCs w:val="1"/>
                <w:color w:val="auto"/>
              </w:rPr>
            </w:pPr>
          </w:p>
        </w:tc>
      </w:tr>
      <w:tr>
        <w:trPr>
          <w:trHeight w:val="95"/>
        </w:trPr>
        <w:tc>
          <w:tcPr>
            <w:tcW w:w="2260" w:type="dxa"/>
            <w:vAlign w:val="bottom"/>
            <w:gridSpan w:val="5"/>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Equipment Pool &amp; Other Inventory</w:t>
            </w:r>
          </w:p>
        </w:tc>
        <w:tc>
          <w:tcPr>
            <w:tcW w:w="7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N/A</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9,761</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9,761</w:t>
            </w: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N/A</w:t>
            </w:r>
          </w:p>
        </w:tc>
        <w:tc>
          <w:tcPr>
            <w:tcW w:w="180" w:type="dxa"/>
            <w:vAlign w:val="bottom"/>
            <w:tcBorders>
              <w:right w:val="single" w:sz="8" w:color="CCEEFF"/>
            </w:tcBorders>
            <w:shd w:val="clear" w:color="auto" w:fill="CCEEFF"/>
          </w:tcPr>
          <w:p>
            <w:pPr>
              <w:spacing w:after="0"/>
              <w:rPr>
                <w:sz w:val="8"/>
                <w:szCs w:val="8"/>
                <w:color w:val="auto"/>
              </w:rPr>
            </w:pPr>
          </w:p>
        </w:tc>
        <w:tc>
          <w:tcPr>
            <w:tcW w:w="5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27,283</w:t>
            </w:r>
          </w:p>
        </w:tc>
        <w:tc>
          <w:tcPr>
            <w:tcW w:w="200" w:type="dxa"/>
            <w:vAlign w:val="bottom"/>
            <w:tcBorders>
              <w:right w:val="single" w:sz="8" w:color="CCEEFF"/>
            </w:tcBorders>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27,283</w:t>
            </w:r>
          </w:p>
        </w:tc>
        <w:tc>
          <w:tcPr>
            <w:tcW w:w="0" w:type="dxa"/>
            <w:vAlign w:val="bottom"/>
          </w:tcPr>
          <w:p>
            <w:pPr>
              <w:spacing w:after="0"/>
              <w:rPr>
                <w:sz w:val="1"/>
                <w:szCs w:val="1"/>
                <w:color w:val="auto"/>
              </w:rPr>
            </w:pPr>
          </w:p>
        </w:tc>
      </w:tr>
      <w:tr>
        <w:trPr>
          <w:trHeight w:val="95"/>
        </w:trPr>
        <w:tc>
          <w:tcPr>
            <w:tcW w:w="2260" w:type="dxa"/>
            <w:vAlign w:val="bottom"/>
            <w:gridSpan w:val="5"/>
          </w:tcPr>
          <w:p>
            <w:pPr>
              <w:spacing w:after="0" w:line="95" w:lineRule="exact"/>
              <w:rPr>
                <w:sz w:val="20"/>
                <w:szCs w:val="20"/>
                <w:color w:val="auto"/>
              </w:rPr>
            </w:pPr>
            <w:r>
              <w:rPr>
                <w:rFonts w:ascii="Times New Roman" w:cs="Times New Roman" w:eastAsia="Times New Roman" w:hAnsi="Times New Roman"/>
                <w:sz w:val="9"/>
                <w:szCs w:val="9"/>
                <w:color w:val="auto"/>
              </w:rPr>
              <w:t>Campus, Tenant Improvements &amp; Other</w:t>
            </w:r>
          </w:p>
        </w:tc>
        <w:tc>
          <w:tcPr>
            <w:tcW w:w="7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N/A</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45,718</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42,848</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88,566</w:t>
            </w:r>
          </w:p>
        </w:tc>
        <w:tc>
          <w:tcPr>
            <w:tcW w:w="14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N/A</w:t>
            </w:r>
          </w:p>
        </w:tc>
        <w:tc>
          <w:tcPr>
            <w:tcW w:w="18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18,468</w:t>
            </w:r>
          </w:p>
        </w:tc>
        <w:tc>
          <w:tcPr>
            <w:tcW w:w="20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22,968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41,436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gridSpan w:val="4"/>
            <w:vMerge w:val="restart"/>
            <w:shd w:val="clear" w:color="auto" w:fill="CCEEFF"/>
          </w:tcPr>
          <w:p>
            <w:pPr>
              <w:ind w:left="220"/>
              <w:spacing w:after="0" w:line="82" w:lineRule="exact"/>
              <w:rPr>
                <w:sz w:val="20"/>
                <w:szCs w:val="20"/>
                <w:color w:val="auto"/>
              </w:rPr>
            </w:pPr>
            <w:r>
              <w:rPr>
                <w:rFonts w:ascii="Times New Roman" w:cs="Times New Roman" w:eastAsia="Times New Roman" w:hAnsi="Times New Roman"/>
                <w:sz w:val="9"/>
                <w:szCs w:val="9"/>
                <w:b w:val="1"/>
                <w:bCs w:val="1"/>
                <w:color w:val="auto"/>
              </w:rPr>
              <w:t>Total Construction in Progress and Land Held for</w:t>
            </w: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2240" w:type="dxa"/>
            <w:vAlign w:val="bottom"/>
            <w:gridSpan w:val="4"/>
            <w:vMerge w:val="continue"/>
            <w:shd w:val="clear" w:color="auto" w:fill="CCEEFF"/>
          </w:tcPr>
          <w:p>
            <w:pPr>
              <w:spacing w:after="0"/>
              <w:rPr>
                <w:sz w:val="5"/>
                <w:szCs w:val="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6,406,541</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2,995,187</w:t>
            </w: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2,125,282</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5,120,469</w:t>
            </w:r>
          </w:p>
        </w:tc>
        <w:tc>
          <w:tcPr>
            <w:tcW w:w="140" w:type="dxa"/>
            <w:vAlign w:val="bottom"/>
            <w:shd w:val="clear" w:color="auto" w:fill="CCEEFF"/>
          </w:tcPr>
          <w:p>
            <w:pPr>
              <w:spacing w:after="0"/>
              <w:rPr>
                <w:sz w:val="5"/>
                <w:szCs w:val="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5,392,913</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1,880,152</w:t>
            </w:r>
          </w:p>
        </w:tc>
        <w:tc>
          <w:tcPr>
            <w:tcW w:w="2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1,130,657</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3,010,809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40" w:type="dxa"/>
            <w:vAlign w:val="bottom"/>
            <w:gridSpan w:val="4"/>
            <w:shd w:val="clear" w:color="auto" w:fill="CCEEFF"/>
          </w:tcPr>
          <w:p>
            <w:pPr>
              <w:ind w:left="220"/>
              <w:spacing w:after="0" w:line="99" w:lineRule="exact"/>
              <w:rPr>
                <w:sz w:val="20"/>
                <w:szCs w:val="20"/>
                <w:color w:val="auto"/>
              </w:rPr>
            </w:pPr>
            <w:r>
              <w:rPr>
                <w:rFonts w:ascii="Times New Roman" w:cs="Times New Roman" w:eastAsia="Times New Roman" w:hAnsi="Times New Roman"/>
                <w:sz w:val="9"/>
                <w:szCs w:val="9"/>
                <w:b w:val="1"/>
                <w:bCs w:val="1"/>
                <w:color w:val="auto"/>
              </w:rPr>
              <w:t>Future Development</w:t>
            </w:r>
          </w:p>
        </w:tc>
        <w:tc>
          <w:tcPr>
            <w:tcW w:w="760" w:type="dxa"/>
            <w:vAlign w:val="bottom"/>
            <w:vMerge w:val="continue"/>
            <w:shd w:val="clear" w:color="auto" w:fill="CCEEFF"/>
          </w:tcPr>
          <w:p>
            <w:pPr>
              <w:spacing w:after="0"/>
              <w:rPr>
                <w:sz w:val="9"/>
                <w:szCs w:val="9"/>
                <w:color w:val="auto"/>
              </w:rPr>
            </w:pPr>
          </w:p>
        </w:tc>
        <w:tc>
          <w:tcPr>
            <w:tcW w:w="200" w:type="dxa"/>
            <w:vAlign w:val="bottom"/>
            <w:gridSpan w:val="2"/>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220" w:type="dxa"/>
            <w:vAlign w:val="bottom"/>
            <w:gridSpan w:val="2"/>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220" w:type="dxa"/>
            <w:vAlign w:val="bottom"/>
            <w:gridSpan w:val="2"/>
            <w:vMerge w:val="continue"/>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80" w:type="dxa"/>
            <w:vAlign w:val="bottom"/>
            <w:tcBorders>
              <w:right w:val="single" w:sz="8" w:color="CCEEFF"/>
            </w:tcBorders>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200" w:type="dxa"/>
            <w:vAlign w:val="bottom"/>
            <w:tcBorders>
              <w:right w:val="single" w:sz="8" w:color="CCEEFF"/>
            </w:tcBorders>
            <w:vMerge w:val="continue"/>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200" w:type="dxa"/>
            <w:vAlign w:val="bottom"/>
            <w:gridSpan w:val="2"/>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auto"/>
            </w:tcBorders>
          </w:tcPr>
          <w:p>
            <w:pPr>
              <w:spacing w:after="0"/>
              <w:rPr>
                <w:sz w:val="6"/>
                <w:szCs w:val="6"/>
                <w:color w:val="auto"/>
              </w:rPr>
            </w:pPr>
          </w:p>
        </w:tc>
        <w:tc>
          <w:tcPr>
            <w:tcW w:w="800" w:type="dxa"/>
            <w:vAlign w:val="bottom"/>
            <w:tcBorders>
              <w:top w:val="single" w:sz="8" w:color="CCEEFF"/>
              <w:bottom w:val="single" w:sz="8" w:color="auto"/>
            </w:tcBorders>
          </w:tcPr>
          <w:p>
            <w:pPr>
              <w:spacing w:after="0"/>
              <w:rPr>
                <w:sz w:val="6"/>
                <w:szCs w:val="6"/>
                <w:color w:val="auto"/>
              </w:rPr>
            </w:pPr>
          </w:p>
        </w:tc>
        <w:tc>
          <w:tcPr>
            <w:tcW w:w="1300" w:type="dxa"/>
            <w:vAlign w:val="bottom"/>
            <w:tcBorders>
              <w:top w:val="single" w:sz="8" w:color="CCEEFF"/>
              <w:bottom w:val="single" w:sz="8" w:color="auto"/>
            </w:tcBorders>
          </w:tcPr>
          <w:p>
            <w:pPr>
              <w:spacing w:after="0"/>
              <w:rPr>
                <w:sz w:val="6"/>
                <w:szCs w:val="6"/>
                <w:color w:val="auto"/>
              </w:rPr>
            </w:pPr>
          </w:p>
        </w:tc>
        <w:tc>
          <w:tcPr>
            <w:tcW w:w="120" w:type="dxa"/>
            <w:vAlign w:val="bottom"/>
            <w:tcBorders>
              <w:top w:val="single" w:sz="8" w:color="CCEEFF"/>
              <w:bottom w:val="single" w:sz="8" w:color="auto"/>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2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2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4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40" w:type="dxa"/>
            <w:vAlign w:val="bottom"/>
            <w:tcBorders>
              <w:top w:val="single" w:sz="8" w:color="CCEEFF"/>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Borders>
              <w:top w:val="single" w:sz="8" w:color="CCEEFF"/>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60" w:right="239" w:hanging="235"/>
        <w:spacing w:after="0" w:line="250" w:lineRule="auto"/>
        <w:tabs>
          <w:tab w:leader="none" w:pos="2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estimate the total net rentable square feet available for lease based on a number of factors in addition to contractually leased square feet, including available power, required support space and common areas. Excludes square footage of properties held in unconsolidated joint ventures. Square footage is based on current estimates and project plans, and may change upon completion of the project due to remeasurement.</w:t>
      </w:r>
    </w:p>
    <w:p>
      <w:pPr>
        <w:spacing w:after="0" w:line="1"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balances incurred through December 31, 2020. Excludes costs incurred by unconsolidated joint ventures.</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estimated cost to complete specific scope of work pursuant to contract, budget or approved capital plan.</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balances incurred through December 31, 2019. Excludes costs incurred by unconsolidated joint ventures.</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approximately 927 acres as of December 31, 2020 and approximately 944 acres as of December 31, 2019.</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space held for development through unconsolidated joint ventures.</w:t>
      </w:r>
    </w:p>
    <w:p>
      <w:pPr>
        <w:spacing w:after="0" w:line="141" w:lineRule="exact"/>
        <w:rPr>
          <w:sz w:val="20"/>
          <w:szCs w:val="20"/>
          <w:color w:val="auto"/>
        </w:rPr>
      </w:pPr>
    </w:p>
    <w:p>
      <w:pPr>
        <w:ind w:left="20" w:right="79" w:firstLine="228"/>
        <w:spacing w:after="0" w:line="221" w:lineRule="auto"/>
        <w:rPr>
          <w:sz w:val="20"/>
          <w:szCs w:val="20"/>
          <w:color w:val="auto"/>
        </w:rPr>
      </w:pPr>
      <w:r>
        <w:rPr>
          <w:rFonts w:ascii="Times New Roman" w:cs="Times New Roman" w:eastAsia="Times New Roman" w:hAnsi="Times New Roman"/>
          <w:sz w:val="12"/>
          <w:szCs w:val="12"/>
          <w:color w:val="auto"/>
        </w:rPr>
        <w:t>Land inventory and space held for development reflect cumulative cost spent pending future development. Base building construction consists of ongoing improvements to building infrastructure in preparation for future data center fit-out. Data center construction includes 5.0 million square feet of Turn Key Flex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and Powered Base</w:t>
      </w:r>
    </w:p>
    <w:p>
      <w:pPr>
        <w:spacing w:after="0" w:line="1" w:lineRule="exact"/>
        <w:rPr>
          <w:sz w:val="20"/>
          <w:szCs w:val="20"/>
          <w:color w:val="auto"/>
        </w:rPr>
      </w:pPr>
    </w:p>
    <w:p>
      <w:pPr>
        <w:ind w:left="20" w:right="219"/>
        <w:spacing w:after="0" w:line="225" w:lineRule="auto"/>
        <w:rPr>
          <w:sz w:val="20"/>
          <w:szCs w:val="20"/>
          <w:color w:val="auto"/>
        </w:rPr>
      </w:pPr>
      <w:r>
        <w:rPr>
          <w:rFonts w:ascii="Times New Roman" w:cs="Times New Roman" w:eastAsia="Times New Roman" w:hAnsi="Times New Roman"/>
          <w:sz w:val="13"/>
          <w:szCs w:val="13"/>
          <w:color w:val="auto"/>
        </w:rPr>
        <w:t>Building</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product. Generally, we expect to deliver the space within 12 months; however, lease commencement dates may significantly impact final delivery schedules. Equipment pool and other inventory represent the value of long-lead equipment and materials required for timely deployment and delivery of data center construction fit-out. Campus, tenant improvements and other costs include the value of development work which benefits space recently converted to our operating portfolio and is composed primarily of shared infrastructure projects and first-generation tenant improvements.</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Future Uses of Cash</w:t>
      </w:r>
    </w:p>
    <w:p>
      <w:pPr>
        <w:spacing w:after="0" w:line="156" w:lineRule="exact"/>
        <w:rPr>
          <w:sz w:val="20"/>
          <w:szCs w:val="20"/>
          <w:color w:val="auto"/>
        </w:rPr>
      </w:pPr>
    </w:p>
    <w:p>
      <w:pPr>
        <w:ind w:left="20" w:right="39" w:firstLine="228"/>
        <w:spacing w:after="0" w:line="254" w:lineRule="auto"/>
        <w:rPr>
          <w:sz w:val="20"/>
          <w:szCs w:val="20"/>
          <w:color w:val="auto"/>
        </w:rPr>
      </w:pPr>
      <w:r>
        <w:rPr>
          <w:rFonts w:ascii="Times New Roman" w:cs="Times New Roman" w:eastAsia="Times New Roman" w:hAnsi="Times New Roman"/>
          <w:sz w:val="12"/>
          <w:szCs w:val="12"/>
          <w:color w:val="auto"/>
        </w:rPr>
        <w:t>Our properties require periodic investments of capital for customer-related capital expenditures and for general capital improvements. As of December 31, 2020, we had approximately 5.4 million square feet under active development and approximately 2.3 million square feet held for development. Depending upon customer demand, we expect to incur significant improvement costs to build out and develop additional capacity. At December 31, 2020, excluding unconsolidated joint ventures, approximately 4.9 million square feet was under active development for Turn-Key Flex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and Powered Base Building</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products, all of which is expected to be income-producing on or after completion, in seven U.S. metropolitan areas, nine European metropolitan areas, four Asian metropolitan areas, one Australian metropolitan area, one African metropolitan area and one Canadian metropolitan area, consisting of approximately 2.3 million square feet of base building construction and 2.6 million square feet of data center construction. At December 31, 2020, we had open commitments, related to construction contracts of approximately $1.1 billion, including amounts reimbursable of approximately $37.6 million.</w:t>
      </w:r>
    </w:p>
    <w:p>
      <w:pPr>
        <w:spacing w:after="0" w:line="132" w:lineRule="exact"/>
        <w:rPr>
          <w:sz w:val="20"/>
          <w:szCs w:val="20"/>
          <w:color w:val="auto"/>
        </w:rPr>
      </w:pPr>
    </w:p>
    <w:p>
      <w:pPr>
        <w:ind w:left="20" w:right="199" w:firstLine="228"/>
        <w:spacing w:after="0" w:line="268" w:lineRule="auto"/>
        <w:rPr>
          <w:sz w:val="20"/>
          <w:szCs w:val="20"/>
          <w:color w:val="auto"/>
        </w:rPr>
      </w:pPr>
      <w:r>
        <w:rPr>
          <w:rFonts w:ascii="Times New Roman" w:cs="Times New Roman" w:eastAsia="Times New Roman" w:hAnsi="Times New Roman"/>
          <w:sz w:val="13"/>
          <w:szCs w:val="13"/>
          <w:color w:val="auto"/>
        </w:rPr>
        <w:t>We currently expect to incur approximately $2.0 billion to $2.3 billion of capital expenditures for our development programs, including land acquisitions, during the year ending December 31, 2021, although this amount could go up or</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91" w:name="page92"/>
    <w:bookmarkEnd w:id="9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down, potentially materially, based on numerous factors, including changes in demand, leasing results and availability of debt or equity capital.</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Historical Capital Expenditures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66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r>
      <w:tr>
        <w:trPr>
          <w:trHeight w:val="94"/>
        </w:trPr>
        <w:tc>
          <w:tcPr>
            <w:tcW w:w="662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81"/>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9"/>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r>
      <w:tr>
        <w:trPr>
          <w:trHeight w:val="141"/>
        </w:trPr>
        <w:tc>
          <w:tcPr>
            <w:tcW w:w="66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Development projects</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1,751,502</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1,166,218</w:t>
            </w:r>
          </w:p>
        </w:tc>
      </w:tr>
      <w:tr>
        <w:trPr>
          <w:trHeight w:val="152"/>
        </w:trPr>
        <w:tc>
          <w:tcPr>
            <w:tcW w:w="6620" w:type="dxa"/>
            <w:vAlign w:val="bottom"/>
          </w:tcPr>
          <w:p>
            <w:pPr>
              <w:spacing w:after="0"/>
              <w:rPr>
                <w:sz w:val="20"/>
                <w:szCs w:val="20"/>
                <w:color w:val="auto"/>
              </w:rPr>
            </w:pPr>
            <w:r>
              <w:rPr>
                <w:rFonts w:ascii="Times New Roman" w:cs="Times New Roman" w:eastAsia="Times New Roman" w:hAnsi="Times New Roman"/>
                <w:sz w:val="13"/>
                <w:szCs w:val="13"/>
                <w:color w:val="auto"/>
              </w:rPr>
              <w:t>Enhancement and improvements</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3,249</w:t>
            </w:r>
          </w:p>
        </w:tc>
      </w:tr>
      <w:tr>
        <w:trPr>
          <w:trHeight w:val="15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Recurring capital expenditures</w:t>
            </w: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210,727</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180,713</w:t>
            </w:r>
          </w:p>
        </w:tc>
      </w:tr>
      <w:tr>
        <w:trPr>
          <w:trHeight w:val="150"/>
        </w:trPr>
        <w:tc>
          <w:tcPr>
            <w:tcW w:w="662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Total capital expenditures (excluding indirect costs)</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1,963,253</w:t>
            </w:r>
          </w:p>
        </w:tc>
        <w:tc>
          <w:tcPr>
            <w:tcW w:w="200" w:type="dxa"/>
            <w:vAlign w:val="bottom"/>
          </w:tcPr>
          <w:p>
            <w:pPr>
              <w:spacing w:after="0"/>
              <w:rPr>
                <w:sz w:val="13"/>
                <w:szCs w:val="13"/>
                <w:color w:val="auto"/>
              </w:rPr>
            </w:pP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1,350,180</w:t>
            </w:r>
          </w:p>
        </w:tc>
      </w:tr>
    </w:tbl>
    <w:p>
      <w:pPr>
        <w:spacing w:after="0" w:line="139" w:lineRule="exact"/>
        <w:rPr>
          <w:sz w:val="20"/>
          <w:szCs w:val="20"/>
          <w:color w:val="auto"/>
        </w:rPr>
      </w:pPr>
    </w:p>
    <w:p>
      <w:pPr>
        <w:ind w:left="20" w:right="59" w:firstLine="228"/>
        <w:spacing w:after="0" w:line="249" w:lineRule="auto"/>
        <w:rPr>
          <w:sz w:val="20"/>
          <w:szCs w:val="20"/>
          <w:color w:val="auto"/>
        </w:rPr>
      </w:pPr>
      <w:r>
        <w:rPr>
          <w:rFonts w:ascii="Times New Roman" w:cs="Times New Roman" w:eastAsia="Times New Roman" w:hAnsi="Times New Roman"/>
          <w:sz w:val="13"/>
          <w:szCs w:val="13"/>
          <w:color w:val="auto"/>
        </w:rPr>
        <w:t>For the year ended December 31, 2020, total capital expenditures increased $613.1 million to approximately $2.0 billion from $1.4 billion for the same period in 2019. Capital expenditures on our development projects plus our enhancement and improvements projects for the year ended December 31, 2020 were approximately $1.8 billion, which reflects an increase of approximately 50% from the same period in 2019. This increase was primarily due to Interxion, which had approximately $469.8 million of capital expenditures for the year ended December 31, 2020, offset by 2019 spending related to Ascenty, which was deconsolidated in March 2019. Our development capital expenditures are generally funded by our available cash and equity and debt capital.</w:t>
      </w:r>
    </w:p>
    <w:p>
      <w:pPr>
        <w:spacing w:after="0" w:line="136" w:lineRule="exact"/>
        <w:rPr>
          <w:sz w:val="20"/>
          <w:szCs w:val="20"/>
          <w:color w:val="auto"/>
        </w:rPr>
      </w:pPr>
    </w:p>
    <w:p>
      <w:pPr>
        <w:ind w:left="20" w:right="139" w:firstLine="228"/>
        <w:spacing w:after="0" w:line="248" w:lineRule="auto"/>
        <w:rPr>
          <w:sz w:val="20"/>
          <w:szCs w:val="20"/>
          <w:color w:val="auto"/>
        </w:rPr>
      </w:pPr>
      <w:r>
        <w:rPr>
          <w:rFonts w:ascii="Times New Roman" w:cs="Times New Roman" w:eastAsia="Times New Roman" w:hAnsi="Times New Roman"/>
          <w:sz w:val="13"/>
          <w:szCs w:val="13"/>
          <w:color w:val="auto"/>
        </w:rPr>
        <w:t>Indirect costs, including capitalized interest, capitalized in the years ended December 31, 2020 and 2019 were $101.0 million and $86.7 million, respectively. Capitalized interest comprised approximately $47.3 million and $40.2 million of the total indirect costs capitalized for the years ended December 31, 2020 and 2019, respectively. Capitalized interest in the year ended December 31, 2020 increased, compared to the same period in 2019, due to an increase in qualifying activities. Excluding capitalized interest, indirect costs in the year ended December 31, 2020 increased compared to the same period in 2019 due primarily to capitalized amounts relating to compensation expense of employees directly engaged in construction activities. See “—Future Uses of Cash” above for a discussion of the amount of capital expenditures we expect to incur during the year ending December 31, 2021.</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We are also subject to the commitments discussed below under “Commitments and Contingencies,” “Off-Balance Sheet Arrangements” and “Distributions.”</w:t>
      </w:r>
    </w:p>
    <w:p>
      <w:pPr>
        <w:spacing w:after="0" w:line="154" w:lineRule="exact"/>
        <w:rPr>
          <w:sz w:val="20"/>
          <w:szCs w:val="20"/>
          <w:color w:val="auto"/>
        </w:rPr>
      </w:pPr>
    </w:p>
    <w:p>
      <w:pPr>
        <w:ind w:left="20" w:right="159" w:firstLine="228"/>
        <w:spacing w:after="0" w:line="249" w:lineRule="auto"/>
        <w:rPr>
          <w:sz w:val="20"/>
          <w:szCs w:val="20"/>
          <w:color w:val="auto"/>
        </w:rPr>
      </w:pPr>
      <w:r>
        <w:rPr>
          <w:rFonts w:ascii="Times New Roman" w:cs="Times New Roman" w:eastAsia="Times New Roman" w:hAnsi="Times New Roman"/>
          <w:sz w:val="13"/>
          <w:szCs w:val="13"/>
          <w:color w:val="auto"/>
        </w:rPr>
        <w:t>Consistent with our growth strategy, we actively pursue potential acquisition opportunities, with due diligence and negotiations often at different stages at different times. The dollar value of acquisitions for the year ending December 31, 2021 will depend upon numerous factors, including customer demand, leasing results, availability of debt or equity capital and acquisition opportunities. Further, the growing acceptance by private institutional investors of the data center asset class has generally pushed capitalization rates lower, as such private investors may often have lower return expectations than us. As a result, we anticipate near-term single asset acquisitions activity to comprise a smaller percentage of our growth while this market dynamic persists.</w:t>
      </w:r>
    </w:p>
    <w:p>
      <w:pPr>
        <w:spacing w:after="0" w:line="136" w:lineRule="exact"/>
        <w:rPr>
          <w:sz w:val="20"/>
          <w:szCs w:val="20"/>
          <w:color w:val="auto"/>
        </w:rPr>
      </w:pPr>
    </w:p>
    <w:p>
      <w:pPr>
        <w:ind w:left="20" w:right="139" w:firstLine="228"/>
        <w:spacing w:after="0" w:line="256" w:lineRule="auto"/>
        <w:rPr>
          <w:sz w:val="20"/>
          <w:szCs w:val="20"/>
          <w:color w:val="auto"/>
        </w:rPr>
      </w:pPr>
      <w:r>
        <w:rPr>
          <w:rFonts w:ascii="Times New Roman" w:cs="Times New Roman" w:eastAsia="Times New Roman" w:hAnsi="Times New Roman"/>
          <w:sz w:val="13"/>
          <w:szCs w:val="13"/>
          <w:color w:val="auto"/>
        </w:rPr>
        <w:t>We may from time to time seek to retire or repurchase our outstanding debt or the equity of our Parent Company through cash purchases and/or exchanges for equity securities of our Parent Company in open market purchases, privately negotiated transactions or otherwise. Such repurchases or exchanges, if any, will depend upon prevailing market conditions, our liquidity requirements, contractual restrictions or other factors. The amounts involved may be material.</w:t>
      </w:r>
    </w:p>
    <w:p>
      <w:pPr>
        <w:spacing w:after="0" w:line="129" w:lineRule="exact"/>
        <w:rPr>
          <w:sz w:val="20"/>
          <w:szCs w:val="20"/>
          <w:color w:val="auto"/>
        </w:rPr>
      </w:pPr>
    </w:p>
    <w:p>
      <w:pPr>
        <w:ind w:left="20" w:right="139" w:firstLine="228"/>
        <w:spacing w:after="0" w:line="249" w:lineRule="auto"/>
        <w:rPr>
          <w:sz w:val="20"/>
          <w:szCs w:val="20"/>
          <w:color w:val="auto"/>
        </w:rPr>
      </w:pPr>
      <w:r>
        <w:rPr>
          <w:rFonts w:ascii="Times New Roman" w:cs="Times New Roman" w:eastAsia="Times New Roman" w:hAnsi="Times New Roman"/>
          <w:sz w:val="13"/>
          <w:szCs w:val="13"/>
          <w:color w:val="auto"/>
        </w:rPr>
        <w:t>We expect to meet our short-term and long-term liquidity requirements, including to pay for scheduled debt maturities and to fund acquisitions and non-recurring capital improvements, with net cash from operations, future long-term secured and unsecured indebtedness and the issuance of equity and debt securities and the proceeds of equity issuances by our Parent Company. We also may fund future short-term and long-term liquidity requirements, including acquisitions and non-recurring capital improvements, using our global revolving credit facilities pending permanent financing. As of February 24, 2021, we had approximately $1.9 billion of borrowings available under our global revolving credit facilities. If we are not able to obtain additional financing on terms attractive to us, or at all, including as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92" w:name="page93"/>
    <w:bookmarkEnd w:id="9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219"/>
        <w:spacing w:after="0" w:line="310" w:lineRule="auto"/>
        <w:rPr>
          <w:sz w:val="20"/>
          <w:szCs w:val="20"/>
          <w:color w:val="auto"/>
        </w:rPr>
      </w:pPr>
      <w:r>
        <w:rPr>
          <w:rFonts w:ascii="Times New Roman" w:cs="Times New Roman" w:eastAsia="Times New Roman" w:hAnsi="Times New Roman"/>
          <w:sz w:val="12"/>
          <w:szCs w:val="12"/>
          <w:color w:val="auto"/>
        </w:rPr>
        <w:t>a result of the circumstances described above under “Factors Which May Influence Future Results of Operations—Global market and economic conditions” and “—COVID-19”, we may be required to reduce our acquisition or capital expenditure plans, which could have a material adverse effect upon our business and results of operations.</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Distributions</w:t>
      </w:r>
    </w:p>
    <w:p>
      <w:pPr>
        <w:spacing w:after="0" w:line="156" w:lineRule="exact"/>
        <w:rPr>
          <w:sz w:val="20"/>
          <w:szCs w:val="20"/>
          <w:color w:val="auto"/>
        </w:rPr>
      </w:pPr>
    </w:p>
    <w:p>
      <w:pPr>
        <w:ind w:left="20" w:right="119" w:firstLine="228"/>
        <w:spacing w:after="0" w:line="268" w:lineRule="auto"/>
        <w:rPr>
          <w:sz w:val="20"/>
          <w:szCs w:val="20"/>
          <w:color w:val="auto"/>
        </w:rPr>
      </w:pPr>
      <w:r>
        <w:rPr>
          <w:rFonts w:ascii="Times New Roman" w:cs="Times New Roman" w:eastAsia="Times New Roman" w:hAnsi="Times New Roman"/>
          <w:sz w:val="13"/>
          <w:szCs w:val="13"/>
          <w:color w:val="auto"/>
        </w:rPr>
        <w:t>All distributions on our units are at the discretion of our Parent Company’s Board of Directors. For additional information regarding distributions paid on our common and preferred units for the years ended December 31, 2020, 2019 and 2018, see Item 8, Note 14 in the Notes to the Consolidated Financial Statements.</w:t>
      </w:r>
    </w:p>
    <w:p>
      <w:pPr>
        <w:spacing w:after="0" w:line="122" w:lineRule="exact"/>
        <w:rPr>
          <w:sz w:val="20"/>
          <w:szCs w:val="20"/>
          <w:color w:val="auto"/>
        </w:rPr>
      </w:pPr>
    </w:p>
    <w:p>
      <w:pPr>
        <w:ind w:left="20" w:right="59" w:firstLine="228"/>
        <w:spacing w:after="0" w:line="256" w:lineRule="auto"/>
        <w:rPr>
          <w:sz w:val="20"/>
          <w:szCs w:val="20"/>
          <w:color w:val="auto"/>
        </w:rPr>
      </w:pPr>
      <w:r>
        <w:rPr>
          <w:rFonts w:ascii="Times New Roman" w:cs="Times New Roman" w:eastAsia="Times New Roman" w:hAnsi="Times New Roman"/>
          <w:sz w:val="13"/>
          <w:szCs w:val="13"/>
          <w:color w:val="auto"/>
        </w:rPr>
        <w:t>As of December 31, 2020, we were a party to interest rate swap agreements which hedge variability in cash flows related the U.S. LIBOR and CDOR-based tranches of our debt. Under these swaps, we pay variable-rate amounts in exchange for fixed-rate payments over the life of the agreements without exchange of the underlying principal amounts. See Item 7A. “Quantitative and Qualitative Disclosures about Market Risk.”</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following table summarizes our debt, interest, lease and construction contract payments due by period as of December 31, 2020 (in thousands):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35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Obligation</w:t>
            </w:r>
          </w:p>
        </w:tc>
        <w:tc>
          <w:tcPr>
            <w:tcW w:w="200" w:type="dxa"/>
            <w:vAlign w:val="bottom"/>
          </w:tcPr>
          <w:p>
            <w:pPr>
              <w:spacing w:after="0"/>
              <w:rPr>
                <w:sz w:val="10"/>
                <w:szCs w:val="10"/>
                <w:color w:val="auto"/>
              </w:rPr>
            </w:pPr>
          </w:p>
        </w:tc>
        <w:tc>
          <w:tcPr>
            <w:tcW w:w="720" w:type="dxa"/>
            <w:vAlign w:val="bottom"/>
          </w:tcPr>
          <w:p>
            <w:pPr>
              <w:jc w:val="right"/>
              <w:ind w:right="299"/>
              <w:spacing w:after="0"/>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0"/>
                <w:szCs w:val="10"/>
                <w:b w:val="1"/>
                <w:bCs w:val="1"/>
                <w:color w:val="auto"/>
              </w:rPr>
              <w:t>2022-2023</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0"/>
                <w:szCs w:val="10"/>
                <w:b w:val="1"/>
                <w:bCs w:val="1"/>
                <w:color w:val="auto"/>
              </w:rPr>
              <w:t>2024-2025</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Thereafter</w:t>
            </w:r>
          </w:p>
        </w:tc>
        <w:tc>
          <w:tcPr>
            <w:tcW w:w="240" w:type="dxa"/>
            <w:vAlign w:val="bottom"/>
          </w:tcPr>
          <w:p>
            <w:pPr>
              <w:spacing w:after="0"/>
              <w:rPr>
                <w:sz w:val="10"/>
                <w:szCs w:val="10"/>
                <w:color w:val="auto"/>
              </w:rPr>
            </w:pPr>
          </w:p>
        </w:tc>
        <w:tc>
          <w:tcPr>
            <w:tcW w:w="800" w:type="dxa"/>
            <w:vAlign w:val="bottom"/>
          </w:tcPr>
          <w:p>
            <w:pPr>
              <w:jc w:val="right"/>
              <w:ind w:right="359"/>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1"/>
        </w:trPr>
        <w:tc>
          <w:tcPr>
            <w:tcW w:w="34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 xml:space="preserve">Secured and unsecured debt </w:t>
            </w:r>
            <w:r>
              <w:rPr>
                <w:rFonts w:ascii="Times New Roman" w:cs="Times New Roman" w:eastAsia="Times New Roman" w:hAnsi="Times New Roman"/>
                <w:sz w:val="16"/>
                <w:szCs w:val="16"/>
                <w:color w:val="auto"/>
                <w:vertAlign w:val="superscript"/>
              </w:rPr>
              <w:t>(1)</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2,218,001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2,912,493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8,282,519</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13,413,013</w:t>
            </w:r>
          </w:p>
        </w:tc>
      </w:tr>
      <w:tr>
        <w:trPr>
          <w:trHeight w:val="152"/>
        </w:trPr>
        <w:tc>
          <w:tcPr>
            <w:tcW w:w="3560" w:type="dxa"/>
            <w:vAlign w:val="bottom"/>
            <w:gridSpan w:val="3"/>
          </w:tcPr>
          <w:p>
            <w:pPr>
              <w:spacing w:after="0" w:line="152" w:lineRule="exact"/>
              <w:rPr>
                <w:sz w:val="20"/>
                <w:szCs w:val="20"/>
                <w:color w:val="auto"/>
              </w:rPr>
            </w:pPr>
            <w:r>
              <w:rPr>
                <w:rFonts w:ascii="Times New Roman" w:cs="Times New Roman" w:eastAsia="Times New Roman" w:hAnsi="Times New Roman"/>
                <w:sz w:val="12"/>
                <w:szCs w:val="12"/>
                <w:color w:val="auto"/>
              </w:rPr>
              <w:t xml:space="preserve">Interest payable </w:t>
            </w:r>
            <w:r>
              <w:rPr>
                <w:rFonts w:ascii="Times New Roman" w:cs="Times New Roman" w:eastAsia="Times New Roman" w:hAnsi="Times New Roman"/>
                <w:sz w:val="17"/>
                <w:szCs w:val="17"/>
                <w:color w:val="auto"/>
                <w:vertAlign w:val="superscript"/>
              </w:rPr>
              <w:t>(2)</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319,207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612,320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490,418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519,705</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1,941,650</w:t>
            </w:r>
          </w:p>
        </w:tc>
      </w:tr>
      <w:tr>
        <w:trPr>
          <w:trHeight w:val="152"/>
        </w:trPr>
        <w:tc>
          <w:tcPr>
            <w:tcW w:w="3560" w:type="dxa"/>
            <w:vAlign w:val="bottom"/>
            <w:gridSpan w:val="3"/>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 xml:space="preserve">Operating and finance leases </w:t>
            </w:r>
            <w:r>
              <w:rPr>
                <w:rFonts w:ascii="Times New Roman" w:cs="Times New Roman" w:eastAsia="Times New Roman" w:hAnsi="Times New Roman"/>
                <w:sz w:val="17"/>
                <w:szCs w:val="17"/>
                <w:color w:val="auto"/>
                <w:vertAlign w:val="superscript"/>
              </w:rPr>
              <w:t>(3)</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149,902</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333,176</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313,598</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1,290,908</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2,087,584</w:t>
            </w:r>
          </w:p>
        </w:tc>
      </w:tr>
      <w:tr>
        <w:trPr>
          <w:trHeight w:val="152"/>
        </w:trPr>
        <w:tc>
          <w:tcPr>
            <w:tcW w:w="3560" w:type="dxa"/>
            <w:vAlign w:val="bottom"/>
            <w:gridSpan w:val="3"/>
          </w:tcPr>
          <w:p>
            <w:pPr>
              <w:spacing w:after="0" w:line="152" w:lineRule="exact"/>
              <w:rPr>
                <w:sz w:val="20"/>
                <w:szCs w:val="20"/>
                <w:color w:val="auto"/>
              </w:rPr>
            </w:pPr>
            <w:r>
              <w:rPr>
                <w:rFonts w:ascii="Times New Roman" w:cs="Times New Roman" w:eastAsia="Times New Roman" w:hAnsi="Times New Roman"/>
                <w:sz w:val="12"/>
                <w:szCs w:val="12"/>
                <w:color w:val="auto"/>
              </w:rPr>
              <w:t xml:space="preserve">Construction contracts </w:t>
            </w:r>
            <w:r>
              <w:rPr>
                <w:rFonts w:ascii="Times New Roman" w:cs="Times New Roman" w:eastAsia="Times New Roman" w:hAnsi="Times New Roman"/>
                <w:sz w:val="17"/>
                <w:szCs w:val="17"/>
                <w:color w:val="auto"/>
                <w:vertAlign w:val="superscript"/>
              </w:rPr>
              <w:t>(4)</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1,081,282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1,081,282</w:t>
            </w:r>
          </w:p>
        </w:tc>
      </w:tr>
      <w:tr>
        <w:trPr>
          <w:trHeight w:val="150"/>
        </w:trPr>
        <w:tc>
          <w:tcPr>
            <w:tcW w:w="2240" w:type="dxa"/>
            <w:vAlign w:val="bottom"/>
            <w:tcBorders>
              <w:top w:val="single" w:sz="8" w:color="CCEEFF"/>
              <w:bottom w:val="single" w:sz="8" w:color="CCEEFF"/>
            </w:tcBorders>
            <w:shd w:val="clear" w:color="auto" w:fill="CCEEFF"/>
          </w:tcPr>
          <w:p>
            <w:pPr>
              <w:spacing w:after="0"/>
              <w:rPr>
                <w:sz w:val="13"/>
                <w:szCs w:val="13"/>
                <w:color w:val="auto"/>
              </w:rPr>
            </w:pPr>
          </w:p>
        </w:tc>
        <w:tc>
          <w:tcPr>
            <w:tcW w:w="11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1,550,391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3,163,497</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3,716,509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10,093,132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18,523,529</w:t>
            </w:r>
          </w:p>
        </w:tc>
      </w:tr>
      <w:tr>
        <w:trPr>
          <w:trHeight w:val="76"/>
        </w:trPr>
        <w:tc>
          <w:tcPr>
            <w:tcW w:w="2240" w:type="dxa"/>
            <w:vAlign w:val="bottom"/>
            <w:tcBorders>
              <w:bottom w:val="single" w:sz="8" w:color="auto"/>
            </w:tcBorders>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r>
    </w:tbl>
    <w:p>
      <w:pPr>
        <w:spacing w:after="0" w:line="54" w:lineRule="exact"/>
        <w:rPr>
          <w:sz w:val="20"/>
          <w:szCs w:val="20"/>
          <w:color w:val="auto"/>
        </w:rPr>
      </w:pPr>
    </w:p>
    <w:p>
      <w:pPr>
        <w:ind w:left="260" w:right="599" w:hanging="235"/>
        <w:spacing w:after="0" w:line="275" w:lineRule="auto"/>
        <w:tabs>
          <w:tab w:leader="none" w:pos="26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$540.2 million of borrowings under our global revolving credit facilities and $537.5 million of borrowings under our unsecured term loans and excludes unamortized premiums (discounts) and deferred financing costs reflected on the consolidated balance sheets under Item 8 in this Annual Report on Form 10-K.</w:t>
      </w:r>
    </w:p>
    <w:p>
      <w:pPr>
        <w:ind w:left="260" w:right="59" w:hanging="235"/>
        <w:spacing w:after="0" w:line="247" w:lineRule="auto"/>
        <w:tabs>
          <w:tab w:leader="none" w:pos="26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payable is based on the interest rates in effect on December 31, 2020, including the effect of interest rate swaps. Interest payable excluding the effect of interest rate swaps is as follows (in thousands):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2021</w:t>
            </w:r>
          </w:p>
        </w:tc>
        <w:tc>
          <w:tcPr>
            <w:tcW w:w="3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317,641</w:t>
            </w:r>
          </w:p>
        </w:tc>
      </w:tr>
      <w:tr>
        <w:trPr>
          <w:trHeight w:val="152"/>
        </w:trPr>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2022-2023</w:t>
            </w: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611,304</w:t>
            </w:r>
          </w:p>
        </w:tc>
      </w:tr>
      <w:tr>
        <w:trPr>
          <w:trHeight w:val="15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2024-2025</w:t>
            </w: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490,534</w:t>
            </w:r>
          </w:p>
        </w:tc>
      </w:tr>
      <w:tr>
        <w:trPr>
          <w:trHeight w:val="152"/>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519,705</w:t>
            </w:r>
          </w:p>
        </w:tc>
      </w:tr>
      <w:tr>
        <w:trPr>
          <w:trHeight w:val="150"/>
        </w:trPr>
        <w:tc>
          <w:tcPr>
            <w:tcW w:w="77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1,939,184</w:t>
            </w:r>
          </w:p>
        </w:tc>
      </w:tr>
    </w:tbl>
    <w:p>
      <w:pPr>
        <w:spacing w:after="0" w:line="139" w:lineRule="exact"/>
        <w:rPr>
          <w:sz w:val="20"/>
          <w:szCs w:val="20"/>
          <w:color w:val="auto"/>
        </w:rPr>
      </w:pPr>
    </w:p>
    <w:p>
      <w:pPr>
        <w:ind w:left="260" w:right="219" w:hanging="235"/>
        <w:spacing w:after="0" w:line="254" w:lineRule="auto"/>
        <w:tabs>
          <w:tab w:leader="none" w:pos="2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Beginning January 1, 2019, as a lessee we were required to record both a right-of-use asset and lease liability for our ground and office space leases based on the present value of our future minimum lease payments. See Item 8, Note 4 in the Notes to the Consolidated Financial Statements for additional information.</w:t>
      </w:r>
    </w:p>
    <w:p>
      <w:pPr>
        <w:ind w:left="260" w:right="59" w:hanging="235"/>
        <w:spacing w:after="0" w:line="288" w:lineRule="auto"/>
        <w:tabs>
          <w:tab w:leader="none" w:pos="26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time to time in the normal course of our business, we enter into various construction contracts with third parties that may obligate us to make payments. At December 31, 2020, we had open commitments, including amounts reimbursable of approximately $37.6 million, related to construction contracts of approximately $1.1 billion.</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93" w:name="page94"/>
    <w:bookmarkEnd w:id="9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Outstanding Consolidated Indebtedness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table below summarizes our debt maturities and principal payments as of December 31, 2020 (in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Global Revolving</w:t>
            </w:r>
          </w:p>
        </w:tc>
        <w:tc>
          <w:tcPr>
            <w:tcW w:w="120" w:type="dxa"/>
            <w:vAlign w:val="bottom"/>
          </w:tcPr>
          <w:p>
            <w:pPr>
              <w:spacing w:after="0"/>
              <w:rPr>
                <w:sz w:val="10"/>
                <w:szCs w:val="10"/>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Unsecured</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Senior Notes</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Secured Debt</w:t>
            </w:r>
          </w:p>
        </w:tc>
        <w:tc>
          <w:tcPr>
            <w:tcW w:w="220" w:type="dxa"/>
            <w:vAlign w:val="bottom"/>
          </w:tcPr>
          <w:p>
            <w:pPr>
              <w:spacing w:after="0"/>
              <w:rPr>
                <w:sz w:val="10"/>
                <w:szCs w:val="10"/>
                <w:color w:val="auto"/>
              </w:rPr>
            </w:pPr>
          </w:p>
        </w:tc>
        <w:tc>
          <w:tcPr>
            <w:tcW w:w="820" w:type="dxa"/>
            <w:vAlign w:val="bottom"/>
          </w:tcPr>
          <w:p>
            <w:pPr>
              <w:jc w:val="right"/>
              <w:ind w:right="359"/>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2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Credit Facilities (1)</w:t>
            </w:r>
          </w:p>
        </w:tc>
        <w:tc>
          <w:tcPr>
            <w:tcW w:w="120" w:type="dxa"/>
            <w:vAlign w:val="bottom"/>
          </w:tcPr>
          <w:p>
            <w:pPr>
              <w:spacing w:after="0"/>
              <w:rPr>
                <w:sz w:val="10"/>
                <w:szCs w:val="1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Term Loans</w:t>
            </w: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ind w:right="359"/>
              <w:spacing w:after="0"/>
              <w:rPr>
                <w:sz w:val="20"/>
                <w:szCs w:val="20"/>
                <w:color w:val="auto"/>
              </w:rPr>
            </w:pPr>
            <w:r>
              <w:rPr>
                <w:rFonts w:ascii="Times New Roman" w:cs="Times New Roman" w:eastAsia="Times New Roman" w:hAnsi="Times New Roman"/>
                <w:sz w:val="10"/>
                <w:szCs w:val="10"/>
                <w:b w:val="1"/>
                <w:bCs w:val="1"/>
                <w:color w:val="auto"/>
              </w:rPr>
              <w:t>Debt</w:t>
            </w:r>
          </w:p>
        </w:tc>
        <w:tc>
          <w:tcPr>
            <w:tcW w:w="0" w:type="dxa"/>
            <w:vAlign w:val="bottom"/>
          </w:tcPr>
          <w:p>
            <w:pPr>
              <w:spacing w:after="0"/>
              <w:rPr>
                <w:sz w:val="1"/>
                <w:szCs w:val="1"/>
                <w:color w:val="auto"/>
              </w:rPr>
            </w:pPr>
          </w:p>
        </w:tc>
      </w:tr>
      <w:tr>
        <w:trPr>
          <w:trHeight w:val="141"/>
        </w:trPr>
        <w:tc>
          <w:tcPr>
            <w:tcW w:w="22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2021</w:t>
            </w:r>
          </w:p>
        </w:tc>
        <w:tc>
          <w:tcPr>
            <w:tcW w:w="1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2022</w:t>
            </w: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732,960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733,290</w:t>
            </w:r>
          </w:p>
        </w:tc>
        <w:tc>
          <w:tcPr>
            <w:tcW w:w="0" w:type="dxa"/>
            <w:vAlign w:val="bottom"/>
          </w:tcPr>
          <w:p>
            <w:pPr>
              <w:spacing w:after="0"/>
              <w:rPr>
                <w:sz w:val="1"/>
                <w:szCs w:val="1"/>
                <w:color w:val="auto"/>
              </w:rPr>
            </w:pPr>
          </w:p>
        </w:tc>
      </w:tr>
      <w:tr>
        <w:trPr>
          <w:trHeight w:val="152"/>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w:t>
            </w:r>
          </w:p>
        </w:tc>
        <w:tc>
          <w:tcPr>
            <w:tcW w:w="1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493,241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537,470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104,000</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1,484,711</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46,943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1,074,710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1,121,653</w:t>
            </w:r>
          </w:p>
        </w:tc>
        <w:tc>
          <w:tcPr>
            <w:tcW w:w="0" w:type="dxa"/>
            <w:vAlign w:val="bottom"/>
          </w:tcPr>
          <w:p>
            <w:pPr>
              <w:spacing w:after="0"/>
              <w:rPr>
                <w:sz w:val="1"/>
                <w:szCs w:val="1"/>
                <w:color w:val="auto"/>
              </w:rPr>
            </w:pPr>
          </w:p>
        </w:tc>
      </w:tr>
      <w:tr>
        <w:trPr>
          <w:trHeight w:val="152"/>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w:t>
            </w:r>
          </w:p>
        </w:tc>
        <w:tc>
          <w:tcPr>
            <w:tcW w:w="1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1,790,840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1,790,840</w:t>
            </w:r>
          </w:p>
        </w:tc>
        <w:tc>
          <w:tcPr>
            <w:tcW w:w="0" w:type="dxa"/>
            <w:vAlign w:val="bottom"/>
          </w:tcPr>
          <w:p>
            <w:pPr>
              <w:spacing w:after="0"/>
              <w:rPr>
                <w:sz w:val="1"/>
                <w:szCs w:val="1"/>
                <w:color w:val="auto"/>
              </w:rPr>
            </w:pPr>
          </w:p>
        </w:tc>
      </w:tr>
      <w:tr>
        <w:trPr>
          <w:trHeight w:val="152"/>
        </w:trPr>
        <w:tc>
          <w:tcPr>
            <w:tcW w:w="3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Thereafter</w:t>
            </w:r>
          </w:p>
        </w:tc>
        <w:tc>
          <w:tcPr>
            <w:tcW w:w="14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8,147,519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135,000</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8,282,519</w:t>
            </w:r>
          </w:p>
        </w:tc>
        <w:tc>
          <w:tcPr>
            <w:tcW w:w="0" w:type="dxa"/>
            <w:vAlign w:val="bottom"/>
          </w:tcPr>
          <w:p>
            <w:pPr>
              <w:spacing w:after="0"/>
              <w:rPr>
                <w:sz w:val="1"/>
                <w:szCs w:val="1"/>
                <w:color w:val="auto"/>
              </w:rPr>
            </w:pPr>
          </w:p>
        </w:tc>
      </w:tr>
      <w:tr>
        <w:trPr>
          <w:trHeight w:val="141"/>
        </w:trPr>
        <w:tc>
          <w:tcPr>
            <w:tcW w:w="3440" w:type="dxa"/>
            <w:vAlign w:val="bottom"/>
            <w:tcBorders>
              <w:top w:val="single" w:sz="8" w:color="CCEEFF"/>
            </w:tcBorders>
            <w:gridSpan w:val="2"/>
            <w:shd w:val="clear" w:color="auto" w:fill="CCEEFF"/>
          </w:tcPr>
          <w:p>
            <w:pPr>
              <w:ind w:left="160"/>
              <w:spacing w:after="0" w:line="141" w:lineRule="exact"/>
              <w:rPr>
                <w:sz w:val="20"/>
                <w:szCs w:val="20"/>
                <w:color w:val="auto"/>
              </w:rPr>
            </w:pPr>
            <w:r>
              <w:rPr>
                <w:rFonts w:ascii="Times New Roman" w:cs="Times New Roman" w:eastAsia="Times New Roman" w:hAnsi="Times New Roman"/>
                <w:sz w:val="13"/>
                <w:szCs w:val="13"/>
                <w:color w:val="auto"/>
              </w:rPr>
              <w:t>Subtotal</w:t>
            </w: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540,184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537,470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12,096,029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239,330</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13,413,013</w:t>
            </w:r>
          </w:p>
        </w:tc>
        <w:tc>
          <w:tcPr>
            <w:tcW w:w="0" w:type="dxa"/>
            <w:vAlign w:val="bottom"/>
          </w:tcPr>
          <w:p>
            <w:pPr>
              <w:spacing w:after="0"/>
              <w:rPr>
                <w:sz w:val="1"/>
                <w:szCs w:val="1"/>
                <w:color w:val="auto"/>
              </w:rPr>
            </w:pPr>
          </w:p>
        </w:tc>
      </w:tr>
      <w:tr>
        <w:trPr>
          <w:trHeight w:val="152"/>
        </w:trPr>
        <w:tc>
          <w:tcPr>
            <w:tcW w:w="3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Unamortized discount</w:t>
            </w:r>
          </w:p>
        </w:tc>
        <w:tc>
          <w:tcPr>
            <w:tcW w:w="14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(40,915)</w:t>
            </w: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(40,919)</w:t>
            </w:r>
          </w:p>
        </w:tc>
        <w:tc>
          <w:tcPr>
            <w:tcW w:w="0" w:type="dxa"/>
            <w:vAlign w:val="bottom"/>
          </w:tcPr>
          <w:p>
            <w:pPr>
              <w:spacing w:after="0"/>
              <w:rPr>
                <w:sz w:val="1"/>
                <w:szCs w:val="1"/>
                <w:color w:val="auto"/>
              </w:rPr>
            </w:pPr>
          </w:p>
        </w:tc>
      </w:tr>
      <w:tr>
        <w:trPr>
          <w:trHeight w:val="152"/>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Unamortized premium</w:t>
            </w:r>
          </w:p>
        </w:tc>
        <w:tc>
          <w:tcPr>
            <w:tcW w:w="1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5,927</w:t>
            </w:r>
          </w:p>
        </w:tc>
        <w:tc>
          <w:tcPr>
            <w:tcW w:w="0" w:type="dxa"/>
            <w:vAlign w:val="bottom"/>
          </w:tcPr>
          <w:p>
            <w:pPr>
              <w:spacing w:after="0"/>
              <w:rPr>
                <w:sz w:val="1"/>
                <w:szCs w:val="1"/>
                <w:color w:val="auto"/>
              </w:rPr>
            </w:pPr>
          </w:p>
        </w:tc>
      </w:tr>
      <w:tr>
        <w:trPr>
          <w:trHeight w:val="150"/>
        </w:trPr>
        <w:tc>
          <w:tcPr>
            <w:tcW w:w="3440" w:type="dxa"/>
            <w:vAlign w:val="bottom"/>
            <w:gridSpan w:val="2"/>
          </w:tcPr>
          <w:p>
            <w:pPr>
              <w:ind w:left="380"/>
              <w:spacing w:after="0" w:line="141" w:lineRule="exact"/>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540,184</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537,470</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12,061,041</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239,326</w:t>
            </w:r>
          </w:p>
        </w:tc>
        <w:tc>
          <w:tcPr>
            <w:tcW w:w="1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13,378,021</w:t>
            </w:r>
          </w:p>
        </w:tc>
        <w:tc>
          <w:tcPr>
            <w:tcW w:w="0" w:type="dxa"/>
            <w:vAlign w:val="bottom"/>
          </w:tcPr>
          <w:p>
            <w:pPr>
              <w:spacing w:after="0"/>
              <w:rPr>
                <w:sz w:val="1"/>
                <w:szCs w:val="1"/>
                <w:color w:val="auto"/>
              </w:rPr>
            </w:pPr>
          </w:p>
        </w:tc>
      </w:tr>
      <w:tr>
        <w:trPr>
          <w:trHeight w:val="76"/>
        </w:trPr>
        <w:tc>
          <w:tcPr>
            <w:tcW w:w="2240" w:type="dxa"/>
            <w:vAlign w:val="bottom"/>
            <w:tcBorders>
              <w:bottom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60" w:right="159" w:hanging="235"/>
        <w:spacing w:after="0" w:line="268" w:lineRule="auto"/>
        <w:tabs>
          <w:tab w:leader="none" w:pos="26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two six-month extension options exercisable by us. The bank group is obligated to grant the extension options provided we give proper notice, we make certain representations and warranties and no default exists under the global revolving credit facilities, as applicable.</w:t>
      </w:r>
    </w:p>
    <w:p>
      <w:pPr>
        <w:spacing w:after="0" w:line="121"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table below summarizes our debt, as of December 31, 2020 (in millions):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Debt Summary:</w:t>
            </w:r>
          </w:p>
        </w:tc>
        <w:tc>
          <w:tcPr>
            <w:tcW w:w="2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Fixed rate</w:t>
            </w:r>
          </w:p>
        </w:tc>
        <w:tc>
          <w:tcPr>
            <w:tcW w:w="2860" w:type="dxa"/>
            <w:vAlign w:val="bottom"/>
            <w:gridSpan w:val="2"/>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11,864.8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Variable rate debt subject to interest rate swaps</w:t>
            </w:r>
          </w:p>
        </w:tc>
        <w:tc>
          <w:tcPr>
            <w:tcW w:w="24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181.4</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Total fixed rate debt (including interest rate swaps)</w:t>
            </w:r>
          </w:p>
        </w:tc>
        <w:tc>
          <w:tcPr>
            <w:tcW w:w="2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12,046.2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Variable rate—unhedged</w:t>
            </w:r>
          </w:p>
        </w:tc>
        <w:tc>
          <w:tcPr>
            <w:tcW w:w="24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1,366.8</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0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Total</w:t>
            </w:r>
          </w:p>
        </w:tc>
        <w:tc>
          <w:tcPr>
            <w:tcW w:w="2480" w:type="dxa"/>
            <w:vAlign w:val="bottom"/>
          </w:tcPr>
          <w:p>
            <w:pPr>
              <w:spacing w:after="0"/>
              <w:rPr>
                <w:sz w:val="13"/>
                <w:szCs w:val="13"/>
                <w:color w:val="auto"/>
              </w:rPr>
            </w:pPr>
          </w:p>
        </w:tc>
        <w:tc>
          <w:tcPr>
            <w:tcW w:w="380" w:type="dxa"/>
            <w:vAlign w:val="bottom"/>
          </w:tcPr>
          <w:p>
            <w:pPr>
              <w:jc w:val="right"/>
              <w:ind w:right="31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13,413.0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Percent of Total Debt:</w:t>
            </w:r>
          </w:p>
        </w:tc>
        <w:tc>
          <w:tcPr>
            <w:tcW w:w="24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Fixed rate (including swapped debt)</w:t>
            </w:r>
          </w:p>
        </w:tc>
        <w:tc>
          <w:tcPr>
            <w:tcW w:w="2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89.8 %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Variable rate</w:t>
            </w:r>
          </w:p>
        </w:tc>
        <w:tc>
          <w:tcPr>
            <w:tcW w:w="2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10.2 %</w:t>
            </w:r>
          </w:p>
        </w:tc>
        <w:tc>
          <w:tcPr>
            <w:tcW w:w="0" w:type="dxa"/>
            <w:vAlign w:val="bottom"/>
          </w:tcPr>
          <w:p>
            <w:pPr>
              <w:spacing w:after="0"/>
              <w:rPr>
                <w:sz w:val="1"/>
                <w:szCs w:val="1"/>
                <w:color w:val="auto"/>
              </w:rPr>
            </w:pPr>
          </w:p>
        </w:tc>
      </w:tr>
      <w:tr>
        <w:trPr>
          <w:trHeight w:val="150"/>
        </w:trPr>
        <w:tc>
          <w:tcPr>
            <w:tcW w:w="50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Total</w:t>
            </w:r>
          </w:p>
        </w:tc>
        <w:tc>
          <w:tcPr>
            <w:tcW w:w="24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100.0</w:t>
            </w:r>
          </w:p>
        </w:tc>
        <w:tc>
          <w:tcPr>
            <w:tcW w:w="220" w:type="dxa"/>
            <w:vAlign w:val="bottom"/>
          </w:tcPr>
          <w:p>
            <w:pPr>
              <w:jc w:val="right"/>
              <w:ind w:right="5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5040" w:type="dxa"/>
            <w:vAlign w:val="bottom"/>
            <w:tcBorders>
              <w:top w:val="single" w:sz="8" w:color="CCEEFF"/>
            </w:tcBorders>
            <w:shd w:val="clear" w:color="auto" w:fill="CCEEFF"/>
          </w:tcPr>
          <w:p>
            <w:pPr>
              <w:spacing w:after="0"/>
              <w:rPr>
                <w:sz w:val="13"/>
                <w:szCs w:val="13"/>
                <w:color w:val="auto"/>
              </w:rPr>
            </w:pPr>
          </w:p>
        </w:tc>
        <w:tc>
          <w:tcPr>
            <w:tcW w:w="24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Effective Interest Rate as of December 31, 2020</w:t>
            </w:r>
          </w:p>
        </w:tc>
        <w:tc>
          <w:tcPr>
            <w:tcW w:w="2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 rate (including hedged variable rate debt)</w:t>
            </w:r>
          </w:p>
        </w:tc>
        <w:tc>
          <w:tcPr>
            <w:tcW w:w="2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2.57 %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Variable rate</w:t>
            </w:r>
          </w:p>
        </w:tc>
        <w:tc>
          <w:tcPr>
            <w:tcW w:w="2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0.73 %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Effective interest rate</w:t>
            </w:r>
          </w:p>
        </w:tc>
        <w:tc>
          <w:tcPr>
            <w:tcW w:w="2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2.38 %</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0" w:right="39" w:firstLine="228"/>
        <w:spacing w:after="0" w:line="248" w:lineRule="auto"/>
        <w:rPr>
          <w:sz w:val="20"/>
          <w:szCs w:val="20"/>
          <w:color w:val="auto"/>
        </w:rPr>
      </w:pPr>
      <w:r>
        <w:rPr>
          <w:rFonts w:ascii="Times New Roman" w:cs="Times New Roman" w:eastAsia="Times New Roman" w:hAnsi="Times New Roman"/>
          <w:sz w:val="13"/>
          <w:szCs w:val="13"/>
          <w:color w:val="auto"/>
        </w:rPr>
        <w:t>As of December 31, 2020, we had approximately $13.4 billion of outstanding consolidated long-term debt as set forth in the table above. Our ratio of debt to total enterprise value was approximately 24% (based on the closing price of Digital Realty Trust, Inc.’s common stock on December 31, 2020 of $139.51). For this purpose, our total enterprise value is defined as the sum of the market value of Digital Realty Trust, Inc.’s outstanding common stock (which may decrease, thereby increasing our debt to total enterprise value ratio), plus the liquidation value of Digital Realty Trust, Inc.’s preferred stock, plus the aggregate value of our Operating Partnership’s units not held by Digital Realty Trust, Inc. (with the per unit value equal to the market value of one share of Digital Realty Trust, Inc.’s common stock and excluding long-term incentive units, Class C units and Class D units), plus the book value of our total consolidated indebtedness.</w:t>
      </w:r>
    </w:p>
    <w:p>
      <w:pPr>
        <w:spacing w:after="0" w:line="136" w:lineRule="exact"/>
        <w:rPr>
          <w:sz w:val="20"/>
          <w:szCs w:val="20"/>
          <w:color w:val="auto"/>
        </w:rPr>
      </w:pPr>
    </w:p>
    <w:p>
      <w:pPr>
        <w:ind w:left="20" w:right="179" w:firstLine="228"/>
        <w:spacing w:after="0" w:line="256" w:lineRule="auto"/>
        <w:rPr>
          <w:sz w:val="20"/>
          <w:szCs w:val="20"/>
          <w:color w:val="auto"/>
        </w:rPr>
      </w:pPr>
      <w:r>
        <w:rPr>
          <w:rFonts w:ascii="Times New Roman" w:cs="Times New Roman" w:eastAsia="Times New Roman" w:hAnsi="Times New Roman"/>
          <w:sz w:val="13"/>
          <w:szCs w:val="13"/>
          <w:color w:val="auto"/>
        </w:rPr>
        <w:t>The variable rate debt shown above bears interest at interest rates based on various one-month LIBOR, EURIBOR, SOR, BBR, HIBOR, JPY LIBOR and CDOR rates, depending on the respective agreement governing the debt, including our global revolving credit facilities and unsecured term loans. As of December 31, 2020, our debt had a weighted</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94" w:name="page95"/>
    <w:bookmarkEnd w:id="9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average term to initial maturity of approximately 6.2 years (or approximately 6.3 years assuming exercise of extension options).</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156" w:lineRule="exact"/>
        <w:rPr>
          <w:sz w:val="20"/>
          <w:szCs w:val="20"/>
          <w:color w:val="auto"/>
        </w:rPr>
      </w:pPr>
    </w:p>
    <w:p>
      <w:pPr>
        <w:ind w:left="20" w:right="99" w:firstLine="228"/>
        <w:spacing w:after="0" w:line="268" w:lineRule="auto"/>
        <w:rPr>
          <w:sz w:val="20"/>
          <w:szCs w:val="20"/>
          <w:color w:val="auto"/>
        </w:rPr>
      </w:pPr>
      <w:r>
        <w:rPr>
          <w:rFonts w:ascii="Times New Roman" w:cs="Times New Roman" w:eastAsia="Times New Roman" w:hAnsi="Times New Roman"/>
          <w:sz w:val="13"/>
          <w:szCs w:val="13"/>
          <w:color w:val="auto"/>
        </w:rPr>
        <w:t>As of December 31, 2020, we were party to interest rate swap agreements related to $181.4 million of outstanding principal amount on our variable rate debt. See Item 7A. “Quantitative and Qualitative Disclosures about Market Risk.”</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As of December 31, 2020, our pro-rata share of secured debt of unconsolidated joint ventures was approximately $574.1 million.</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Cash Flows</w:t>
      </w:r>
    </w:p>
    <w:p>
      <w:pPr>
        <w:spacing w:after="0" w:line="156" w:lineRule="exact"/>
        <w:rPr>
          <w:sz w:val="20"/>
          <w:szCs w:val="20"/>
          <w:color w:val="auto"/>
        </w:rPr>
      </w:pPr>
    </w:p>
    <w:p>
      <w:pPr>
        <w:ind w:left="20" w:right="79" w:firstLine="228"/>
        <w:spacing w:after="0" w:line="268" w:lineRule="auto"/>
        <w:rPr>
          <w:sz w:val="20"/>
          <w:szCs w:val="20"/>
          <w:color w:val="auto"/>
        </w:rPr>
      </w:pPr>
      <w:r>
        <w:rPr>
          <w:rFonts w:ascii="Times New Roman" w:cs="Times New Roman" w:eastAsia="Times New Roman" w:hAnsi="Times New Roman"/>
          <w:sz w:val="13"/>
          <w:szCs w:val="13"/>
          <w:color w:val="auto"/>
        </w:rPr>
        <w:t>The following summary discussion of our cash flows is based on the consolidated statements of cash flows and is not meant to be an all-inclusive discussion of the changes in our cash flows for the periods presented below.</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Comparison of Year Ended December 31, 2020 to Year Ended December 31, 2019 and Comparison of Year Ended December 31, 2019 to Year Ended December 31, 2018</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following table shows cash flows and ending cash, cash equivalents and restricted cash balances for the years ended December 31, 2020, 2019 and 2018 (in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56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r>
        <w:trPr>
          <w:trHeight w:val="94"/>
        </w:trPr>
        <w:tc>
          <w:tcPr>
            <w:tcW w:w="568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19"/>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19"/>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39"/>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r>
      <w:tr>
        <w:trPr>
          <w:trHeight w:val="141"/>
        </w:trPr>
        <w:tc>
          <w:tcPr>
            <w:tcW w:w="56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1,706,541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1,513,817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1,385,324</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(2,599,347)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(274,992)</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(3,035,993)</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935,689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(1,272,021)</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1,757,269</w:t>
            </w:r>
          </w:p>
        </w:tc>
      </w:tr>
      <w:tr>
        <w:trPr>
          <w:trHeight w:val="150"/>
        </w:trPr>
        <w:tc>
          <w:tcPr>
            <w:tcW w:w="56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42,883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(33,196)</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106,600</w:t>
            </w:r>
          </w:p>
        </w:tc>
      </w:tr>
    </w:tbl>
    <w:p>
      <w:pPr>
        <w:spacing w:after="0" w:line="139" w:lineRule="exact"/>
        <w:rPr>
          <w:sz w:val="20"/>
          <w:szCs w:val="20"/>
          <w:color w:val="auto"/>
        </w:rPr>
      </w:pPr>
    </w:p>
    <w:p>
      <w:pPr>
        <w:ind w:left="20" w:right="59" w:firstLine="228"/>
        <w:spacing w:after="0" w:line="252" w:lineRule="auto"/>
        <w:rPr>
          <w:sz w:val="20"/>
          <w:szCs w:val="20"/>
          <w:color w:val="auto"/>
        </w:rPr>
      </w:pPr>
      <w:r>
        <w:rPr>
          <w:rFonts w:ascii="Times New Roman" w:cs="Times New Roman" w:eastAsia="Times New Roman" w:hAnsi="Times New Roman"/>
          <w:sz w:val="13"/>
          <w:szCs w:val="13"/>
          <w:color w:val="auto"/>
        </w:rPr>
        <w:t>Cash provided by operating activities in 2020 increased approximately $192.7 million over 2019 and cash provided by operating activities in 2019 increased approximately $128.5 million over 2018. The 2020 increase was primarily due to the Interxion Combination offset by properties sold or contributed to unconsolidated joint ventures during the twelve months ended December 31, 2020. The 2019 increase was primarily due to properties placed into service during the twelve months ended December 31, 2019 partially offset by properties sold in 2019 and 2018 and an increase in interest expense.</w:t>
      </w:r>
    </w:p>
    <w:p>
      <w:pPr>
        <w:spacing w:after="0" w:line="132" w:lineRule="exact"/>
        <w:rPr>
          <w:sz w:val="20"/>
          <w:szCs w:val="20"/>
          <w:color w:val="auto"/>
        </w:rPr>
      </w:pPr>
    </w:p>
    <w:p>
      <w:pPr>
        <w:ind w:left="20" w:right="219" w:firstLine="228"/>
        <w:spacing w:after="0" w:line="254" w:lineRule="auto"/>
        <w:rPr>
          <w:sz w:val="20"/>
          <w:szCs w:val="20"/>
          <w:color w:val="auto"/>
        </w:rPr>
      </w:pPr>
      <w:r>
        <w:rPr>
          <w:rFonts w:ascii="Times New Roman" w:cs="Times New Roman" w:eastAsia="Times New Roman" w:hAnsi="Times New Roman"/>
          <w:sz w:val="13"/>
          <w:szCs w:val="13"/>
          <w:color w:val="auto"/>
        </w:rPr>
        <w:t>The changes in the activities that comprise net cash used in investing activities for the year ended December 31, 2020 as compared to the year ended December 31, 2019 and for the year ended December 31, 2019 as compared to the year ended December 31, 2018 consisted of the following amounts (in thousands).</w:t>
      </w:r>
    </w:p>
    <w:tbl>
      <w:tblPr>
        <w:tblLayout w:type="fixed"/>
        <w:tblInd w:w="20" w:type="dxa"/>
        <w:tblCellMar>
          <w:top w:w="0" w:type="dxa"/>
          <w:left w:w="0" w:type="dxa"/>
          <w:bottom w:w="0" w:type="dxa"/>
          <w:right w:w="0" w:type="dxa"/>
        </w:tblCellMar>
      </w:tblPr>
      <w:tr>
        <w:trPr>
          <w:trHeight w:val="149"/>
        </w:trPr>
        <w:tc>
          <w:tcPr>
            <w:tcW w:w="6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4"/>
        </w:trPr>
        <w:tc>
          <w:tcPr>
            <w:tcW w:w="6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2020 vs 2019</w:t>
            </w:r>
          </w:p>
        </w:tc>
        <w:tc>
          <w:tcPr>
            <w:tcW w:w="160" w:type="dxa"/>
            <w:vAlign w:val="bottom"/>
          </w:tcPr>
          <w:p>
            <w:pPr>
              <w:spacing w:after="0"/>
              <w:rPr>
                <w:sz w:val="11"/>
                <w:szCs w:val="11"/>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2019 vs 2018</w:t>
            </w:r>
          </w:p>
        </w:tc>
        <w:tc>
          <w:tcPr>
            <w:tcW w:w="20" w:type="dxa"/>
            <w:vAlign w:val="bottom"/>
          </w:tcPr>
          <w:p>
            <w:pPr>
              <w:spacing w:after="0"/>
              <w:rPr>
                <w:sz w:val="11"/>
                <w:szCs w:val="11"/>
                <w:color w:val="auto"/>
              </w:rPr>
            </w:pPr>
          </w:p>
        </w:tc>
      </w:tr>
      <w:tr>
        <w:trPr>
          <w:trHeight w:val="132"/>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Increase in cash used for improvements to investments in real estate</w:t>
            </w:r>
          </w:p>
        </w:tc>
        <w:tc>
          <w:tcPr>
            <w:tcW w:w="14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(627,164)</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(111,740)</w:t>
            </w:r>
          </w:p>
        </w:tc>
        <w:tc>
          <w:tcPr>
            <w:tcW w:w="20" w:type="dxa"/>
            <w:vAlign w:val="bottom"/>
          </w:tcPr>
          <w:p>
            <w:pPr>
              <w:spacing w:after="0"/>
              <w:rPr>
                <w:sz w:val="11"/>
                <w:szCs w:val="11"/>
                <w:color w:val="auto"/>
              </w:rPr>
            </w:pPr>
          </w:p>
        </w:tc>
      </w:tr>
      <w:tr>
        <w:trPr>
          <w:trHeight w:val="142"/>
        </w:trPr>
        <w:tc>
          <w:tcPr>
            <w:tcW w:w="6600" w:type="dxa"/>
            <w:vAlign w:val="bottom"/>
          </w:tcPr>
          <w:p>
            <w:pPr>
              <w:spacing w:after="0"/>
              <w:rPr>
                <w:sz w:val="20"/>
                <w:szCs w:val="20"/>
                <w:color w:val="auto"/>
              </w:rPr>
            </w:pPr>
            <w:r>
              <w:rPr>
                <w:rFonts w:ascii="Times New Roman" w:cs="Times New Roman" w:eastAsia="Times New Roman" w:hAnsi="Times New Roman"/>
                <w:sz w:val="11"/>
                <w:szCs w:val="11"/>
                <w:color w:val="auto"/>
              </w:rPr>
              <w:t>(Increase) decrease in cash paid for acquisitions</w:t>
            </w:r>
          </w:p>
        </w:tc>
        <w:tc>
          <w:tcPr>
            <w:tcW w:w="14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(953,948)</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2,014,838</w:t>
            </w:r>
          </w:p>
        </w:tc>
        <w:tc>
          <w:tcPr>
            <w:tcW w:w="20" w:type="dxa"/>
            <w:vAlign w:val="bottom"/>
          </w:tcPr>
          <w:p>
            <w:pPr>
              <w:spacing w:after="0"/>
              <w:rPr>
                <w:sz w:val="12"/>
                <w:szCs w:val="12"/>
                <w:color w:val="auto"/>
              </w:rPr>
            </w:pPr>
          </w:p>
        </w:tc>
      </w:tr>
      <w:tr>
        <w:trPr>
          <w:trHeight w:val="14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Increase (decrease) in cash provided by cash assumed in acquisitions</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121,085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(116,000)</w:t>
            </w:r>
          </w:p>
        </w:tc>
        <w:tc>
          <w:tcPr>
            <w:tcW w:w="20" w:type="dxa"/>
            <w:vAlign w:val="bottom"/>
          </w:tcPr>
          <w:p>
            <w:pPr>
              <w:spacing w:after="0"/>
              <w:rPr>
                <w:sz w:val="12"/>
                <w:szCs w:val="12"/>
                <w:color w:val="auto"/>
              </w:rPr>
            </w:pPr>
          </w:p>
        </w:tc>
      </w:tr>
      <w:tr>
        <w:trPr>
          <w:trHeight w:val="142"/>
        </w:trPr>
        <w:tc>
          <w:tcPr>
            <w:tcW w:w="6600" w:type="dxa"/>
            <w:vAlign w:val="bottom"/>
          </w:tcPr>
          <w:p>
            <w:pPr>
              <w:spacing w:after="0"/>
              <w:rPr>
                <w:sz w:val="20"/>
                <w:szCs w:val="20"/>
                <w:color w:val="auto"/>
              </w:rPr>
            </w:pPr>
            <w:r>
              <w:rPr>
                <w:rFonts w:ascii="Times New Roman" w:cs="Times New Roman" w:eastAsia="Times New Roman" w:hAnsi="Times New Roman"/>
                <w:sz w:val="11"/>
                <w:szCs w:val="11"/>
                <w:color w:val="auto"/>
              </w:rPr>
              <w:t>Increase (decrease) in cash provided by proceeds from sale of properties, net of sales costs</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564,615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(286,204)</w:t>
            </w:r>
          </w:p>
        </w:tc>
        <w:tc>
          <w:tcPr>
            <w:tcW w:w="20" w:type="dxa"/>
            <w:vAlign w:val="bottom"/>
          </w:tcPr>
          <w:p>
            <w:pPr>
              <w:spacing w:after="0"/>
              <w:rPr>
                <w:sz w:val="12"/>
                <w:szCs w:val="12"/>
                <w:color w:val="auto"/>
              </w:rPr>
            </w:pPr>
          </w:p>
        </w:tc>
      </w:tr>
      <w:tr>
        <w:trPr>
          <w:trHeight w:val="14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(Decrease) increase in cash provided by proceeds from the joint venture transactions</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(1,494,881)</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1,494,881</w:t>
            </w:r>
          </w:p>
        </w:tc>
        <w:tc>
          <w:tcPr>
            <w:tcW w:w="20" w:type="dxa"/>
            <w:vAlign w:val="bottom"/>
          </w:tcPr>
          <w:p>
            <w:pPr>
              <w:spacing w:after="0"/>
              <w:rPr>
                <w:sz w:val="12"/>
                <w:szCs w:val="12"/>
                <w:color w:val="auto"/>
              </w:rPr>
            </w:pPr>
          </w:p>
        </w:tc>
      </w:tr>
      <w:tr>
        <w:trPr>
          <w:trHeight w:val="142"/>
        </w:trPr>
        <w:tc>
          <w:tcPr>
            <w:tcW w:w="6600" w:type="dxa"/>
            <w:vAlign w:val="bottom"/>
          </w:tcPr>
          <w:p>
            <w:pPr>
              <w:spacing w:after="0"/>
              <w:rPr>
                <w:sz w:val="20"/>
                <w:szCs w:val="20"/>
                <w:color w:val="auto"/>
              </w:rPr>
            </w:pPr>
            <w:r>
              <w:rPr>
                <w:rFonts w:ascii="Times New Roman" w:cs="Times New Roman" w:eastAsia="Times New Roman" w:hAnsi="Times New Roman"/>
                <w:sz w:val="11"/>
                <w:szCs w:val="11"/>
                <w:color w:val="auto"/>
              </w:rPr>
              <w:t>Decrease in cash used in deconsolidation of Ascenty cash</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97,081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(97,081)</w:t>
            </w:r>
          </w:p>
        </w:tc>
        <w:tc>
          <w:tcPr>
            <w:tcW w:w="20" w:type="dxa"/>
            <w:vAlign w:val="bottom"/>
          </w:tcPr>
          <w:p>
            <w:pPr>
              <w:spacing w:after="0"/>
              <w:rPr>
                <w:sz w:val="12"/>
                <w:szCs w:val="12"/>
                <w:color w:val="auto"/>
              </w:rPr>
            </w:pPr>
          </w:p>
        </w:tc>
      </w:tr>
      <w:tr>
        <w:trPr>
          <w:trHeight w:val="14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Increase in cash used for investments in unconsolidated joint ventures</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(43,222)</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(100,428)</w:t>
            </w:r>
          </w:p>
        </w:tc>
        <w:tc>
          <w:tcPr>
            <w:tcW w:w="20" w:type="dxa"/>
            <w:vAlign w:val="bottom"/>
          </w:tcPr>
          <w:p>
            <w:pPr>
              <w:spacing w:after="0"/>
              <w:rPr>
                <w:sz w:val="12"/>
                <w:szCs w:val="12"/>
                <w:color w:val="auto"/>
              </w:rPr>
            </w:pPr>
          </w:p>
        </w:tc>
      </w:tr>
      <w:tr>
        <w:trPr>
          <w:trHeight w:val="142"/>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changes</w:t>
            </w: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12,079</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(37,265)</w:t>
            </w:r>
          </w:p>
        </w:tc>
        <w:tc>
          <w:tcPr>
            <w:tcW w:w="20" w:type="dxa"/>
            <w:vAlign w:val="bottom"/>
          </w:tcPr>
          <w:p>
            <w:pPr>
              <w:spacing w:after="0"/>
              <w:rPr>
                <w:sz w:val="12"/>
                <w:szCs w:val="12"/>
                <w:color w:val="auto"/>
              </w:rPr>
            </w:pPr>
          </w:p>
        </w:tc>
      </w:tr>
      <w:tr>
        <w:trPr>
          <w:trHeight w:val="140"/>
        </w:trPr>
        <w:tc>
          <w:tcPr>
            <w:tcW w:w="6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(Increase) decrease in net cash used in investing activities</w:t>
            </w: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(2,324,355)</w:t>
            </w:r>
          </w:p>
        </w:tc>
        <w:tc>
          <w:tcPr>
            <w:tcW w:w="2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2,761,001</w:t>
            </w: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95" w:name="page96"/>
    <w:bookmarkEnd w:id="9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79" w:firstLine="228"/>
        <w:spacing w:after="0" w:line="252" w:lineRule="auto"/>
        <w:rPr>
          <w:sz w:val="20"/>
          <w:szCs w:val="20"/>
          <w:color w:val="auto"/>
        </w:rPr>
      </w:pPr>
      <w:r>
        <w:rPr>
          <w:rFonts w:ascii="Times New Roman" w:cs="Times New Roman" w:eastAsia="Times New Roman" w:hAnsi="Times New Roman"/>
          <w:sz w:val="13"/>
          <w:szCs w:val="13"/>
          <w:color w:val="auto"/>
        </w:rPr>
        <w:t>The increase in cash used in investing activities was primarily due to a decrease in cash proceeds from the formation of the Ascenty joint venture in March 2019 with Brookfield, net of deconsolidated Ascenty cash and the increase in cash used related to the acquisition of an additional 49% ownership interest in the Westin Building Exchange in February 2020 and the acquisition of the Frankfurt leasehold site in July 2020 classified within acquisitions of real estate, partially offset by the sale of 10 Powered Base Building® properties, which comprise 12 data centers, in North America to Mapletree in January 2020.</w:t>
      </w:r>
    </w:p>
    <w:p>
      <w:pPr>
        <w:spacing w:after="0" w:line="132" w:lineRule="exact"/>
        <w:rPr>
          <w:sz w:val="20"/>
          <w:szCs w:val="20"/>
          <w:color w:val="auto"/>
        </w:rPr>
      </w:pPr>
    </w:p>
    <w:p>
      <w:pPr>
        <w:ind w:left="20" w:right="339" w:firstLine="228"/>
        <w:spacing w:after="0" w:line="256" w:lineRule="auto"/>
        <w:rPr>
          <w:sz w:val="20"/>
          <w:szCs w:val="20"/>
          <w:color w:val="auto"/>
        </w:rPr>
      </w:pPr>
      <w:r>
        <w:rPr>
          <w:rFonts w:ascii="Times New Roman" w:cs="Times New Roman" w:eastAsia="Times New Roman" w:hAnsi="Times New Roman"/>
          <w:sz w:val="13"/>
          <w:szCs w:val="13"/>
          <w:color w:val="auto"/>
        </w:rPr>
        <w:t>The changes in the activities that comprise net cash provided by (used in) financing activities for the year ended December 31, 2020 as compared to the year ended December 31, 2019 and for the year ended December 31, 2019 as compared to the year ended December 31, 2018 for the Company consisted of the following amounts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8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6"/>
        </w:trPr>
        <w:tc>
          <w:tcPr>
            <w:tcW w:w="6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2020 vs 2019</w:t>
            </w:r>
          </w:p>
        </w:tc>
        <w:tc>
          <w:tcPr>
            <w:tcW w:w="120" w:type="dxa"/>
            <w:vAlign w:val="bottom"/>
          </w:tcPr>
          <w:p>
            <w:pPr>
              <w:spacing w:after="0"/>
              <w:rPr>
                <w:sz w:val="11"/>
                <w:szCs w:val="11"/>
                <w:color w:val="auto"/>
              </w:rPr>
            </w:pP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2019 vs 2018</w:t>
            </w:r>
          </w:p>
        </w:tc>
        <w:tc>
          <w:tcPr>
            <w:tcW w:w="20" w:type="dxa"/>
            <w:vAlign w:val="bottom"/>
          </w:tcPr>
          <w:p>
            <w:pPr>
              <w:spacing w:after="0"/>
              <w:rPr>
                <w:sz w:val="11"/>
                <w:szCs w:val="11"/>
                <w:color w:val="auto"/>
              </w:rPr>
            </w:pPr>
          </w:p>
        </w:tc>
      </w:tr>
      <w:tr>
        <w:trPr>
          <w:trHeight w:val="132"/>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Increase (decrease) in cash provided by short-term borrowings</w:t>
            </w: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539,247</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(414,482)</w:t>
            </w:r>
          </w:p>
        </w:tc>
        <w:tc>
          <w:tcPr>
            <w:tcW w:w="20" w:type="dxa"/>
            <w:vAlign w:val="bottom"/>
          </w:tcPr>
          <w:p>
            <w:pPr>
              <w:spacing w:after="0"/>
              <w:rPr>
                <w:sz w:val="11"/>
                <w:szCs w:val="11"/>
                <w:color w:val="auto"/>
              </w:rPr>
            </w:pPr>
          </w:p>
        </w:tc>
      </w:tr>
      <w:tr>
        <w:trPr>
          <w:trHeight w:val="142"/>
        </w:trPr>
        <w:tc>
          <w:tcPr>
            <w:tcW w:w="6860" w:type="dxa"/>
            <w:vAlign w:val="bottom"/>
          </w:tcPr>
          <w:p>
            <w:pPr>
              <w:spacing w:after="0"/>
              <w:rPr>
                <w:sz w:val="20"/>
                <w:szCs w:val="20"/>
                <w:color w:val="auto"/>
              </w:rPr>
            </w:pPr>
            <w:r>
              <w:rPr>
                <w:rFonts w:ascii="Times New Roman" w:cs="Times New Roman" w:eastAsia="Times New Roman" w:hAnsi="Times New Roman"/>
                <w:sz w:val="11"/>
                <w:szCs w:val="11"/>
                <w:color w:val="auto"/>
              </w:rPr>
              <w:t>Decrease (increase) in cash used for repayments of short-term borrowings</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1,110,252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(2,267,147)</w:t>
            </w:r>
          </w:p>
        </w:tc>
        <w:tc>
          <w:tcPr>
            <w:tcW w:w="20" w:type="dxa"/>
            <w:vAlign w:val="bottom"/>
          </w:tcPr>
          <w:p>
            <w:pPr>
              <w:spacing w:after="0"/>
              <w:rPr>
                <w:sz w:val="12"/>
                <w:szCs w:val="12"/>
                <w:color w:val="auto"/>
              </w:rPr>
            </w:pPr>
          </w:p>
        </w:tc>
      </w:tr>
      <w:tr>
        <w:trPr>
          <w:trHeight w:val="142"/>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Increase in cash provided by net proceeds from issuance of common and preferred stock, including equity plans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1,345,378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539,069</w:t>
            </w:r>
          </w:p>
        </w:tc>
        <w:tc>
          <w:tcPr>
            <w:tcW w:w="20" w:type="dxa"/>
            <w:vAlign w:val="bottom"/>
          </w:tcPr>
          <w:p>
            <w:pPr>
              <w:spacing w:after="0"/>
              <w:rPr>
                <w:sz w:val="12"/>
                <w:szCs w:val="12"/>
                <w:color w:val="auto"/>
              </w:rPr>
            </w:pPr>
          </w:p>
        </w:tc>
      </w:tr>
      <w:tr>
        <w:trPr>
          <w:trHeight w:val="142"/>
        </w:trPr>
        <w:tc>
          <w:tcPr>
            <w:tcW w:w="6860" w:type="dxa"/>
            <w:vAlign w:val="bottom"/>
          </w:tcPr>
          <w:p>
            <w:pPr>
              <w:spacing w:after="0"/>
              <w:rPr>
                <w:sz w:val="20"/>
                <w:szCs w:val="20"/>
                <w:color w:val="auto"/>
              </w:rPr>
            </w:pPr>
            <w:r>
              <w:rPr>
                <w:rFonts w:ascii="Times New Roman" w:cs="Times New Roman" w:eastAsia="Times New Roman" w:hAnsi="Times New Roman"/>
                <w:sz w:val="11"/>
                <w:szCs w:val="11"/>
                <w:color w:val="auto"/>
              </w:rPr>
              <w:t>Increase in cash provided by proceeds from secured / unsecured debt</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700,903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1,123,589</w:t>
            </w:r>
          </w:p>
        </w:tc>
        <w:tc>
          <w:tcPr>
            <w:tcW w:w="20" w:type="dxa"/>
            <w:vAlign w:val="bottom"/>
          </w:tcPr>
          <w:p>
            <w:pPr>
              <w:spacing w:after="0"/>
              <w:rPr>
                <w:sz w:val="12"/>
                <w:szCs w:val="12"/>
                <w:color w:val="auto"/>
              </w:rPr>
            </w:pPr>
          </w:p>
        </w:tc>
      </w:tr>
      <w:tr>
        <w:trPr>
          <w:trHeight w:val="142"/>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Increase in cash used for repayment on secured / unsecured debt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(1,088,623)</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(1,539,707)</w:t>
            </w:r>
          </w:p>
        </w:tc>
        <w:tc>
          <w:tcPr>
            <w:tcW w:w="20" w:type="dxa"/>
            <w:vAlign w:val="bottom"/>
          </w:tcPr>
          <w:p>
            <w:pPr>
              <w:spacing w:after="0"/>
              <w:rPr>
                <w:sz w:val="12"/>
                <w:szCs w:val="12"/>
                <w:color w:val="auto"/>
              </w:rPr>
            </w:pPr>
          </w:p>
        </w:tc>
      </w:tr>
      <w:tr>
        <w:trPr>
          <w:trHeight w:val="142"/>
        </w:trPr>
        <w:tc>
          <w:tcPr>
            <w:tcW w:w="6860" w:type="dxa"/>
            <w:vAlign w:val="bottom"/>
          </w:tcPr>
          <w:p>
            <w:pPr>
              <w:spacing w:after="0"/>
              <w:rPr>
                <w:sz w:val="20"/>
                <w:szCs w:val="20"/>
                <w:color w:val="auto"/>
              </w:rPr>
            </w:pPr>
            <w:r>
              <w:rPr>
                <w:rFonts w:ascii="Times New Roman" w:cs="Times New Roman" w:eastAsia="Times New Roman" w:hAnsi="Times New Roman"/>
                <w:sz w:val="11"/>
                <w:szCs w:val="11"/>
                <w:color w:val="auto"/>
              </w:rPr>
              <w:t>Increase in cash used for redemption of preferred stock</w:t>
            </w:r>
          </w:p>
        </w:tc>
        <w:tc>
          <w:tcPr>
            <w:tcW w:w="12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(134,950)</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(365,050)</w:t>
            </w:r>
          </w:p>
        </w:tc>
        <w:tc>
          <w:tcPr>
            <w:tcW w:w="20" w:type="dxa"/>
            <w:vAlign w:val="bottom"/>
          </w:tcPr>
          <w:p>
            <w:pPr>
              <w:spacing w:after="0"/>
              <w:rPr>
                <w:sz w:val="12"/>
                <w:szCs w:val="12"/>
                <w:color w:val="auto"/>
              </w:rPr>
            </w:pPr>
          </w:p>
        </w:tc>
      </w:tr>
      <w:tr>
        <w:trPr>
          <w:trHeight w:val="142"/>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Increase in cash used for dividend and distribution payments</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(242,552)</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(65,984)</w:t>
            </w:r>
          </w:p>
        </w:tc>
        <w:tc>
          <w:tcPr>
            <w:tcW w:w="20" w:type="dxa"/>
            <w:vAlign w:val="bottom"/>
          </w:tcPr>
          <w:p>
            <w:pPr>
              <w:spacing w:after="0"/>
              <w:rPr>
                <w:sz w:val="12"/>
                <w:szCs w:val="12"/>
                <w:color w:val="auto"/>
              </w:rPr>
            </w:pPr>
          </w:p>
        </w:tc>
      </w:tr>
      <w:tr>
        <w:trPr>
          <w:trHeight w:val="142"/>
        </w:trPr>
        <w:tc>
          <w:tcPr>
            <w:tcW w:w="6860" w:type="dxa"/>
            <w:vAlign w:val="bottom"/>
          </w:tcPr>
          <w:p>
            <w:pPr>
              <w:spacing w:after="0"/>
              <w:rPr>
                <w:sz w:val="20"/>
                <w:szCs w:val="20"/>
                <w:color w:val="auto"/>
              </w:rPr>
            </w:pPr>
            <w:r>
              <w:rPr>
                <w:rFonts w:ascii="Times New Roman" w:cs="Times New Roman" w:eastAsia="Times New Roman" w:hAnsi="Times New Roman"/>
                <w:sz w:val="11"/>
                <w:szCs w:val="11"/>
                <w:color w:val="auto"/>
              </w:rPr>
              <w:t>Other changes</w:t>
            </w:r>
          </w:p>
        </w:tc>
        <w:tc>
          <w:tcPr>
            <w:tcW w:w="12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(21,945)</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(39,578)</w:t>
            </w:r>
          </w:p>
        </w:tc>
        <w:tc>
          <w:tcPr>
            <w:tcW w:w="20" w:type="dxa"/>
            <w:vAlign w:val="bottom"/>
          </w:tcPr>
          <w:p>
            <w:pPr>
              <w:spacing w:after="0"/>
              <w:rPr>
                <w:sz w:val="12"/>
                <w:szCs w:val="12"/>
                <w:color w:val="auto"/>
              </w:rPr>
            </w:pPr>
          </w:p>
        </w:tc>
      </w:tr>
      <w:tr>
        <w:trPr>
          <w:trHeight w:val="140"/>
        </w:trPr>
        <w:tc>
          <w:tcPr>
            <w:tcW w:w="68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Increase (decrease) in net cash provided by financing activities</w:t>
            </w: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2,207,710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(3,029,290)</w:t>
            </w:r>
          </w:p>
        </w:tc>
        <w:tc>
          <w:tcPr>
            <w:tcW w:w="20" w:type="dxa"/>
            <w:vAlign w:val="bottom"/>
          </w:tcPr>
          <w:p>
            <w:pPr>
              <w:spacing w:after="0"/>
              <w:rPr>
                <w:sz w:val="12"/>
                <w:szCs w:val="12"/>
                <w:color w:val="auto"/>
              </w:rPr>
            </w:pPr>
          </w:p>
        </w:tc>
      </w:tr>
    </w:tbl>
    <w:p>
      <w:pPr>
        <w:spacing w:after="0" w:line="139" w:lineRule="exact"/>
        <w:rPr>
          <w:sz w:val="20"/>
          <w:szCs w:val="20"/>
          <w:color w:val="auto"/>
        </w:rPr>
      </w:pPr>
    </w:p>
    <w:p>
      <w:pPr>
        <w:ind w:left="20" w:right="119" w:firstLine="228"/>
        <w:spacing w:after="0" w:line="248" w:lineRule="auto"/>
        <w:rPr>
          <w:sz w:val="20"/>
          <w:szCs w:val="20"/>
          <w:color w:val="auto"/>
        </w:rPr>
      </w:pPr>
      <w:r>
        <w:rPr>
          <w:rFonts w:ascii="Times New Roman" w:cs="Times New Roman" w:eastAsia="Times New Roman" w:hAnsi="Times New Roman"/>
          <w:sz w:val="13"/>
          <w:szCs w:val="13"/>
          <w:color w:val="auto"/>
        </w:rPr>
        <w:t>The increase in cash provided by financing activities for the Company was primarily due to an increase in cash from the proceeds of sales of common stock issued under the ATM equity offering program and the full physical settlement of our forward equity agreements, a decrease in cash used for repayments of short-term borrowings and an increase in cash provided by the issuance of unsecured debt, net of repayments during the year ended December 31, 2020 as compared to the year ended December 31, 2019 partially offset by an increase in dividend and distribution payments for the year ended December 31, 2020 as compared to the same period in 2019 as a result of an increase in the number of shares outstanding due to the Interxion Combination and increased dividend amount per share of common stock in the year ended December 31, 2020 as compared to the same period in 2019.</w:t>
      </w:r>
    </w:p>
    <w:p>
      <w:pPr>
        <w:spacing w:after="0" w:line="136" w:lineRule="exact"/>
        <w:rPr>
          <w:sz w:val="20"/>
          <w:szCs w:val="20"/>
          <w:color w:val="auto"/>
        </w:rPr>
      </w:pPr>
    </w:p>
    <w:p>
      <w:pPr>
        <w:ind w:left="20" w:right="39" w:firstLine="228"/>
        <w:spacing w:after="0" w:line="249" w:lineRule="auto"/>
        <w:rPr>
          <w:sz w:val="20"/>
          <w:szCs w:val="20"/>
          <w:color w:val="auto"/>
        </w:rPr>
      </w:pPr>
      <w:r>
        <w:rPr>
          <w:rFonts w:ascii="Times New Roman" w:cs="Times New Roman" w:eastAsia="Times New Roman" w:hAnsi="Times New Roman"/>
          <w:sz w:val="13"/>
          <w:szCs w:val="13"/>
          <w:color w:val="auto"/>
        </w:rPr>
        <w:t>The decrease in cash provided by financing activities was due to an increase in cash used for repayments of short-term borrowings and a decrease in cash provided by short-term borrowings during the year ended December 31, 2019 as compared to 2018 and the increase in cash used to repay unsecured debt including the repayment of the floating rate notes due 2019, redemption and/or tender offers of the 5.875% 2020 Notes, 3.400% 2020 Notes and 2021 Notes along with an increase in cash used to redeem preferred stock including the redemption of the series H preferred stock offset by higher proceeds in 2019 from the issuance of the series K preferred stock, series L preferred stock, 2026 Notes, 1.125% 2028 Notes, 3.600% 2029 Notes and 2030 Notes. The increase in dividend and distribution payments for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96" w:name="page97"/>
    <w:bookmarkEnd w:id="9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239"/>
        <w:spacing w:after="0" w:line="268" w:lineRule="auto"/>
        <w:rPr>
          <w:sz w:val="20"/>
          <w:szCs w:val="20"/>
          <w:color w:val="auto"/>
        </w:rPr>
      </w:pPr>
      <w:r>
        <w:rPr>
          <w:rFonts w:ascii="Times New Roman" w:cs="Times New Roman" w:eastAsia="Times New Roman" w:hAnsi="Times New Roman"/>
          <w:sz w:val="13"/>
          <w:szCs w:val="13"/>
          <w:color w:val="auto"/>
        </w:rPr>
        <w:t>the year ended December 31, 2019 as compared to 2018 was a result of an increase in the number of shares outstanding and increased dividend amount per share of common stock in the year ended December 31, 2019 as compared to 2018.</w:t>
      </w:r>
    </w:p>
    <w:p>
      <w:pPr>
        <w:spacing w:after="0" w:line="122" w:lineRule="exact"/>
        <w:rPr>
          <w:sz w:val="20"/>
          <w:szCs w:val="20"/>
          <w:color w:val="auto"/>
        </w:rPr>
      </w:pPr>
    </w:p>
    <w:p>
      <w:pPr>
        <w:ind w:left="20" w:right="359" w:firstLine="228"/>
        <w:spacing w:after="0" w:line="256" w:lineRule="auto"/>
        <w:rPr>
          <w:sz w:val="20"/>
          <w:szCs w:val="20"/>
          <w:color w:val="auto"/>
        </w:rPr>
      </w:pPr>
      <w:r>
        <w:rPr>
          <w:rFonts w:ascii="Times New Roman" w:cs="Times New Roman" w:eastAsia="Times New Roman" w:hAnsi="Times New Roman"/>
          <w:sz w:val="13"/>
          <w:szCs w:val="13"/>
          <w:color w:val="auto"/>
        </w:rPr>
        <w:t>The changes in the activities that comprise net cash provided by (used in) financing activities for the year ended December 31, 2020 as compared to the year ended December 31, 2019 and for the year ended December 31, 2019 as compared to the year ended December 31, 2018 for the Operating Partnership consisted of the following amounts (in thousands).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66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2020 vs 2019</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2019 vs 2018</w:t>
            </w:r>
          </w:p>
        </w:tc>
      </w:tr>
      <w:tr>
        <w:trPr>
          <w:trHeight w:val="132"/>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Increase (decrease) in cash provided by short-term borrowings</w:t>
            </w:r>
          </w:p>
        </w:tc>
        <w:tc>
          <w:tcPr>
            <w:tcW w:w="14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539,247</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(414,482)</w:t>
            </w:r>
          </w:p>
        </w:tc>
      </w:tr>
      <w:tr>
        <w:trPr>
          <w:trHeight w:val="142"/>
        </w:trPr>
        <w:tc>
          <w:tcPr>
            <w:tcW w:w="6620" w:type="dxa"/>
            <w:vAlign w:val="bottom"/>
          </w:tcPr>
          <w:p>
            <w:pPr>
              <w:spacing w:after="0"/>
              <w:rPr>
                <w:sz w:val="20"/>
                <w:szCs w:val="20"/>
                <w:color w:val="auto"/>
              </w:rPr>
            </w:pPr>
            <w:r>
              <w:rPr>
                <w:rFonts w:ascii="Times New Roman" w:cs="Times New Roman" w:eastAsia="Times New Roman" w:hAnsi="Times New Roman"/>
                <w:sz w:val="11"/>
                <w:szCs w:val="11"/>
                <w:color w:val="auto"/>
              </w:rPr>
              <w:t>Decrease (increase) in cash used for repayments of short-term borrowings</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1,110,252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(2,267,147)</w:t>
            </w:r>
          </w:p>
        </w:tc>
      </w:tr>
      <w:tr>
        <w:trPr>
          <w:trHeight w:val="14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Increase in cash provided by general partner contributions</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1,345,378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539,069</w:t>
            </w:r>
          </w:p>
        </w:tc>
      </w:tr>
      <w:tr>
        <w:trPr>
          <w:trHeight w:val="142"/>
        </w:trPr>
        <w:tc>
          <w:tcPr>
            <w:tcW w:w="6620" w:type="dxa"/>
            <w:vAlign w:val="bottom"/>
          </w:tcPr>
          <w:p>
            <w:pPr>
              <w:spacing w:after="0"/>
              <w:rPr>
                <w:sz w:val="20"/>
                <w:szCs w:val="20"/>
                <w:color w:val="auto"/>
              </w:rPr>
            </w:pPr>
            <w:r>
              <w:rPr>
                <w:rFonts w:ascii="Times New Roman" w:cs="Times New Roman" w:eastAsia="Times New Roman" w:hAnsi="Times New Roman"/>
                <w:sz w:val="11"/>
                <w:szCs w:val="11"/>
                <w:color w:val="auto"/>
              </w:rPr>
              <w:t>Increase in cash provided by proceeds from secured / unsecured debt</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700,903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1,123,589</w:t>
            </w:r>
          </w:p>
        </w:tc>
      </w:tr>
      <w:tr>
        <w:trPr>
          <w:trHeight w:val="14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Increase in cash used for repayment on secured / unsecured debt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(1,088,623)</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(1,539,707)</w:t>
            </w:r>
          </w:p>
        </w:tc>
      </w:tr>
      <w:tr>
        <w:trPr>
          <w:trHeight w:val="142"/>
        </w:trPr>
        <w:tc>
          <w:tcPr>
            <w:tcW w:w="6620" w:type="dxa"/>
            <w:vAlign w:val="bottom"/>
          </w:tcPr>
          <w:p>
            <w:pPr>
              <w:spacing w:after="0"/>
              <w:rPr>
                <w:sz w:val="20"/>
                <w:szCs w:val="20"/>
                <w:color w:val="auto"/>
              </w:rPr>
            </w:pPr>
            <w:r>
              <w:rPr>
                <w:rFonts w:ascii="Times New Roman" w:cs="Times New Roman" w:eastAsia="Times New Roman" w:hAnsi="Times New Roman"/>
                <w:sz w:val="11"/>
                <w:szCs w:val="11"/>
                <w:color w:val="auto"/>
              </w:rPr>
              <w:t>Decrease in cash used for general partner distributions regarding redemption of preferred units</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(134,950)</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(365,050)</w:t>
            </w:r>
          </w:p>
        </w:tc>
      </w:tr>
      <w:tr>
        <w:trPr>
          <w:trHeight w:val="14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Increase in cash used for distribution payments</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(242,552)</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(65,984)</w:t>
            </w:r>
          </w:p>
        </w:tc>
      </w:tr>
      <w:tr>
        <w:trPr>
          <w:trHeight w:val="142"/>
        </w:trPr>
        <w:tc>
          <w:tcPr>
            <w:tcW w:w="6620" w:type="dxa"/>
            <w:vAlign w:val="bottom"/>
          </w:tcPr>
          <w:p>
            <w:pPr>
              <w:spacing w:after="0"/>
              <w:rPr>
                <w:sz w:val="20"/>
                <w:szCs w:val="20"/>
                <w:color w:val="auto"/>
              </w:rPr>
            </w:pPr>
            <w:r>
              <w:rPr>
                <w:rFonts w:ascii="Times New Roman" w:cs="Times New Roman" w:eastAsia="Times New Roman" w:hAnsi="Times New Roman"/>
                <w:sz w:val="11"/>
                <w:szCs w:val="11"/>
                <w:color w:val="auto"/>
              </w:rPr>
              <w:t>Other changes</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(21,945)</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(39,578)</w:t>
            </w:r>
          </w:p>
        </w:tc>
      </w:tr>
      <w:tr>
        <w:trPr>
          <w:trHeight w:val="140"/>
        </w:trPr>
        <w:tc>
          <w:tcPr>
            <w:tcW w:w="66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Increase (decrease) in net cash provided by financing activities</w:t>
            </w:r>
          </w:p>
        </w:tc>
        <w:tc>
          <w:tcPr>
            <w:tcW w:w="1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2,207,710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(3,029,290)</w:t>
            </w:r>
          </w:p>
        </w:tc>
      </w:tr>
    </w:tbl>
    <w:p>
      <w:pPr>
        <w:spacing w:after="0" w:line="139" w:lineRule="exact"/>
        <w:rPr>
          <w:sz w:val="20"/>
          <w:szCs w:val="20"/>
          <w:color w:val="auto"/>
        </w:rPr>
      </w:pPr>
    </w:p>
    <w:p>
      <w:pPr>
        <w:ind w:left="20" w:right="259" w:firstLine="228"/>
        <w:spacing w:after="0" w:line="248" w:lineRule="auto"/>
        <w:rPr>
          <w:sz w:val="20"/>
          <w:szCs w:val="20"/>
          <w:color w:val="auto"/>
        </w:rPr>
      </w:pPr>
      <w:r>
        <w:rPr>
          <w:rFonts w:ascii="Times New Roman" w:cs="Times New Roman" w:eastAsia="Times New Roman" w:hAnsi="Times New Roman"/>
          <w:sz w:val="13"/>
          <w:szCs w:val="13"/>
          <w:color w:val="auto"/>
        </w:rPr>
        <w:t>The increase in cash provided by financing activities for the Operating Partnership was primarily due to an increase in cash from the proceeds of sales of common stock issued under the ATM equity offering program and the full physical settlement of our forward equity agreements, a decrease in cash used for repayments of short-term borrowings and an increase in cash provided by the issuance of unsecured debt, net of repayments during the year ended December 31, 2020 as compared to the year ended December 31, 2019 partially offset by an increase in distribution payments for the year ended December 31, 2020 as compared to the same period in 2019 as a result of an increase in the number of units outstanding due to the Interxion Combination and increased distribution amount per common unit in the year ended December 31, 2020 as compared to the same period in 2019.</w:t>
      </w:r>
    </w:p>
    <w:p>
      <w:pPr>
        <w:spacing w:after="0" w:line="136" w:lineRule="exact"/>
        <w:rPr>
          <w:sz w:val="20"/>
          <w:szCs w:val="20"/>
          <w:color w:val="auto"/>
        </w:rPr>
      </w:pPr>
    </w:p>
    <w:p>
      <w:pPr>
        <w:ind w:left="20" w:right="39" w:firstLine="228"/>
        <w:spacing w:after="0" w:line="273" w:lineRule="auto"/>
        <w:rPr>
          <w:sz w:val="20"/>
          <w:szCs w:val="20"/>
          <w:color w:val="auto"/>
        </w:rPr>
      </w:pPr>
      <w:r>
        <w:rPr>
          <w:rFonts w:ascii="Times New Roman" w:cs="Times New Roman" w:eastAsia="Times New Roman" w:hAnsi="Times New Roman"/>
          <w:sz w:val="12"/>
          <w:szCs w:val="12"/>
          <w:color w:val="auto"/>
        </w:rPr>
        <w:t>The decrease in cash provided by financing activities was due to an increase in cash used for repayments of short-term borrowings and a decrease in cash provided by short-term borrowings during the year ended December 31, 2019 as compared to 2018 and the increase in cash used to repay unsecured debt including the repayment of the floating rate notes due 2019, redemption and/or tender offers of the 5.875% 2020 Notes, 3.400% 2020 Notes and 2021 Notes along with an increase in cash used to redeem preferred units including the redemption of the series H preferred units offset by higher proceeds in 2019 from the issuance of the series K preferred units, series L preferred units, 2026 Notes, 1.125% 2028 Notes, 3.600% 2029 Notes and 2030 Notes. The increase in distribution payments for the year ended December 31, 2019 as compared to 2018 was a result of an increase in the number of units outstanding and increased distribution amount per common unit in the year ended December 31, 2019 as compared to 2018.</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Noncontrolling Interests in Operating Partnership</w:t>
      </w:r>
    </w:p>
    <w:p>
      <w:pPr>
        <w:spacing w:after="0" w:line="156" w:lineRule="exact"/>
        <w:rPr>
          <w:sz w:val="20"/>
          <w:szCs w:val="20"/>
          <w:color w:val="auto"/>
        </w:rPr>
      </w:pPr>
    </w:p>
    <w:p>
      <w:pPr>
        <w:ind w:left="20" w:right="279" w:firstLine="228"/>
        <w:spacing w:after="0" w:line="256" w:lineRule="auto"/>
        <w:rPr>
          <w:sz w:val="20"/>
          <w:szCs w:val="20"/>
          <w:color w:val="auto"/>
        </w:rPr>
      </w:pPr>
      <w:r>
        <w:rPr>
          <w:rFonts w:ascii="Times New Roman" w:cs="Times New Roman" w:eastAsia="Times New Roman" w:hAnsi="Times New Roman"/>
          <w:sz w:val="13"/>
          <w:szCs w:val="13"/>
          <w:color w:val="auto"/>
        </w:rPr>
        <w:t>Noncontrolling interests relate to the common units in our Operating Partnership that are not owned by Digital Realty Trust, Inc., which, as of December 31, 2020, amounted to 2.8% of our Operating Partnership common units. Historically, our Operating Partnership has issued common units to third party sellers in connection with our acquisition of real estate interests from such third parties.</w:t>
      </w:r>
    </w:p>
    <w:p>
      <w:pPr>
        <w:spacing w:after="0" w:line="129" w:lineRule="exact"/>
        <w:rPr>
          <w:sz w:val="20"/>
          <w:szCs w:val="20"/>
          <w:color w:val="auto"/>
        </w:rPr>
      </w:pPr>
    </w:p>
    <w:p>
      <w:pPr>
        <w:ind w:left="20" w:right="79" w:firstLine="228"/>
        <w:spacing w:after="0" w:line="249" w:lineRule="auto"/>
        <w:rPr>
          <w:sz w:val="20"/>
          <w:szCs w:val="20"/>
          <w:color w:val="auto"/>
        </w:rPr>
      </w:pPr>
      <w:r>
        <w:rPr>
          <w:rFonts w:ascii="Times New Roman" w:cs="Times New Roman" w:eastAsia="Times New Roman" w:hAnsi="Times New Roman"/>
          <w:sz w:val="13"/>
          <w:szCs w:val="13"/>
          <w:color w:val="auto"/>
        </w:rPr>
        <w:t>Limited partners have the right to require our Operating Partnership to redeem part or all of their common units for cash based upon the fair market value of an equivalent number of shares of Digital Realty Trust, Inc. common stock at the time of the redemption. Alternatively, we may elect to acquire those common units in exchange for shares of Digital Realty Trust, Inc. common stock on a one-for-one basis, subject to adjustment in the event of stock splits, stock dividends, issuance of stock rights, specified extraordinary distributions and similar events. As of December 31, 2020, approximately 0.2 million common units of the Operating Partnership that were issued to certain former unitholders of DuPont Fabros Technology, L.P. in connection with the Company’s acquisition of DuPont Fabros Technology, Inc. were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97" w:name="page98"/>
    <w:bookmarkEnd w:id="9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outstanding, which are subject to certain restrictions and, accordingly, are not presented as permanent capital in the consolidated balance sheet.</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Inflation</w:t>
      </w:r>
    </w:p>
    <w:p>
      <w:pPr>
        <w:spacing w:after="0" w:line="156" w:lineRule="exact"/>
        <w:rPr>
          <w:sz w:val="20"/>
          <w:szCs w:val="20"/>
          <w:color w:val="auto"/>
        </w:rPr>
      </w:pPr>
    </w:p>
    <w:p>
      <w:pPr>
        <w:ind w:left="20" w:right="179" w:firstLine="228"/>
        <w:spacing w:after="0" w:line="268" w:lineRule="auto"/>
        <w:rPr>
          <w:sz w:val="20"/>
          <w:szCs w:val="20"/>
          <w:color w:val="auto"/>
        </w:rPr>
      </w:pPr>
      <w:r>
        <w:rPr>
          <w:rFonts w:ascii="Times New Roman" w:cs="Times New Roman" w:eastAsia="Times New Roman" w:hAnsi="Times New Roman"/>
          <w:sz w:val="13"/>
          <w:szCs w:val="13"/>
          <w:color w:val="auto"/>
        </w:rPr>
        <w:t>Many of our leases provide for separate real estate tax and operating expense escalations. In addition, many of the leases provide for fixed base rent increases. We believe that inflationary increases may be at least partially offset by the contractual rent increases and expense escalations described above.</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Funds From Operations</w:t>
      </w:r>
    </w:p>
    <w:p>
      <w:pPr>
        <w:spacing w:after="0" w:line="156" w:lineRule="exact"/>
        <w:rPr>
          <w:sz w:val="20"/>
          <w:szCs w:val="20"/>
          <w:color w:val="auto"/>
        </w:rPr>
      </w:pPr>
    </w:p>
    <w:p>
      <w:pPr>
        <w:ind w:left="20" w:right="59" w:firstLine="228"/>
        <w:spacing w:after="0" w:line="246" w:lineRule="auto"/>
        <w:rPr>
          <w:sz w:val="20"/>
          <w:szCs w:val="20"/>
          <w:color w:val="auto"/>
        </w:rPr>
      </w:pPr>
      <w:r>
        <w:rPr>
          <w:rFonts w:ascii="Times New Roman" w:cs="Times New Roman" w:eastAsia="Times New Roman" w:hAnsi="Times New Roman"/>
          <w:sz w:val="13"/>
          <w:szCs w:val="13"/>
          <w:color w:val="auto"/>
        </w:rPr>
        <w:t>We calculate funds from operations, or FFO, in accordance with the standards established by the National Association of Real Estate Investment Trusts (Nareit) in the Nareit Funds From Operations White Paper - 2018 Restatement. FFO represents net income (loss) (computed in accordance with GAAP), excluding gains (or losses) from sales of property, a gain from a pre-existing relationship, impairment charges and real estate related depreciation and amortization (excluding amortization of deferred financing costs) and after adjustments for unconsolidated partnerships and joint ventures. Management uses FFO as a supplemental performance measure because, in excluding real estate related depreciation and amortization and gains and losses from property dispositions and after adjustments for unconsolidated partnerships and joint ventures, it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properties that result from use or market conditions, nor the level of capital expenditures and capitalized leasing commissions necessary to maintain the operating performance of our properties, all of which have real economic effect and could materially impact our financial condition and results from operations, the utility of FFO as a measure of our performance is limited. Other REITs may not calculate FFO in accordance with the Nareit definition and, accordingly, our FFO may not be comparable to other REITs’ FFO. FFO should be considered only as a supplement to net income computed in accordance with GAAP as a measure of our performance.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Reconciliation of Net Income Available to Common Stockholders to Funds From Operations (FFO)</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per share and unit data)</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44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r>
        <w:trPr>
          <w:trHeight w:val="94"/>
        </w:trPr>
        <w:tc>
          <w:tcPr>
            <w:tcW w:w="446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jc w:val="right"/>
              <w:ind w:right="30"/>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jc w:val="right"/>
              <w:ind w:right="530"/>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26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10"/>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r>
      <w:tr>
        <w:trPr>
          <w:trHeight w:val="94"/>
        </w:trPr>
        <w:tc>
          <w:tcPr>
            <w:tcW w:w="4460" w:type="dxa"/>
            <w:vAlign w:val="bottom"/>
            <w:shd w:val="clear" w:color="auto" w:fill="CCEEFF"/>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Net Income Available to Common Stockholders</w:t>
            </w:r>
          </w:p>
        </w:tc>
        <w:tc>
          <w:tcPr>
            <w:tcW w:w="8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263,342</w:t>
            </w: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493,011</w:t>
            </w:r>
          </w:p>
        </w:tc>
        <w:tc>
          <w:tcPr>
            <w:tcW w:w="260" w:type="dxa"/>
            <w:vAlign w:val="bottom"/>
            <w:shd w:val="clear" w:color="auto" w:fill="CCEEFF"/>
          </w:tcPr>
          <w:p>
            <w:pPr>
              <w:spacing w:after="0"/>
              <w:rPr>
                <w:sz w:val="8"/>
                <w:szCs w:val="8"/>
                <w:color w:val="auto"/>
              </w:rPr>
            </w:pPr>
          </w:p>
        </w:tc>
        <w:tc>
          <w:tcPr>
            <w:tcW w:w="3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249,930</w:t>
            </w:r>
          </w:p>
        </w:tc>
      </w:tr>
      <w:tr>
        <w:trPr>
          <w:trHeight w:val="104"/>
        </w:trPr>
        <w:tc>
          <w:tcPr>
            <w:tcW w:w="446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Adjustments:</w:t>
            </w: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4"/>
        </w:trPr>
        <w:tc>
          <w:tcPr>
            <w:tcW w:w="4460" w:type="dxa"/>
            <w:vAlign w:val="bottom"/>
            <w:shd w:val="clear" w:color="auto" w:fill="CCEEFF"/>
          </w:tcPr>
          <w:p>
            <w:pPr>
              <w:ind w:left="240"/>
              <w:spacing w:after="0" w:line="104" w:lineRule="exact"/>
              <w:rPr>
                <w:sz w:val="20"/>
                <w:szCs w:val="20"/>
                <w:color w:val="auto"/>
              </w:rPr>
            </w:pPr>
            <w:r>
              <w:rPr>
                <w:rFonts w:ascii="Times New Roman" w:cs="Times New Roman" w:eastAsia="Times New Roman" w:hAnsi="Times New Roman"/>
                <w:sz w:val="10"/>
                <w:szCs w:val="10"/>
                <w:color w:val="auto"/>
              </w:rPr>
              <w:t>Non-controlling interests in operating partnership</w:t>
            </w:r>
          </w:p>
        </w:tc>
        <w:tc>
          <w:tcPr>
            <w:tcW w:w="8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9,500</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21,100</w:t>
            </w:r>
          </w:p>
        </w:tc>
        <w:tc>
          <w:tcPr>
            <w:tcW w:w="2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10,180</w:t>
            </w:r>
          </w:p>
        </w:tc>
      </w:tr>
      <w:tr>
        <w:trPr>
          <w:trHeight w:val="104"/>
        </w:trPr>
        <w:tc>
          <w:tcPr>
            <w:tcW w:w="4460" w:type="dxa"/>
            <w:vAlign w:val="bottom"/>
          </w:tcPr>
          <w:p>
            <w:pPr>
              <w:ind w:left="240"/>
              <w:spacing w:after="0" w:line="105" w:lineRule="exact"/>
              <w:rPr>
                <w:sz w:val="20"/>
                <w:szCs w:val="20"/>
                <w:color w:val="auto"/>
              </w:rPr>
            </w:pPr>
            <w:r>
              <w:rPr>
                <w:rFonts w:ascii="Times New Roman" w:cs="Times New Roman" w:eastAsia="Times New Roman" w:hAnsi="Times New Roman"/>
                <w:sz w:val="8"/>
                <w:szCs w:val="8"/>
                <w:color w:val="auto"/>
              </w:rPr>
              <w:t xml:space="preserve">Real estate related depreciation &amp; amortization </w:t>
            </w:r>
            <w:r>
              <w:rPr>
                <w:rFonts w:ascii="Times New Roman" w:cs="Times New Roman" w:eastAsia="Times New Roman" w:hAnsi="Times New Roman"/>
                <w:sz w:val="12"/>
                <w:szCs w:val="12"/>
                <w:color w:val="auto"/>
                <w:vertAlign w:val="superscript"/>
              </w:rPr>
              <w:t>(1)</w:t>
            </w:r>
          </w:p>
        </w:tc>
        <w:tc>
          <w:tcPr>
            <w:tcW w:w="820" w:type="dxa"/>
            <w:vAlign w:val="bottom"/>
          </w:tcPr>
          <w:p>
            <w:pPr>
              <w:spacing w:after="0"/>
              <w:rPr>
                <w:sz w:val="9"/>
                <w:szCs w:val="9"/>
                <w:color w:val="auto"/>
              </w:rPr>
            </w:pPr>
          </w:p>
        </w:tc>
        <w:tc>
          <w:tcPr>
            <w:tcW w:w="5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1,341,836</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1,149,240</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1,173,917</w:t>
            </w:r>
          </w:p>
        </w:tc>
      </w:tr>
      <w:tr>
        <w:trPr>
          <w:trHeight w:val="104"/>
        </w:trPr>
        <w:tc>
          <w:tcPr>
            <w:tcW w:w="4460" w:type="dxa"/>
            <w:vAlign w:val="bottom"/>
            <w:shd w:val="clear" w:color="auto" w:fill="CCEEFF"/>
          </w:tcPr>
          <w:p>
            <w:pPr>
              <w:ind w:left="240"/>
              <w:spacing w:after="0" w:line="104" w:lineRule="exact"/>
              <w:rPr>
                <w:sz w:val="20"/>
                <w:szCs w:val="20"/>
                <w:color w:val="auto"/>
              </w:rPr>
            </w:pPr>
            <w:r>
              <w:rPr>
                <w:rFonts w:ascii="Times New Roman" w:cs="Times New Roman" w:eastAsia="Times New Roman" w:hAnsi="Times New Roman"/>
                <w:sz w:val="10"/>
                <w:szCs w:val="10"/>
                <w:color w:val="auto"/>
              </w:rPr>
              <w:t>Unconsolidated JV real estate related depreciation &amp; amortization</w:t>
            </w:r>
          </w:p>
        </w:tc>
        <w:tc>
          <w:tcPr>
            <w:tcW w:w="8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77,730</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52,716</w:t>
            </w:r>
          </w:p>
        </w:tc>
        <w:tc>
          <w:tcPr>
            <w:tcW w:w="2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14,587</w:t>
            </w:r>
          </w:p>
        </w:tc>
      </w:tr>
      <w:tr>
        <w:trPr>
          <w:trHeight w:val="104"/>
        </w:trPr>
        <w:tc>
          <w:tcPr>
            <w:tcW w:w="4460" w:type="dxa"/>
            <w:vAlign w:val="bottom"/>
          </w:tcPr>
          <w:p>
            <w:pPr>
              <w:ind w:left="240"/>
              <w:spacing w:after="0" w:line="104" w:lineRule="exact"/>
              <w:rPr>
                <w:sz w:val="20"/>
                <w:szCs w:val="20"/>
                <w:color w:val="auto"/>
              </w:rPr>
            </w:pPr>
            <w:r>
              <w:rPr>
                <w:rFonts w:ascii="Times New Roman" w:cs="Times New Roman" w:eastAsia="Times New Roman" w:hAnsi="Times New Roman"/>
                <w:sz w:val="10"/>
                <w:szCs w:val="10"/>
                <w:color w:val="auto"/>
              </w:rPr>
              <w:t>Gain on disposition of properties</w:t>
            </w:r>
          </w:p>
        </w:tc>
        <w:tc>
          <w:tcPr>
            <w:tcW w:w="820" w:type="dxa"/>
            <w:vAlign w:val="bottom"/>
          </w:tcPr>
          <w:p>
            <w:pPr>
              <w:spacing w:after="0"/>
              <w:rPr>
                <w:sz w:val="9"/>
                <w:szCs w:val="9"/>
                <w:color w:val="auto"/>
              </w:rPr>
            </w:pPr>
          </w:p>
        </w:tc>
        <w:tc>
          <w:tcPr>
            <w:tcW w:w="740" w:type="dxa"/>
            <w:vAlign w:val="bottom"/>
            <w:gridSpan w:val="2"/>
          </w:tcPr>
          <w:p>
            <w:pPr>
              <w:jc w:val="right"/>
              <w:ind w:right="240"/>
              <w:spacing w:after="0" w:line="104" w:lineRule="exact"/>
              <w:rPr>
                <w:sz w:val="20"/>
                <w:szCs w:val="20"/>
                <w:color w:val="auto"/>
              </w:rPr>
            </w:pPr>
            <w:r>
              <w:rPr>
                <w:rFonts w:ascii="Times New Roman" w:cs="Times New Roman" w:eastAsia="Times New Roman" w:hAnsi="Times New Roman"/>
                <w:sz w:val="10"/>
                <w:szCs w:val="10"/>
                <w:color w:val="auto"/>
              </w:rPr>
              <w:t>(316,894)</w:t>
            </w:r>
          </w:p>
        </w:tc>
        <w:tc>
          <w:tcPr>
            <w:tcW w:w="80" w:type="dxa"/>
            <w:vAlign w:val="bottom"/>
          </w:tcPr>
          <w:p>
            <w:pPr>
              <w:spacing w:after="0"/>
              <w:rPr>
                <w:sz w:val="9"/>
                <w:szCs w:val="9"/>
                <w:color w:val="auto"/>
              </w:rPr>
            </w:pPr>
          </w:p>
        </w:tc>
        <w:tc>
          <w:tcPr>
            <w:tcW w:w="1540" w:type="dxa"/>
            <w:vAlign w:val="bottom"/>
            <w:gridSpan w:val="2"/>
          </w:tcPr>
          <w:p>
            <w:pPr>
              <w:jc w:val="right"/>
              <w:ind w:right="240"/>
              <w:spacing w:after="0" w:line="104" w:lineRule="exact"/>
              <w:rPr>
                <w:sz w:val="20"/>
                <w:szCs w:val="20"/>
                <w:color w:val="auto"/>
              </w:rPr>
            </w:pPr>
            <w:r>
              <w:rPr>
                <w:rFonts w:ascii="Times New Roman" w:cs="Times New Roman" w:eastAsia="Times New Roman" w:hAnsi="Times New Roman"/>
                <w:sz w:val="10"/>
                <w:szCs w:val="10"/>
                <w:color w:val="auto"/>
              </w:rPr>
              <w:t>(267,651)</w:t>
            </w:r>
          </w:p>
        </w:tc>
        <w:tc>
          <w:tcPr>
            <w:tcW w:w="300" w:type="dxa"/>
            <w:vAlign w:val="bottom"/>
          </w:tcPr>
          <w:p>
            <w:pPr>
              <w:spacing w:after="0"/>
              <w:rPr>
                <w:sz w:val="9"/>
                <w:szCs w:val="9"/>
                <w:color w:val="auto"/>
              </w:rPr>
            </w:pPr>
          </w:p>
        </w:tc>
        <w:tc>
          <w:tcPr>
            <w:tcW w:w="10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(80,049)</w:t>
            </w:r>
          </w:p>
        </w:tc>
      </w:tr>
      <w:tr>
        <w:trPr>
          <w:trHeight w:val="104"/>
        </w:trPr>
        <w:tc>
          <w:tcPr>
            <w:tcW w:w="4460" w:type="dxa"/>
            <w:vAlign w:val="bottom"/>
            <w:shd w:val="clear" w:color="auto" w:fill="CCEEFF"/>
          </w:tcPr>
          <w:p>
            <w:pPr>
              <w:ind w:left="240"/>
              <w:spacing w:after="0" w:line="104" w:lineRule="exact"/>
              <w:rPr>
                <w:sz w:val="20"/>
                <w:szCs w:val="20"/>
                <w:color w:val="auto"/>
              </w:rPr>
            </w:pPr>
            <w:r>
              <w:rPr>
                <w:rFonts w:ascii="Times New Roman" w:cs="Times New Roman" w:eastAsia="Times New Roman" w:hAnsi="Times New Roman"/>
                <w:sz w:val="10"/>
                <w:szCs w:val="10"/>
                <w:color w:val="auto"/>
              </w:rPr>
              <w:t>Impairment of investments in real estate</w:t>
            </w:r>
          </w:p>
        </w:tc>
        <w:tc>
          <w:tcPr>
            <w:tcW w:w="82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6,482</w:t>
            </w:r>
          </w:p>
        </w:tc>
        <w:tc>
          <w:tcPr>
            <w:tcW w:w="2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128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5,351</w:t>
            </w:r>
          </w:p>
        </w:tc>
        <w:tc>
          <w:tcPr>
            <w:tcW w:w="26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r>
      <w:tr>
        <w:trPr>
          <w:trHeight w:val="102"/>
        </w:trPr>
        <w:tc>
          <w:tcPr>
            <w:tcW w:w="4460" w:type="dxa"/>
            <w:vAlign w:val="bottom"/>
            <w:tcBorders>
              <w:bottom w:val="single" w:sz="8" w:color="CCEEFF"/>
            </w:tcBorders>
          </w:tcPr>
          <w:p>
            <w:pPr>
              <w:spacing w:after="0" w:line="94" w:lineRule="exact"/>
              <w:rPr>
                <w:sz w:val="20"/>
                <w:szCs w:val="20"/>
                <w:color w:val="auto"/>
              </w:rPr>
            </w:pPr>
            <w:r>
              <w:rPr>
                <w:rFonts w:ascii="Times New Roman" w:cs="Times New Roman" w:eastAsia="Times New Roman" w:hAnsi="Times New Roman"/>
                <w:sz w:val="7"/>
                <w:szCs w:val="7"/>
                <w:color w:val="auto"/>
              </w:rPr>
              <w:t xml:space="preserve">FFO available to common stockholders and unitholders </w:t>
            </w:r>
            <w:r>
              <w:rPr>
                <w:rFonts w:ascii="Times New Roman" w:cs="Times New Roman" w:eastAsia="Times New Roman" w:hAnsi="Times New Roman"/>
                <w:sz w:val="10"/>
                <w:szCs w:val="10"/>
                <w:color w:val="auto"/>
                <w:vertAlign w:val="superscript"/>
              </w:rPr>
              <w:t>(2)</w:t>
            </w:r>
          </w:p>
        </w:tc>
        <w:tc>
          <w:tcPr>
            <w:tcW w:w="8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1,381,996</w:t>
            </w:r>
          </w:p>
        </w:tc>
        <w:tc>
          <w:tcPr>
            <w:tcW w:w="24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Borders>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1,453,767</w:t>
            </w:r>
          </w:p>
        </w:tc>
        <w:tc>
          <w:tcPr>
            <w:tcW w:w="26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1,368,565</w:t>
            </w:r>
          </w:p>
        </w:tc>
      </w:tr>
      <w:tr>
        <w:trPr>
          <w:trHeight w:val="104"/>
        </w:trPr>
        <w:tc>
          <w:tcPr>
            <w:tcW w:w="44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Basic FFO per share and unit</w:t>
            </w:r>
          </w:p>
        </w:tc>
        <w:tc>
          <w:tcPr>
            <w:tcW w:w="8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5.16</w:t>
            </w: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6.69</w:t>
            </w:r>
          </w:p>
        </w:tc>
        <w:tc>
          <w:tcPr>
            <w:tcW w:w="26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6.39</w:t>
            </w:r>
          </w:p>
        </w:tc>
      </w:tr>
      <w:tr>
        <w:trPr>
          <w:trHeight w:val="104"/>
        </w:trPr>
        <w:tc>
          <w:tcPr>
            <w:tcW w:w="4460" w:type="dxa"/>
            <w:vAlign w:val="bottom"/>
          </w:tcPr>
          <w:p>
            <w:pPr>
              <w:spacing w:after="0" w:line="105" w:lineRule="exact"/>
              <w:rPr>
                <w:sz w:val="20"/>
                <w:szCs w:val="20"/>
                <w:color w:val="auto"/>
              </w:rPr>
            </w:pPr>
            <w:r>
              <w:rPr>
                <w:rFonts w:ascii="Times New Roman" w:cs="Times New Roman" w:eastAsia="Times New Roman" w:hAnsi="Times New Roman"/>
                <w:sz w:val="8"/>
                <w:szCs w:val="8"/>
                <w:color w:val="auto"/>
              </w:rPr>
              <w:t xml:space="preserve">Diluted FFO per share and unit </w:t>
            </w:r>
            <w:r>
              <w:rPr>
                <w:rFonts w:ascii="Times New Roman" w:cs="Times New Roman" w:eastAsia="Times New Roman" w:hAnsi="Times New Roman"/>
                <w:sz w:val="12"/>
                <w:szCs w:val="12"/>
                <w:color w:val="auto"/>
                <w:vertAlign w:val="superscript"/>
              </w:rPr>
              <w:t>(2)</w:t>
            </w:r>
          </w:p>
        </w:tc>
        <w:tc>
          <w:tcPr>
            <w:tcW w:w="820" w:type="dxa"/>
            <w:vAlign w:val="bottom"/>
          </w:tcPr>
          <w:p>
            <w:pPr>
              <w:jc w:val="right"/>
              <w:ind w:right="75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5.11</w:t>
            </w:r>
          </w:p>
        </w:tc>
        <w:tc>
          <w:tcPr>
            <w:tcW w:w="240" w:type="dxa"/>
            <w:vAlign w:val="bottom"/>
          </w:tcPr>
          <w:p>
            <w:pPr>
              <w:spacing w:after="0"/>
              <w:rPr>
                <w:sz w:val="9"/>
                <w:szCs w:val="9"/>
                <w:color w:val="auto"/>
              </w:rPr>
            </w:pPr>
          </w:p>
        </w:tc>
        <w:tc>
          <w:tcPr>
            <w:tcW w:w="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6.66</w:t>
            </w:r>
          </w:p>
        </w:tc>
        <w:tc>
          <w:tcPr>
            <w:tcW w:w="260" w:type="dxa"/>
            <w:vAlign w:val="bottom"/>
          </w:tcPr>
          <w:p>
            <w:pPr>
              <w:spacing w:after="0"/>
              <w:rPr>
                <w:sz w:val="9"/>
                <w:szCs w:val="9"/>
                <w:color w:val="auto"/>
              </w:rPr>
            </w:pPr>
          </w:p>
        </w:tc>
        <w:tc>
          <w:tcPr>
            <w:tcW w:w="300" w:type="dxa"/>
            <w:vAlign w:val="bottom"/>
          </w:tcPr>
          <w:p>
            <w:pPr>
              <w:jc w:val="right"/>
              <w:ind w:right="235"/>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6.37</w:t>
            </w:r>
          </w:p>
        </w:tc>
      </w:tr>
      <w:tr>
        <w:trPr>
          <w:trHeight w:val="104"/>
        </w:trPr>
        <w:tc>
          <w:tcPr>
            <w:tcW w:w="44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Weighted average common stock and units outstanding</w:t>
            </w:r>
          </w:p>
        </w:tc>
        <w:tc>
          <w:tcPr>
            <w:tcW w:w="8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86"/>
        </w:trPr>
        <w:tc>
          <w:tcPr>
            <w:tcW w:w="4460" w:type="dxa"/>
            <w:vAlign w:val="bottom"/>
          </w:tcPr>
          <w:p>
            <w:pPr>
              <w:ind w:left="240"/>
              <w:spacing w:after="0" w:line="86" w:lineRule="exact"/>
              <w:rPr>
                <w:sz w:val="20"/>
                <w:szCs w:val="20"/>
                <w:color w:val="auto"/>
              </w:rPr>
            </w:pPr>
            <w:r>
              <w:rPr>
                <w:rFonts w:ascii="Times New Roman" w:cs="Times New Roman" w:eastAsia="Times New Roman" w:hAnsi="Times New Roman"/>
                <w:sz w:val="9"/>
                <w:szCs w:val="9"/>
                <w:color w:val="auto"/>
              </w:rPr>
              <w:t>Basic</w:t>
            </w:r>
          </w:p>
        </w:tc>
        <w:tc>
          <w:tcPr>
            <w:tcW w:w="820" w:type="dxa"/>
            <w:vAlign w:val="bottom"/>
          </w:tcPr>
          <w:p>
            <w:pPr>
              <w:spacing w:after="0"/>
              <w:rPr>
                <w:sz w:val="7"/>
                <w:szCs w:val="7"/>
                <w:color w:val="auto"/>
              </w:rPr>
            </w:pPr>
          </w:p>
        </w:tc>
        <w:tc>
          <w:tcPr>
            <w:tcW w:w="50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268,073</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217,285</w:t>
            </w: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214,313</w:t>
            </w:r>
          </w:p>
        </w:tc>
      </w:tr>
      <w:tr>
        <w:trPr>
          <w:trHeight w:val="112"/>
        </w:trPr>
        <w:tc>
          <w:tcPr>
            <w:tcW w:w="4460" w:type="dxa"/>
            <w:vAlign w:val="bottom"/>
          </w:tcPr>
          <w:p>
            <w:pPr>
              <w:ind w:left="240"/>
              <w:spacing w:after="0" w:line="113" w:lineRule="exact"/>
              <w:rPr>
                <w:sz w:val="20"/>
                <w:szCs w:val="20"/>
                <w:color w:val="auto"/>
              </w:rPr>
            </w:pPr>
            <w:r>
              <w:rPr>
                <w:rFonts w:ascii="Times New Roman" w:cs="Times New Roman" w:eastAsia="Times New Roman" w:hAnsi="Times New Roman"/>
                <w:sz w:val="9"/>
                <w:szCs w:val="9"/>
                <w:color w:val="auto"/>
              </w:rPr>
              <w:t xml:space="preserve">Diluted </w:t>
            </w:r>
            <w:r>
              <w:rPr>
                <w:rFonts w:ascii="Times New Roman" w:cs="Times New Roman" w:eastAsia="Times New Roman" w:hAnsi="Times New Roman"/>
                <w:sz w:val="13"/>
                <w:szCs w:val="13"/>
                <w:color w:val="auto"/>
                <w:vertAlign w:val="superscript"/>
              </w:rPr>
              <w:t>(2)</w:t>
            </w:r>
          </w:p>
        </w:tc>
        <w:tc>
          <w:tcPr>
            <w:tcW w:w="82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270,497</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218,440</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214,951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5683885" cy="660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83885" cy="66040"/>
                    </a:xfrm>
                    <a:prstGeom prst="rect">
                      <a:avLst/>
                    </a:prstGeom>
                    <a:noFill/>
                  </pic:spPr>
                </pic:pic>
              </a:graphicData>
            </a:graphic>
          </wp:anchor>
        </w:drawing>
      </w:r>
    </w:p>
    <w:p>
      <w:pPr>
        <w:ind w:left="160" w:hanging="135"/>
        <w:spacing w:after="0" w:line="192" w:lineRule="auto"/>
        <w:tabs>
          <w:tab w:leader="none" w:pos="160" w:val="left"/>
        </w:tabs>
        <w:numPr>
          <w:ilvl w:val="0"/>
          <w:numId w:val="4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8"/>
          <w:szCs w:val="8"/>
          <w:color w:val="auto"/>
        </w:rPr>
        <w:t>Real estate related depreciation and amortization was computed as follows:</w:t>
      </w:r>
    </w:p>
    <w:tbl>
      <w:tblPr>
        <w:tblLayout w:type="fixed"/>
        <w:tblInd w:w="20" w:type="dxa"/>
        <w:tblCellMar>
          <w:top w:w="0" w:type="dxa"/>
          <w:left w:w="0" w:type="dxa"/>
          <w:bottom w:w="0" w:type="dxa"/>
          <w:right w:w="0" w:type="dxa"/>
        </w:tblCellMar>
      </w:tblPr>
      <w:tr>
        <w:trPr>
          <w:trHeight w:val="109"/>
        </w:trPr>
        <w:tc>
          <w:tcPr>
            <w:tcW w:w="4460" w:type="dxa"/>
            <w:vAlign w:val="bottom"/>
            <w:gridSpan w:val="2"/>
            <w:shd w:val="clear" w:color="auto" w:fill="CCEEFF"/>
          </w:tcPr>
          <w:p>
            <w:pPr>
              <w:ind w:left="240"/>
              <w:spacing w:after="0" w:line="109" w:lineRule="exact"/>
              <w:rPr>
                <w:sz w:val="20"/>
                <w:szCs w:val="20"/>
                <w:color w:val="auto"/>
              </w:rPr>
            </w:pPr>
            <w:r>
              <w:rPr>
                <w:rFonts w:ascii="Times New Roman" w:cs="Times New Roman" w:eastAsia="Times New Roman" w:hAnsi="Times New Roman"/>
                <w:sz w:val="10"/>
                <w:szCs w:val="10"/>
                <w:color w:val="auto"/>
              </w:rPr>
              <w:t>Depreciation and amortization per income statement</w:t>
            </w:r>
          </w:p>
        </w:tc>
        <w:tc>
          <w:tcPr>
            <w:tcW w:w="4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1,366,379</w:t>
            </w: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389"/>
              <w:spacing w:after="0" w:line="109"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1,163,774</w:t>
            </w:r>
          </w:p>
        </w:tc>
        <w:tc>
          <w:tcPr>
            <w:tcW w:w="260" w:type="dxa"/>
            <w:vAlign w:val="bottom"/>
            <w:shd w:val="clear" w:color="auto" w:fill="CCEEFF"/>
          </w:tcPr>
          <w:p>
            <w:pPr>
              <w:spacing w:after="0"/>
              <w:rPr>
                <w:sz w:val="9"/>
                <w:szCs w:val="9"/>
                <w:color w:val="auto"/>
              </w:rPr>
            </w:pPr>
          </w:p>
        </w:tc>
        <w:tc>
          <w:tcPr>
            <w:tcW w:w="4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1,186,896</w:t>
            </w:r>
          </w:p>
        </w:tc>
      </w:tr>
      <w:tr>
        <w:trPr>
          <w:trHeight w:val="104"/>
        </w:trPr>
        <w:tc>
          <w:tcPr>
            <w:tcW w:w="4460" w:type="dxa"/>
            <w:vAlign w:val="bottom"/>
            <w:gridSpan w:val="2"/>
          </w:tcPr>
          <w:p>
            <w:pPr>
              <w:ind w:left="240"/>
              <w:spacing w:after="0" w:line="104" w:lineRule="exact"/>
              <w:rPr>
                <w:sz w:val="20"/>
                <w:szCs w:val="20"/>
                <w:color w:val="auto"/>
              </w:rPr>
            </w:pPr>
            <w:r>
              <w:rPr>
                <w:rFonts w:ascii="Times New Roman" w:cs="Times New Roman" w:eastAsia="Times New Roman" w:hAnsi="Times New Roman"/>
                <w:sz w:val="10"/>
                <w:szCs w:val="10"/>
                <w:color w:val="auto"/>
              </w:rPr>
              <w:t>Non-real estate depreciation</w:t>
            </w:r>
          </w:p>
        </w:tc>
        <w:tc>
          <w:tcPr>
            <w:tcW w:w="460" w:type="dxa"/>
            <w:vAlign w:val="bottom"/>
          </w:tcPr>
          <w:p>
            <w:pPr>
              <w:spacing w:after="0"/>
              <w:rPr>
                <w:sz w:val="9"/>
                <w:szCs w:val="9"/>
                <w:color w:val="auto"/>
              </w:rPr>
            </w:pPr>
          </w:p>
        </w:tc>
        <w:tc>
          <w:tcPr>
            <w:tcW w:w="1100" w:type="dxa"/>
            <w:vAlign w:val="bottom"/>
            <w:gridSpan w:val="2"/>
          </w:tcPr>
          <w:p>
            <w:pPr>
              <w:jc w:val="right"/>
              <w:ind w:right="240"/>
              <w:spacing w:after="0" w:line="104" w:lineRule="exact"/>
              <w:rPr>
                <w:sz w:val="20"/>
                <w:szCs w:val="20"/>
                <w:color w:val="auto"/>
              </w:rPr>
            </w:pPr>
            <w:r>
              <w:rPr>
                <w:rFonts w:ascii="Times New Roman" w:cs="Times New Roman" w:eastAsia="Times New Roman" w:hAnsi="Times New Roman"/>
                <w:sz w:val="10"/>
                <w:szCs w:val="10"/>
                <w:color w:val="auto"/>
              </w:rPr>
              <w:t>(24,543)</w:t>
            </w:r>
          </w:p>
        </w:tc>
        <w:tc>
          <w:tcPr>
            <w:tcW w:w="500" w:type="dxa"/>
            <w:vAlign w:val="bottom"/>
          </w:tcPr>
          <w:p>
            <w:pPr>
              <w:spacing w:after="0"/>
              <w:rPr>
                <w:sz w:val="9"/>
                <w:szCs w:val="9"/>
                <w:color w:val="auto"/>
              </w:rPr>
            </w:pPr>
          </w:p>
        </w:tc>
        <w:tc>
          <w:tcPr>
            <w:tcW w:w="1120" w:type="dxa"/>
            <w:vAlign w:val="bottom"/>
            <w:gridSpan w:val="2"/>
          </w:tcPr>
          <w:p>
            <w:pPr>
              <w:jc w:val="right"/>
              <w:ind w:right="240"/>
              <w:spacing w:after="0" w:line="104" w:lineRule="exact"/>
              <w:rPr>
                <w:sz w:val="20"/>
                <w:szCs w:val="20"/>
                <w:color w:val="auto"/>
              </w:rPr>
            </w:pPr>
            <w:r>
              <w:rPr>
                <w:rFonts w:ascii="Times New Roman" w:cs="Times New Roman" w:eastAsia="Times New Roman" w:hAnsi="Times New Roman"/>
                <w:sz w:val="10"/>
                <w:szCs w:val="10"/>
                <w:color w:val="auto"/>
              </w:rPr>
              <w:t>(14,534)</w:t>
            </w:r>
          </w:p>
        </w:tc>
        <w:tc>
          <w:tcPr>
            <w:tcW w:w="460" w:type="dxa"/>
            <w:vAlign w:val="bottom"/>
          </w:tcPr>
          <w:p>
            <w:pPr>
              <w:spacing w:after="0"/>
              <w:rPr>
                <w:sz w:val="9"/>
                <w:szCs w:val="9"/>
                <w:color w:val="auto"/>
              </w:rPr>
            </w:pPr>
          </w:p>
        </w:tc>
        <w:tc>
          <w:tcPr>
            <w:tcW w:w="8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(12,979)</w:t>
            </w:r>
          </w:p>
        </w:tc>
      </w:tr>
      <w:tr>
        <w:trPr>
          <w:trHeight w:val="102"/>
        </w:trPr>
        <w:tc>
          <w:tcPr>
            <w:tcW w:w="2240" w:type="dxa"/>
            <w:vAlign w:val="bottom"/>
            <w:tcBorders>
              <w:top w:val="single" w:sz="8" w:color="CCEEFF"/>
              <w:bottom w:val="single" w:sz="8" w:color="CCEEFF"/>
            </w:tcBorders>
            <w:shd w:val="clear" w:color="auto" w:fill="CCEEFF"/>
          </w:tcPr>
          <w:p>
            <w:pPr>
              <w:spacing w:after="0"/>
              <w:rPr>
                <w:sz w:val="8"/>
                <w:szCs w:val="8"/>
                <w:color w:val="auto"/>
              </w:rPr>
            </w:pPr>
          </w:p>
        </w:tc>
        <w:tc>
          <w:tcPr>
            <w:tcW w:w="2220" w:type="dxa"/>
            <w:vAlign w:val="bottom"/>
            <w:tcBorders>
              <w:top w:val="single" w:sz="8" w:color="CCEEFF"/>
              <w:bottom w:val="single" w:sz="8" w:color="CCEEFF"/>
            </w:tcBorders>
            <w:shd w:val="clear" w:color="auto" w:fill="CCEEFF"/>
          </w:tcPr>
          <w:p>
            <w:pPr>
              <w:spacing w:after="0"/>
              <w:rPr>
                <w:sz w:val="8"/>
                <w:szCs w:val="8"/>
                <w:color w:val="auto"/>
              </w:rPr>
            </w:pPr>
          </w:p>
        </w:tc>
        <w:tc>
          <w:tcPr>
            <w:tcW w:w="46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1,341,836</w:t>
            </w:r>
          </w:p>
        </w:tc>
        <w:tc>
          <w:tcPr>
            <w:tcW w:w="240" w:type="dxa"/>
            <w:vAlign w:val="bottom"/>
            <w:tcBorders>
              <w:top w:val="single" w:sz="8" w:color="CCEEFF"/>
              <w:bottom w:val="single" w:sz="8" w:color="CCEEFF"/>
            </w:tcBorders>
            <w:shd w:val="clear" w:color="auto" w:fill="CCEEFF"/>
          </w:tcPr>
          <w:p>
            <w:pPr>
              <w:spacing w:after="0"/>
              <w:rPr>
                <w:sz w:val="8"/>
                <w:szCs w:val="8"/>
                <w:color w:val="auto"/>
              </w:rPr>
            </w:pPr>
          </w:p>
        </w:tc>
        <w:tc>
          <w:tcPr>
            <w:tcW w:w="500" w:type="dxa"/>
            <w:vAlign w:val="bottom"/>
            <w:tcBorders>
              <w:top w:val="single" w:sz="8" w:color="auto"/>
              <w:bottom w:val="single" w:sz="8" w:color="auto"/>
            </w:tcBorders>
            <w:shd w:val="clear" w:color="auto" w:fill="CCEEFF"/>
          </w:tcPr>
          <w:p>
            <w:pPr>
              <w:jc w:val="right"/>
              <w:ind w:right="389"/>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1,149,240</w:t>
            </w:r>
          </w:p>
        </w:tc>
        <w:tc>
          <w:tcPr>
            <w:tcW w:w="260" w:type="dxa"/>
            <w:vAlign w:val="bottom"/>
            <w:tcBorders>
              <w:top w:val="single" w:sz="8" w:color="CCEEFF"/>
              <w:bottom w:val="single" w:sz="8" w:color="CCEEFF"/>
            </w:tcBorders>
            <w:shd w:val="clear" w:color="auto" w:fill="CCEEFF"/>
          </w:tcPr>
          <w:p>
            <w:pPr>
              <w:spacing w:after="0"/>
              <w:rPr>
                <w:sz w:val="8"/>
                <w:szCs w:val="8"/>
                <w:color w:val="auto"/>
              </w:rPr>
            </w:pPr>
          </w:p>
        </w:tc>
        <w:tc>
          <w:tcPr>
            <w:tcW w:w="46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1,173,917</w:t>
            </w:r>
          </w:p>
        </w:tc>
      </w:tr>
      <w:tr>
        <w:trPr>
          <w:trHeight w:val="76"/>
        </w:trPr>
        <w:tc>
          <w:tcPr>
            <w:tcW w:w="2240" w:type="dxa"/>
            <w:vAlign w:val="bottom"/>
            <w:tcBorders>
              <w:bottom w:val="single" w:sz="8" w:color="auto"/>
            </w:tcBorders>
          </w:tcPr>
          <w:p>
            <w:pPr>
              <w:spacing w:after="0"/>
              <w:rPr>
                <w:sz w:val="6"/>
                <w:szCs w:val="6"/>
                <w:color w:val="auto"/>
              </w:rPr>
            </w:pPr>
          </w:p>
        </w:tc>
        <w:tc>
          <w:tcPr>
            <w:tcW w:w="2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r>
    </w:tbl>
    <w:p>
      <w:pPr>
        <w:spacing w:after="0" w:line="54" w:lineRule="exact"/>
        <w:rPr>
          <w:sz w:val="20"/>
          <w:szCs w:val="20"/>
          <w:color w:val="auto"/>
        </w:rPr>
      </w:pPr>
    </w:p>
    <w:p>
      <w:pPr>
        <w:ind w:left="260" w:right="99" w:hanging="235"/>
        <w:spacing w:after="0" w:line="268" w:lineRule="auto"/>
        <w:tabs>
          <w:tab w:leader="none" w:pos="26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all periods presented, we have excluded the effect of dilutive series C, series G, series H, series I, series J, series K and series L preferred stock, as applicable, that may be converted upon the occurrence of specified change in</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98" w:name="page99"/>
    <w:bookmarkEnd w:id="9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60" w:right="579"/>
        <w:spacing w:after="0" w:line="268" w:lineRule="auto"/>
        <w:rPr>
          <w:sz w:val="20"/>
          <w:szCs w:val="20"/>
          <w:color w:val="auto"/>
        </w:rPr>
      </w:pPr>
      <w:r>
        <w:rPr>
          <w:rFonts w:ascii="Times New Roman" w:cs="Times New Roman" w:eastAsia="Times New Roman" w:hAnsi="Times New Roman"/>
          <w:sz w:val="13"/>
          <w:szCs w:val="13"/>
          <w:color w:val="auto"/>
        </w:rPr>
        <w:t>control transactions as described in the articles supplementary governing the series C, series G, series H, series I, series J, series K and series L preferred stock, as applicable, which we consider highly improbable.</w:t>
      </w:r>
    </w:p>
    <w:p>
      <w:pPr>
        <w:spacing w:after="0" w:line="1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94"/>
        </w:trPr>
        <w:tc>
          <w:tcPr>
            <w:tcW w:w="4720" w:type="dxa"/>
            <w:vAlign w:val="bottom"/>
            <w:tcBorders>
              <w:bottom w:val="single" w:sz="8" w:color="CCEEFF"/>
            </w:tcBorders>
          </w:tcPr>
          <w:p>
            <w:pPr>
              <w:spacing w:after="0"/>
              <w:rPr>
                <w:sz w:val="8"/>
                <w:szCs w:val="8"/>
                <w:color w:val="auto"/>
              </w:rPr>
            </w:pPr>
          </w:p>
        </w:tc>
        <w:tc>
          <w:tcPr>
            <w:tcW w:w="74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48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CCEEFF"/>
            </w:tcBorders>
          </w:tcPr>
          <w:p>
            <w:pPr>
              <w:spacing w:after="0"/>
              <w:rPr>
                <w:sz w:val="8"/>
                <w:szCs w:val="8"/>
                <w:color w:val="auto"/>
              </w:rPr>
            </w:pPr>
          </w:p>
        </w:tc>
        <w:tc>
          <w:tcPr>
            <w:tcW w:w="1240" w:type="dxa"/>
            <w:vAlign w:val="bottom"/>
            <w:tcBorders>
              <w:top w:val="single" w:sz="8" w:color="auto"/>
              <w:bottom w:val="single" w:sz="8" w:color="auto"/>
            </w:tcBorders>
          </w:tcPr>
          <w:p>
            <w:pPr>
              <w:jc w:val="right"/>
              <w:ind w:right="460"/>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260" w:type="dxa"/>
            <w:vAlign w:val="bottom"/>
            <w:tcBorders>
              <w:top w:val="single" w:sz="8" w:color="auto"/>
              <w:bottom w:val="single" w:sz="8" w:color="CCEEFF"/>
            </w:tcBorders>
          </w:tcPr>
          <w:p>
            <w:pPr>
              <w:spacing w:after="0"/>
              <w:rPr>
                <w:sz w:val="8"/>
                <w:szCs w:val="8"/>
                <w:color w:val="auto"/>
              </w:rPr>
            </w:pPr>
          </w:p>
        </w:tc>
        <w:tc>
          <w:tcPr>
            <w:tcW w:w="1260" w:type="dxa"/>
            <w:vAlign w:val="bottom"/>
            <w:tcBorders>
              <w:top w:val="single" w:sz="8" w:color="auto"/>
              <w:bottom w:val="single" w:sz="8" w:color="auto"/>
            </w:tcBorders>
          </w:tcPr>
          <w:p>
            <w:pPr>
              <w:jc w:val="right"/>
              <w:ind w:right="460"/>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r>
      <w:tr>
        <w:trPr>
          <w:trHeight w:val="141"/>
        </w:trPr>
        <w:tc>
          <w:tcPr>
            <w:tcW w:w="47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Weighted average common stock and units outstanding</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9"/>
              </w:rPr>
              <w:t>268,073</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217,285</w:t>
            </w: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214,313</w:t>
            </w:r>
          </w:p>
        </w:tc>
      </w:tr>
      <w:tr>
        <w:trPr>
          <w:trHeight w:val="152"/>
        </w:trPr>
        <w:tc>
          <w:tcPr>
            <w:tcW w:w="5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 Effect of dilutive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2,424</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w:t>
            </w:r>
          </w:p>
        </w:tc>
      </w:tr>
      <w:tr>
        <w:trPr>
          <w:trHeight w:val="150"/>
        </w:trPr>
        <w:tc>
          <w:tcPr>
            <w:tcW w:w="472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Weighted average common stock and units outstanding—diluted</w:t>
            </w:r>
          </w:p>
        </w:tc>
        <w:tc>
          <w:tcPr>
            <w:tcW w:w="74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9"/>
              </w:rPr>
              <w:t>270,497</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218,440</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214,931</w:t>
            </w:r>
          </w:p>
        </w:tc>
      </w:tr>
    </w:tbl>
    <w:p>
      <w:pPr>
        <w:spacing w:after="0" w:line="147"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3"/>
          <w:szCs w:val="13"/>
          <w:b w:val="1"/>
          <w:bCs w:val="1"/>
          <w:color w:val="auto"/>
        </w:rPr>
        <w:t>ITEM 7A.</w:t>
      </w:r>
      <w:r>
        <w:rPr>
          <w:sz w:val="20"/>
          <w:szCs w:val="20"/>
          <w:color w:val="auto"/>
        </w:rPr>
        <w:tab/>
      </w:r>
      <w:r>
        <w:rPr>
          <w:rFonts w:ascii="Times New Roman" w:cs="Times New Roman" w:eastAsia="Times New Roman" w:hAnsi="Times New Roman"/>
          <w:sz w:val="12"/>
          <w:szCs w:val="12"/>
          <w:b w:val="1"/>
          <w:bCs w:val="1"/>
          <w:color w:val="auto"/>
        </w:rPr>
        <w:t>QUANTITATIVE AND QUALITATIVE DISCLOSURES ABOUT MARKET RISK</w:t>
      </w:r>
    </w:p>
    <w:p>
      <w:pPr>
        <w:spacing w:after="0" w:line="156" w:lineRule="exact"/>
        <w:rPr>
          <w:sz w:val="20"/>
          <w:szCs w:val="20"/>
          <w:color w:val="auto"/>
        </w:rPr>
      </w:pPr>
    </w:p>
    <w:p>
      <w:pPr>
        <w:ind w:left="20" w:right="159" w:firstLine="228"/>
        <w:spacing w:after="0" w:line="256" w:lineRule="auto"/>
        <w:rPr>
          <w:sz w:val="20"/>
          <w:szCs w:val="20"/>
          <w:color w:val="auto"/>
        </w:rPr>
      </w:pPr>
      <w:r>
        <w:rPr>
          <w:rFonts w:ascii="Times New Roman" w:cs="Times New Roman" w:eastAsia="Times New Roman" w:hAnsi="Times New Roman"/>
          <w:sz w:val="13"/>
          <w:szCs w:val="13"/>
          <w:color w:val="auto"/>
        </w:rPr>
        <w:t>Our future income, cash flows and fair values relevant to financial instruments depend upon prevalent market interest rates. Market risk refers to the risk of loss from adverse changes in market prices and interest rates. We do not use derivatives for trading or speculative purposes and only enter into contracts with major financial institutions based on their credit ratings and other factors.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Analysis of Debt between Fixed and Variable Rate</w:t>
      </w:r>
    </w:p>
    <w:p>
      <w:pPr>
        <w:spacing w:after="0" w:line="156" w:lineRule="exact"/>
        <w:rPr>
          <w:sz w:val="20"/>
          <w:szCs w:val="20"/>
          <w:color w:val="auto"/>
        </w:rPr>
      </w:pPr>
    </w:p>
    <w:p>
      <w:pPr>
        <w:ind w:left="20" w:right="39" w:firstLine="228"/>
        <w:spacing w:after="0" w:line="268" w:lineRule="auto"/>
        <w:rPr>
          <w:sz w:val="20"/>
          <w:szCs w:val="20"/>
          <w:color w:val="auto"/>
        </w:rPr>
      </w:pPr>
      <w:r>
        <w:rPr>
          <w:rFonts w:ascii="Times New Roman" w:cs="Times New Roman" w:eastAsia="Times New Roman" w:hAnsi="Times New Roman"/>
          <w:sz w:val="13"/>
          <w:szCs w:val="13"/>
          <w:color w:val="auto"/>
        </w:rPr>
        <w:t>We use interest rate swap agreements and fixed rate debt to reduce our exposure to interest rate movements. As of December 31, 2020, our consolidated debt was as follows (in millions):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right"/>
              <w:ind w:right="139"/>
              <w:spacing w:after="0"/>
              <w:rPr>
                <w:sz w:val="20"/>
                <w:szCs w:val="20"/>
                <w:color w:val="auto"/>
              </w:rPr>
            </w:pPr>
            <w:r>
              <w:rPr>
                <w:rFonts w:ascii="Times New Roman" w:cs="Times New Roman" w:eastAsia="Times New Roman" w:hAnsi="Times New Roman"/>
                <w:sz w:val="10"/>
                <w:szCs w:val="10"/>
                <w:b w:val="1"/>
                <w:bCs w:val="1"/>
                <w:color w:val="auto"/>
              </w:rPr>
              <w:t>Carrying Value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Estimated Fair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Borders>
              <w:bottom w:val="single" w:sz="8" w:color="CCEEFF"/>
            </w:tcBorders>
          </w:tcPr>
          <w:p>
            <w:pPr>
              <w:spacing w:after="0"/>
              <w:rPr>
                <w:sz w:val="10"/>
                <w:szCs w:val="10"/>
                <w:color w:val="auto"/>
              </w:rPr>
            </w:pPr>
          </w:p>
        </w:tc>
        <w:tc>
          <w:tcPr>
            <w:tcW w:w="3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Fixed rate debt</w:t>
            </w: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11,864.8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13,131.5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Variable rate debt subject to interest rate swaps</w:t>
            </w:r>
          </w:p>
        </w:tc>
        <w:tc>
          <w:tcPr>
            <w:tcW w:w="3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181.4</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Total fixed rate debt (including interest rate swaps)</w:t>
            </w: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12,046.2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13,312.9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Variable rate debt</w:t>
            </w:r>
          </w:p>
        </w:tc>
        <w:tc>
          <w:tcPr>
            <w:tcW w:w="3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1,366.8</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1,366.8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Total outstanding debt</w:t>
            </w:r>
          </w:p>
        </w:tc>
        <w:tc>
          <w:tcPr>
            <w:tcW w:w="3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13,413.0</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14,679.7</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120" w:type="dxa"/>
            <w:vAlign w:val="bottom"/>
          </w:tcPr>
          <w:p>
            <w:pPr>
              <w:jc w:val="right"/>
              <w:ind w:right="2017"/>
              <w:spacing w:after="0"/>
              <w:rPr>
                <w:sz w:val="20"/>
                <w:szCs w:val="20"/>
                <w:color w:val="auto"/>
              </w:rPr>
            </w:pPr>
            <w:r>
              <w:rPr>
                <w:rFonts w:ascii="Times New Roman" w:cs="Times New Roman" w:eastAsia="Times New Roman" w:hAnsi="Times New Roman"/>
                <w:sz w:val="13"/>
                <w:szCs w:val="13"/>
                <w:color w:val="auto"/>
              </w:rPr>
              <w:t>94</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02" w:right="1440" w:bottom="1440" w:gutter="0" w:footer="0" w:header="0"/>
        </w:sectPr>
      </w:pPr>
    </w:p>
    <w:bookmarkStart w:id="99" w:name="page100"/>
    <w:bookmarkEnd w:id="9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Interest rate derivatives and their fair values as of December 31, 2020 and December 31, 2018 were as follows (in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3"/>
            <w:vMerge w:val="restart"/>
          </w:tcPr>
          <w:p>
            <w:pPr>
              <w:jc w:val="center"/>
              <w:ind w:left="39"/>
              <w:spacing w:after="0"/>
              <w:rPr>
                <w:sz w:val="20"/>
                <w:szCs w:val="20"/>
                <w:color w:val="auto"/>
              </w:rPr>
            </w:pPr>
            <w:r>
              <w:rPr>
                <w:rFonts w:ascii="Times New Roman" w:cs="Times New Roman" w:eastAsia="Times New Roman" w:hAnsi="Times New Roman"/>
                <w:sz w:val="10"/>
                <w:szCs w:val="10"/>
                <w:b w:val="1"/>
                <w:bCs w:val="1"/>
                <w:color w:val="auto"/>
              </w:rPr>
              <w:t>Notional Amount</w:t>
            </w: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4"/>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Fair Value at Significant Other</w:t>
            </w:r>
          </w:p>
        </w:tc>
        <w:tc>
          <w:tcPr>
            <w:tcW w:w="0" w:type="dxa"/>
            <w:vAlign w:val="bottom"/>
          </w:tcPr>
          <w:p>
            <w:pPr>
              <w:spacing w:after="0"/>
              <w:rPr>
                <w:sz w:val="1"/>
                <w:szCs w:val="1"/>
                <w:color w:val="auto"/>
              </w:rPr>
            </w:pPr>
          </w:p>
        </w:tc>
      </w:tr>
      <w:tr>
        <w:trPr>
          <w:trHeight w:val="121"/>
        </w:trPr>
        <w:tc>
          <w:tcPr>
            <w:tcW w:w="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4"/>
          </w:tcPr>
          <w:p>
            <w:pPr>
              <w:jc w:val="right"/>
              <w:ind w:right="343"/>
              <w:spacing w:after="0"/>
              <w:rPr>
                <w:sz w:val="20"/>
                <w:szCs w:val="20"/>
                <w:color w:val="auto"/>
              </w:rPr>
            </w:pPr>
            <w:r>
              <w:rPr>
                <w:rFonts w:ascii="Times New Roman" w:cs="Times New Roman" w:eastAsia="Times New Roman" w:hAnsi="Times New Roman"/>
                <w:sz w:val="10"/>
                <w:szCs w:val="10"/>
                <w:b w:val="1"/>
                <w:bCs w:val="1"/>
                <w:color w:val="auto"/>
              </w:rPr>
              <w:t>Observable Inputs (Level 2)</w:t>
            </w:r>
          </w:p>
        </w:tc>
        <w:tc>
          <w:tcPr>
            <w:tcW w:w="0" w:type="dxa"/>
            <w:vAlign w:val="bottom"/>
          </w:tcPr>
          <w:p>
            <w:pPr>
              <w:spacing w:after="0"/>
              <w:rPr>
                <w:sz w:val="1"/>
                <w:szCs w:val="1"/>
                <w:color w:val="auto"/>
              </w:rPr>
            </w:pPr>
          </w:p>
        </w:tc>
      </w:tr>
      <w:tr>
        <w:trPr>
          <w:trHeight w:val="77"/>
        </w:trPr>
        <w:tc>
          <w:tcPr>
            <w:tcW w:w="480" w:type="dxa"/>
            <w:vAlign w:val="bottom"/>
          </w:tcPr>
          <w:p>
            <w:pPr>
              <w:spacing w:after="0"/>
              <w:rPr>
                <w:sz w:val="6"/>
                <w:szCs w:val="6"/>
                <w:color w:val="auto"/>
              </w:rPr>
            </w:pPr>
          </w:p>
        </w:tc>
        <w:tc>
          <w:tcPr>
            <w:tcW w:w="420" w:type="dxa"/>
            <w:vAlign w:val="bottom"/>
          </w:tcPr>
          <w:p>
            <w:pPr>
              <w:jc w:val="center"/>
              <w:spacing w:after="0" w:line="78" w:lineRule="exact"/>
              <w:rPr>
                <w:sz w:val="20"/>
                <w:szCs w:val="20"/>
                <w:color w:val="auto"/>
              </w:rPr>
            </w:pPr>
            <w:r>
              <w:rPr>
                <w:rFonts w:ascii="Times New Roman" w:cs="Times New Roman" w:eastAsia="Times New Roman" w:hAnsi="Times New Roman"/>
                <w:sz w:val="8"/>
                <w:szCs w:val="8"/>
                <w:b w:val="1"/>
                <w:bCs w:val="1"/>
                <w:color w:val="auto"/>
              </w:rPr>
              <w:t>As of</w:t>
            </w: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gridSpan w:val="2"/>
          </w:tcPr>
          <w:p>
            <w:pPr>
              <w:jc w:val="center"/>
              <w:ind w:right="340"/>
              <w:spacing w:after="0" w:line="78" w:lineRule="exact"/>
              <w:rPr>
                <w:sz w:val="20"/>
                <w:szCs w:val="20"/>
                <w:color w:val="auto"/>
              </w:rPr>
            </w:pPr>
            <w:r>
              <w:rPr>
                <w:rFonts w:ascii="Times New Roman" w:cs="Times New Roman" w:eastAsia="Times New Roman" w:hAnsi="Times New Roman"/>
                <w:sz w:val="8"/>
                <w:szCs w:val="8"/>
                <w:b w:val="1"/>
                <w:bCs w:val="1"/>
                <w:color w:val="auto"/>
              </w:rPr>
              <w:t>As of</w:t>
            </w:r>
          </w:p>
        </w:tc>
        <w:tc>
          <w:tcPr>
            <w:tcW w:w="140" w:type="dxa"/>
            <w:vAlign w:val="bottom"/>
          </w:tcPr>
          <w:p>
            <w:pPr>
              <w:spacing w:after="0"/>
              <w:rPr>
                <w:sz w:val="6"/>
                <w:szCs w:val="6"/>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Type of</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Strike</w:t>
            </w: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Effective</w:t>
            </w:r>
          </w:p>
        </w:tc>
        <w:tc>
          <w:tcPr>
            <w:tcW w:w="1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100" w:type="dxa"/>
            <w:vAlign w:val="bottom"/>
          </w:tcPr>
          <w:p>
            <w:pPr>
              <w:spacing w:after="0"/>
              <w:rPr>
                <w:sz w:val="6"/>
                <w:szCs w:val="6"/>
                <w:color w:val="auto"/>
              </w:rPr>
            </w:pPr>
          </w:p>
        </w:tc>
        <w:tc>
          <w:tcPr>
            <w:tcW w:w="960" w:type="dxa"/>
            <w:vAlign w:val="bottom"/>
            <w:gridSpan w:val="2"/>
          </w:tcPr>
          <w:p>
            <w:pPr>
              <w:jc w:val="center"/>
              <w:ind w:right="260"/>
              <w:spacing w:after="0" w:line="78" w:lineRule="exact"/>
              <w:rPr>
                <w:sz w:val="20"/>
                <w:szCs w:val="20"/>
                <w:color w:val="auto"/>
              </w:rPr>
            </w:pPr>
            <w:r>
              <w:rPr>
                <w:rFonts w:ascii="Times New Roman" w:cs="Times New Roman" w:eastAsia="Times New Roman" w:hAnsi="Times New Roman"/>
                <w:sz w:val="8"/>
                <w:szCs w:val="8"/>
                <w:b w:val="1"/>
                <w:bCs w:val="1"/>
                <w:color w:val="auto"/>
              </w:rPr>
              <w:t>As of</w:t>
            </w:r>
          </w:p>
        </w:tc>
        <w:tc>
          <w:tcPr>
            <w:tcW w:w="120" w:type="dxa"/>
            <w:vAlign w:val="bottom"/>
          </w:tcPr>
          <w:p>
            <w:pPr>
              <w:spacing w:after="0"/>
              <w:rPr>
                <w:sz w:val="6"/>
                <w:szCs w:val="6"/>
                <w:color w:val="auto"/>
              </w:rPr>
            </w:pPr>
          </w:p>
        </w:tc>
        <w:tc>
          <w:tcPr>
            <w:tcW w:w="800" w:type="dxa"/>
            <w:vAlign w:val="bottom"/>
          </w:tcPr>
          <w:p>
            <w:pPr>
              <w:jc w:val="center"/>
              <w:ind w:right="63"/>
              <w:spacing w:after="0" w:line="78" w:lineRule="exact"/>
              <w:rPr>
                <w:sz w:val="20"/>
                <w:szCs w:val="20"/>
                <w:color w:val="auto"/>
              </w:rPr>
            </w:pPr>
            <w:r>
              <w:rPr>
                <w:rFonts w:ascii="Times New Roman" w:cs="Times New Roman" w:eastAsia="Times New Roman" w:hAnsi="Times New Roman"/>
                <w:sz w:val="8"/>
                <w:szCs w:val="8"/>
                <w:b w:val="1"/>
                <w:bCs w:val="1"/>
                <w:color w:val="auto"/>
              </w:rPr>
              <w:t>As of</w:t>
            </w:r>
          </w:p>
        </w:tc>
        <w:tc>
          <w:tcPr>
            <w:tcW w:w="0" w:type="dxa"/>
            <w:vAlign w:val="bottom"/>
          </w:tcPr>
          <w:p>
            <w:pPr>
              <w:spacing w:after="0"/>
              <w:rPr>
                <w:sz w:val="1"/>
                <w:szCs w:val="1"/>
                <w:color w:val="auto"/>
              </w:rPr>
            </w:pPr>
          </w:p>
        </w:tc>
      </w:tr>
      <w:tr>
        <w:trPr>
          <w:trHeight w:val="104"/>
        </w:trPr>
        <w:tc>
          <w:tcPr>
            <w:tcW w:w="1360" w:type="dxa"/>
            <w:vAlign w:val="bottom"/>
            <w:gridSpan w:val="3"/>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gridSpan w:val="2"/>
          </w:tcPr>
          <w:p>
            <w:pPr>
              <w:jc w:val="center"/>
              <w:ind w:right="360"/>
              <w:spacing w:after="0" w:line="104"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ind w:right="300"/>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120" w:type="dxa"/>
            <w:vAlign w:val="bottom"/>
          </w:tcPr>
          <w:p>
            <w:pPr>
              <w:spacing w:after="0"/>
              <w:rPr>
                <w:sz w:val="9"/>
                <w:szCs w:val="9"/>
                <w:color w:val="auto"/>
              </w:rPr>
            </w:pPr>
          </w:p>
        </w:tc>
        <w:tc>
          <w:tcPr>
            <w:tcW w:w="800" w:type="dxa"/>
            <w:vAlign w:val="bottom"/>
          </w:tcPr>
          <w:p>
            <w:pPr>
              <w:jc w:val="center"/>
              <w:ind w:right="83"/>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21"/>
        </w:trPr>
        <w:tc>
          <w:tcPr>
            <w:tcW w:w="900" w:type="dxa"/>
            <w:vAlign w:val="bottom"/>
            <w:gridSpan w:val="2"/>
          </w:tcPr>
          <w:p>
            <w:pPr>
              <w:jc w:val="center"/>
              <w:ind w:left="401"/>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140" w:type="dxa"/>
            <w:vAlign w:val="bottom"/>
          </w:tcPr>
          <w:p>
            <w:pPr>
              <w:spacing w:after="0"/>
              <w:rPr>
                <w:sz w:val="10"/>
                <w:szCs w:val="10"/>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Derivative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Rate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Date</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100" w:type="dxa"/>
            <w:vAlign w:val="bottom"/>
          </w:tcPr>
          <w:p>
            <w:pPr>
              <w:spacing w:after="0"/>
              <w:rPr>
                <w:sz w:val="10"/>
                <w:szCs w:val="10"/>
                <w:color w:val="auto"/>
              </w:rPr>
            </w:pPr>
          </w:p>
        </w:tc>
        <w:tc>
          <w:tcPr>
            <w:tcW w:w="800" w:type="dxa"/>
            <w:vAlign w:val="bottom"/>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0" w:type="dxa"/>
            <w:vAlign w:val="bottom"/>
          </w:tcPr>
          <w:p>
            <w:pPr>
              <w:spacing w:after="0"/>
              <w:rPr>
                <w:sz w:val="1"/>
                <w:szCs w:val="1"/>
                <w:color w:val="auto"/>
              </w:rPr>
            </w:pPr>
          </w:p>
        </w:tc>
      </w:tr>
      <w:tr>
        <w:trPr>
          <w:trHeight w:val="113"/>
        </w:trPr>
        <w:tc>
          <w:tcPr>
            <w:tcW w:w="900" w:type="dxa"/>
            <w:vAlign w:val="bottom"/>
            <w:tcBorders>
              <w:top w:val="single" w:sz="8" w:color="auto"/>
              <w:bottom w:val="single" w:sz="8" w:color="auto"/>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i w:val="1"/>
                <w:iCs w:val="1"/>
                <w:color w:val="auto"/>
                <w:w w:val="95"/>
              </w:rPr>
              <w:t>Currently-paying</w:t>
            </w:r>
          </w:p>
        </w:tc>
        <w:tc>
          <w:tcPr>
            <w:tcW w:w="46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340" w:type="dxa"/>
            <w:vAlign w:val="bottom"/>
            <w:tcBorders>
              <w:top w:val="single" w:sz="8" w:color="auto"/>
              <w:bottom w:val="single" w:sz="8" w:color="CCEEFF"/>
            </w:tcBorders>
            <w:shd w:val="clear" w:color="auto" w:fill="CCEEFF"/>
          </w:tcPr>
          <w:p>
            <w:pPr>
              <w:spacing w:after="0"/>
              <w:rPr>
                <w:sz w:val="9"/>
                <w:szCs w:val="9"/>
                <w:color w:val="auto"/>
              </w:rPr>
            </w:pPr>
          </w:p>
        </w:tc>
        <w:tc>
          <w:tcPr>
            <w:tcW w:w="400" w:type="dxa"/>
            <w:vAlign w:val="bottom"/>
            <w:tcBorders>
              <w:top w:val="single" w:sz="8" w:color="auto"/>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78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76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94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94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80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CCEEFF"/>
            </w:tcBorders>
            <w:shd w:val="clear" w:color="auto" w:fill="CCEEFF"/>
          </w:tcPr>
          <w:p>
            <w:pPr>
              <w:spacing w:after="0"/>
              <w:rPr>
                <w:sz w:val="9"/>
                <w:szCs w:val="9"/>
                <w:color w:val="auto"/>
              </w:rPr>
            </w:pPr>
          </w:p>
        </w:tc>
        <w:tc>
          <w:tcPr>
            <w:tcW w:w="800" w:type="dxa"/>
            <w:vAlign w:val="bottom"/>
            <w:tcBorders>
              <w:top w:val="single" w:sz="8" w:color="auto"/>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0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i w:val="1"/>
                <w:iCs w:val="1"/>
                <w:color w:val="auto"/>
              </w:rPr>
              <w:t>contracts</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CCEEFF"/>
            </w:tcBorders>
            <w:gridSpan w:val="2"/>
          </w:tcPr>
          <w:p>
            <w:pPr>
              <w:jc w:val="right"/>
              <w:ind w:right="22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29,000</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9"/>
                <w:szCs w:val="9"/>
                <w:color w:val="auto"/>
                <w:w w:val="94"/>
              </w:rPr>
              <w:t>(1)</w:t>
            </w:r>
          </w:p>
        </w:tc>
        <w:tc>
          <w:tcPr>
            <w:tcW w:w="920" w:type="dxa"/>
            <w:vAlign w:val="bottom"/>
            <w:tcBorders>
              <w:top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Swap</w:t>
            </w: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40" w:type="dxa"/>
            <w:vAlign w:val="bottom"/>
            <w:tcBorders>
              <w:top w:val="single" w:sz="8" w:color="CCEEFF"/>
            </w:tcBorders>
          </w:tcPr>
          <w:p>
            <w:pPr>
              <w:spacing w:after="0"/>
              <w:rPr>
                <w:sz w:val="13"/>
                <w:szCs w:val="13"/>
                <w:color w:val="auto"/>
              </w:rPr>
            </w:pPr>
          </w:p>
        </w:tc>
        <w:tc>
          <w:tcPr>
            <w:tcW w:w="1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Apr 6, 2016</w:t>
            </w:r>
          </w:p>
        </w:tc>
        <w:tc>
          <w:tcPr>
            <w:tcW w:w="110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7"/>
              </w:rPr>
              <w:t>Jan 6, 2021</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52"/>
        </w:trPr>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(1)</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Swap</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Jan 15, 2016</w:t>
            </w:r>
          </w:p>
        </w:tc>
        <w:tc>
          <w:tcPr>
            <w:tcW w:w="1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6"/>
              </w:rPr>
              <w:t>Jan 15, 2021</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0" w:type="dxa"/>
            <w:vAlign w:val="bottom"/>
          </w:tcPr>
          <w:p>
            <w:pPr>
              <w:spacing w:after="0"/>
              <w:rPr>
                <w:sz w:val="1"/>
                <w:szCs w:val="1"/>
                <w:color w:val="auto"/>
              </w:rPr>
            </w:pPr>
          </w:p>
        </w:tc>
      </w:tr>
      <w:tr>
        <w:trPr>
          <w:trHeight w:val="152"/>
        </w:trPr>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104,000</w:t>
            </w:r>
          </w:p>
        </w:tc>
        <w:tc>
          <w:tcPr>
            <w:tcW w:w="140" w:type="dxa"/>
            <w:vAlign w:val="bottom"/>
          </w:tcPr>
          <w:p>
            <w:pPr>
              <w:jc w:val="center"/>
              <w:spacing w:after="0"/>
              <w:rPr>
                <w:sz w:val="20"/>
                <w:szCs w:val="20"/>
                <w:color w:val="auto"/>
              </w:rPr>
            </w:pPr>
            <w:r>
              <w:rPr>
                <w:rFonts w:ascii="Times New Roman" w:cs="Times New Roman" w:eastAsia="Times New Roman" w:hAnsi="Times New Roman"/>
                <w:sz w:val="9"/>
                <w:szCs w:val="9"/>
                <w:color w:val="auto"/>
              </w:rPr>
              <w:t>(1)</w:t>
            </w:r>
          </w:p>
        </w:tc>
        <w:tc>
          <w:tcPr>
            <w:tcW w:w="34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300,000</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(1)</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Swap</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w:t>
            </w:r>
          </w:p>
        </w:tc>
        <w:tc>
          <w:tcPr>
            <w:tcW w:w="14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6"/>
              </w:rPr>
              <w:t>Jan 15, 2016</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6"/>
              </w:rPr>
              <w:t>Jan 15, 2023</w:t>
            </w: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(2,773)</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w:t>
            </w:r>
          </w:p>
        </w:tc>
        <w:tc>
          <w:tcPr>
            <w:tcW w:w="0" w:type="dxa"/>
            <w:vAlign w:val="bottom"/>
          </w:tcPr>
          <w:p>
            <w:pPr>
              <w:spacing w:after="0"/>
              <w:rPr>
                <w:sz w:val="1"/>
                <w:szCs w:val="1"/>
                <w:color w:val="auto"/>
              </w:rPr>
            </w:pPr>
          </w:p>
        </w:tc>
      </w:tr>
      <w:tr>
        <w:trPr>
          <w:trHeight w:val="152"/>
        </w:trPr>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77,352</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9"/>
                <w:szCs w:val="9"/>
                <w:color w:val="auto"/>
              </w:rPr>
              <w:t>(2)</w:t>
            </w:r>
          </w:p>
        </w:tc>
        <w:tc>
          <w:tcPr>
            <w:tcW w:w="3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75,825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(2)</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Swap</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0.779</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Jan 15, 2016</w:t>
            </w:r>
          </w:p>
        </w:tc>
        <w:tc>
          <w:tcPr>
            <w:tcW w:w="1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6"/>
              </w:rPr>
              <w:t>Jan 15, 2021</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w:t>
            </w:r>
          </w:p>
        </w:tc>
        <w:tc>
          <w:tcPr>
            <w:tcW w:w="0" w:type="dxa"/>
            <w:vAlign w:val="bottom"/>
          </w:tcPr>
          <w:p>
            <w:pPr>
              <w:spacing w:after="0"/>
              <w:rPr>
                <w:sz w:val="1"/>
                <w:szCs w:val="1"/>
                <w:color w:val="auto"/>
              </w:rPr>
            </w:pPr>
          </w:p>
        </w:tc>
      </w:tr>
      <w:tr>
        <w:trPr>
          <w:trHeight w:val="150"/>
        </w:trPr>
        <w:tc>
          <w:tcPr>
            <w:tcW w:w="48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181,352</w:t>
            </w:r>
          </w:p>
        </w:tc>
        <w:tc>
          <w:tcPr>
            <w:tcW w:w="14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gridSpan w:val="2"/>
          </w:tcPr>
          <w:p>
            <w:pPr>
              <w:jc w:val="right"/>
              <w:ind w:right="40"/>
              <w:spacing w:after="0" w:line="141" w:lineRule="exact"/>
              <w:rPr>
                <w:sz w:val="20"/>
                <w:szCs w:val="20"/>
                <w:color w:val="auto"/>
              </w:rPr>
            </w:pPr>
            <w:r>
              <w:rPr>
                <w:rFonts w:ascii="Times New Roman" w:cs="Times New Roman" w:eastAsia="Times New Roman" w:hAnsi="Times New Roman"/>
                <w:sz w:val="13"/>
                <w:szCs w:val="13"/>
                <w:color w:val="auto"/>
              </w:rPr>
              <w:t>479,825</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(2,782)</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2,396</w:t>
            </w:r>
          </w:p>
        </w:tc>
        <w:tc>
          <w:tcPr>
            <w:tcW w:w="0" w:type="dxa"/>
            <w:vAlign w:val="bottom"/>
          </w:tcPr>
          <w:p>
            <w:pPr>
              <w:spacing w:after="0"/>
              <w:rPr>
                <w:sz w:val="1"/>
                <w:szCs w:val="1"/>
                <w:color w:val="auto"/>
              </w:rPr>
            </w:pPr>
          </w:p>
        </w:tc>
      </w:tr>
      <w:tr>
        <w:trPr>
          <w:trHeight w:val="76"/>
        </w:trPr>
        <w:tc>
          <w:tcPr>
            <w:tcW w:w="4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60" w:hanging="235"/>
        <w:spacing w:after="0"/>
        <w:tabs>
          <w:tab w:leader="none" w:pos="26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debt which bears interest based on one-month U.S. LIBOR.</w:t>
      </w:r>
    </w:p>
    <w:p>
      <w:pPr>
        <w:spacing w:after="0" w:line="15" w:lineRule="exact"/>
        <w:rPr>
          <w:rFonts w:ascii="Times New Roman" w:cs="Times New Roman" w:eastAsia="Times New Roman" w:hAnsi="Times New Roman"/>
          <w:sz w:val="13"/>
          <w:szCs w:val="13"/>
          <w:color w:val="auto"/>
        </w:rPr>
      </w:pPr>
    </w:p>
    <w:p>
      <w:pPr>
        <w:ind w:left="260" w:right="59" w:hanging="235"/>
        <w:spacing w:after="0" w:line="247" w:lineRule="auto"/>
        <w:tabs>
          <w:tab w:leader="none" w:pos="26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debt which bears interest based on one-month CDOR. Translation to U.S. dollars is based on exchange rates of $0.79 to 1.00 CAD as of December 31, 2020 and $0.77 to 1.00 CAD as of December 31, 2019.</w:t>
      </w:r>
    </w:p>
    <w:p>
      <w:pPr>
        <w:spacing w:after="0" w:line="133"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Sensitivity to Changes in Interest Rates</w:t>
      </w:r>
    </w:p>
    <w:p>
      <w:pPr>
        <w:spacing w:after="0" w:line="156"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table shows the effects if assumed changes in interest rates occurred, based on fair values and interest expense as of December 31, 2020:</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Assumed event</w:t>
            </w:r>
          </w:p>
        </w:tc>
        <w:tc>
          <w:tcPr>
            <w:tcW w:w="220" w:type="dxa"/>
            <w:vAlign w:val="bottom"/>
          </w:tcPr>
          <w:p>
            <w:pPr>
              <w:spacing w:after="0"/>
              <w:rPr>
                <w:sz w:val="10"/>
                <w:szCs w:val="10"/>
                <w:color w:val="auto"/>
              </w:rPr>
            </w:pPr>
          </w:p>
        </w:tc>
        <w:tc>
          <w:tcPr>
            <w:tcW w:w="1040" w:type="dxa"/>
            <w:vAlign w:val="bottom"/>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121"/>
        </w:trPr>
        <w:tc>
          <w:tcPr>
            <w:tcW w:w="7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 millions)</w:t>
            </w:r>
          </w:p>
        </w:tc>
        <w:tc>
          <w:tcPr>
            <w:tcW w:w="0" w:type="dxa"/>
            <w:vAlign w:val="bottom"/>
          </w:tcPr>
          <w:p>
            <w:pPr>
              <w:spacing w:after="0"/>
              <w:rPr>
                <w:sz w:val="1"/>
                <w:szCs w:val="1"/>
                <w:color w:val="auto"/>
              </w:rPr>
            </w:pPr>
          </w:p>
        </w:tc>
      </w:tr>
      <w:tr>
        <w:trPr>
          <w:trHeight w:val="141"/>
        </w:trPr>
        <w:tc>
          <w:tcPr>
            <w:tcW w:w="748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Increase in fair value of interest rate swaps following an assumed 10% increase in interest rates</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2"/>
        </w:trPr>
        <w:tc>
          <w:tcPr>
            <w:tcW w:w="7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Decrease in fair value of interest rate swaps following an assumed 10% decrease in interest rates</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2"/>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in annual interest expense on our debt that is variable rate and not subject to swapped interest following a 10% increase in interest rates</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52"/>
        </w:trPr>
        <w:tc>
          <w:tcPr>
            <w:tcW w:w="7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Decrease in annual interest expense on our debt that is variable rate and not subject to swapped interest following a 10% decrease in interest rates</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52"/>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in fair value of fixed rate debt following a 10% decrease in interest rates</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152"/>
        </w:trPr>
        <w:tc>
          <w:tcPr>
            <w:tcW w:w="7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Decrease in fair value of fixed rate debt following a 10% increase in interest rates</w:t>
            </w: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0" w:right="79" w:firstLine="228"/>
        <w:spacing w:after="0" w:line="252" w:lineRule="auto"/>
        <w:rPr>
          <w:sz w:val="20"/>
          <w:szCs w:val="20"/>
          <w:color w:val="auto"/>
        </w:rPr>
      </w:pPr>
      <w:r>
        <w:rPr>
          <w:rFonts w:ascii="Times New Roman" w:cs="Times New Roman" w:eastAsia="Times New Roman" w:hAnsi="Times New Roman"/>
          <w:sz w:val="13"/>
          <w:szCs w:val="13"/>
          <w:color w:val="auto"/>
        </w:rPr>
        <w:t>Interest risk amounts were determined by considering the impact of hypothetical interest rates on our financial instruments. These analyses do not consider the effect of any change in overall economic activity that could occur in that environment.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Foreign Currency Exchange Risk</w:t>
      </w:r>
    </w:p>
    <w:p>
      <w:pPr>
        <w:spacing w:after="0" w:line="156" w:lineRule="exact"/>
        <w:rPr>
          <w:sz w:val="20"/>
          <w:szCs w:val="20"/>
          <w:color w:val="auto"/>
        </w:rPr>
      </w:pPr>
    </w:p>
    <w:p>
      <w:pPr>
        <w:ind w:left="20" w:right="59" w:firstLine="228"/>
        <w:spacing w:after="0" w:line="247" w:lineRule="auto"/>
        <w:rPr>
          <w:sz w:val="20"/>
          <w:szCs w:val="20"/>
          <w:color w:val="auto"/>
        </w:rPr>
      </w:pPr>
      <w:r>
        <w:rPr>
          <w:rFonts w:ascii="Times New Roman" w:cs="Times New Roman" w:eastAsia="Times New Roman" w:hAnsi="Times New Roman"/>
          <w:sz w:val="13"/>
          <w:szCs w:val="13"/>
          <w:color w:val="auto"/>
        </w:rPr>
        <w:t>For the years ended December 31, 2020, 2019 and 2018, we had foreign operations, including through our investments in unconsolidated joint ventures, in the United Kingdom, Ireland, France, the Netherlands, Germany, Switzerland, Canada, Singapore, Australia, Japan, Hong Kong, South Korea and Brazil and we have added Austria, Belgium, Denmark, Spain, Sweden and Kenya as part of the Interxion Combination, which closed in March 2020. As such, we are subject to risk from the effects of exchange rate movements of foreign currencies, which may affect future costs and cash flows. Our foreign operations are conducted in the British pound sterling, Euro, Canadian dollar, Brazilian real, Singapore dollar, Australian dollar, Japanese Yen, Hong Kong dollar, South Korean won, Swiss franc, Danish krone, Swedish krona and the Kenyan shilling. Our primary currency exposures are to the British pound sterling, Euro and the Singapore dollar. As a result of the Ascenty joint venture and deconsolidation of Ascenty, our exposure to foreign exchange risk related to the Brazilian real is limited to the impact that currency has on our share of the Ascenty</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00" w:name="page101"/>
    <w:bookmarkEnd w:id="10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0" w:right="79"/>
        <w:spacing w:after="0" w:line="247" w:lineRule="auto"/>
        <w:rPr>
          <w:sz w:val="20"/>
          <w:szCs w:val="20"/>
          <w:color w:val="auto"/>
        </w:rPr>
      </w:pPr>
      <w:r>
        <w:rPr>
          <w:rFonts w:ascii="Times New Roman" w:cs="Times New Roman" w:eastAsia="Times New Roman" w:hAnsi="Times New Roman"/>
          <w:sz w:val="13"/>
          <w:szCs w:val="13"/>
          <w:color w:val="auto"/>
        </w:rPr>
        <w:t>joint venture’s operations and financial position. We attempt to mitigate a portion of the risk of currency fluctuation by financing our investments in the local currency denominations and we may also hedge well-defined transactional exposures with foreign currency forwards or options, although there can be no assurances that these will be effective. As a result, changes in the relation of any such foreign currency to U.S. dollars may affect our revenues, operating margins and distributions and may also affect the book value of our assets and the amount of stockholders’ equity. For the years ended December 31, 2020, 2019 and 2018, operating revenues from properties outside the United States contributed $1,301.8 million, $627.4 million and $564.4 million, respectively, which represented 33.3%, 19.5% and 18.5% of our operating revenues, respectively. Net investment in properties outside the United States was $9.3 billion and $3.7 billion as of December 31, 2020 and December 31, 2019, respectively. Net assets in foreign operations were approximately $5.7 billion and $(1.4) billion as of December 31, 2020 and December 31, 2019, respectively.</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Other</w:t>
      </w:r>
    </w:p>
    <w:p>
      <w:pPr>
        <w:spacing w:after="0" w:line="156" w:lineRule="exact"/>
        <w:rPr>
          <w:sz w:val="20"/>
          <w:szCs w:val="20"/>
          <w:color w:val="auto"/>
        </w:rPr>
      </w:pPr>
    </w:p>
    <w:p>
      <w:pPr>
        <w:ind w:left="20" w:right="119" w:firstLine="228"/>
        <w:spacing w:after="0" w:line="252" w:lineRule="auto"/>
        <w:rPr>
          <w:sz w:val="20"/>
          <w:szCs w:val="20"/>
          <w:color w:val="auto"/>
        </w:rPr>
      </w:pPr>
      <w:r>
        <w:rPr>
          <w:rFonts w:ascii="Times New Roman" w:cs="Times New Roman" w:eastAsia="Times New Roman" w:hAnsi="Times New Roman"/>
          <w:sz w:val="13"/>
          <w:szCs w:val="13"/>
          <w:color w:val="auto"/>
        </w:rPr>
        <w:t>Certain operating costs incurred by us, such as electricity, are subject to price fluctuations caused by the volatility of underlying commodity prices. In 2020, we added 154 megawatts of renewable energy contracts across our U.S. portfolio, bringing the total executed under long-term contracts to 556 megawatts of renewable energy. In 2019, we entered into a power purchase agreement to secure the renewable energy attributes from a solar farm in Virginia. In 2018, we entered into power purchase agreements to secure the renewable energy attributes from a solar farm in North Carolina to support the renewable energy needs of a customer in Virginia.</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01" w:name="page102"/>
    <w:bookmarkEnd w:id="10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8.</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FINANCIAL STATEMENTS AND SUPPLEMENTARY DATA</w:t>
            </w:r>
          </w:p>
        </w:tc>
        <w:tc>
          <w:tcPr>
            <w:tcW w:w="660" w:type="dxa"/>
            <w:vAlign w:val="bottom"/>
          </w:tcPr>
          <w:p>
            <w:pPr>
              <w:spacing w:after="0"/>
              <w:rPr>
                <w:sz w:val="14"/>
                <w:szCs w:val="14"/>
                <w:color w:val="auto"/>
              </w:rPr>
            </w:pPr>
          </w:p>
        </w:tc>
      </w:tr>
      <w:tr>
        <w:trPr>
          <w:trHeight w:val="304"/>
        </w:trPr>
        <w:tc>
          <w:tcPr>
            <w:tcW w:w="600" w:type="dxa"/>
            <w:vAlign w:val="bottom"/>
          </w:tcPr>
          <w:p>
            <w:pPr>
              <w:spacing w:after="0"/>
              <w:rPr>
                <w:sz w:val="24"/>
                <w:szCs w:val="24"/>
                <w:color w:val="auto"/>
              </w:rPr>
            </w:pPr>
          </w:p>
        </w:tc>
        <w:tc>
          <w:tcPr>
            <w:tcW w:w="77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INDEX TO THE CONSOLIDATED FINANCIAL STATEMENTS</w:t>
            </w:r>
          </w:p>
        </w:tc>
        <w:tc>
          <w:tcPr>
            <w:tcW w:w="660" w:type="dxa"/>
            <w:vAlign w:val="bottom"/>
          </w:tcPr>
          <w:p>
            <w:pPr>
              <w:spacing w:after="0"/>
              <w:rPr>
                <w:sz w:val="24"/>
                <w:szCs w:val="24"/>
                <w:color w:val="auto"/>
              </w:rPr>
            </w:pPr>
          </w:p>
        </w:tc>
      </w:tr>
      <w:tr>
        <w:trPr>
          <w:trHeight w:val="313"/>
        </w:trPr>
        <w:tc>
          <w:tcPr>
            <w:tcW w:w="6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0"/>
                <w:szCs w:val="10"/>
                <w:b w:val="1"/>
                <w:bCs w:val="1"/>
                <w:color w:val="auto"/>
              </w:rPr>
              <w:t>Page No.</w:t>
            </w:r>
          </w:p>
        </w:tc>
      </w:tr>
      <w:tr>
        <w:trPr>
          <w:trHeight w:val="179"/>
        </w:trPr>
        <w:tc>
          <w:tcPr>
            <w:tcW w:w="8300" w:type="dxa"/>
            <w:vAlign w:val="bottom"/>
            <w:gridSpan w:val="4"/>
          </w:tcPr>
          <w:p>
            <w:pPr>
              <w:spacing w:after="0"/>
              <w:rPr>
                <w:rFonts w:ascii="Times New Roman" w:cs="Times New Roman" w:eastAsia="Times New Roman" w:hAnsi="Times New Roman"/>
                <w:sz w:val="13"/>
                <w:szCs w:val="13"/>
                <w:u w:val="single" w:color="auto"/>
                <w:color w:val="0000EE"/>
              </w:rPr>
            </w:pPr>
            <w:hyperlink w:anchor="page103">
              <w:r>
                <w:rPr>
                  <w:rFonts w:ascii="Times New Roman" w:cs="Times New Roman" w:eastAsia="Times New Roman" w:hAnsi="Times New Roman"/>
                  <w:sz w:val="13"/>
                  <w:szCs w:val="13"/>
                  <w:u w:val="single" w:color="auto"/>
                  <w:color w:val="0000EE"/>
                </w:rPr>
                <w:t>Management’s Reports on Internal Control over Financial Reporting</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90"/>
        </w:trPr>
        <w:tc>
          <w:tcPr>
            <w:tcW w:w="8300" w:type="dxa"/>
            <w:vAlign w:val="bottom"/>
            <w:gridSpan w:val="4"/>
          </w:tcPr>
          <w:p>
            <w:pPr>
              <w:spacing w:after="0"/>
              <w:rPr>
                <w:rFonts w:ascii="Times New Roman" w:cs="Times New Roman" w:eastAsia="Times New Roman" w:hAnsi="Times New Roman"/>
                <w:sz w:val="13"/>
                <w:szCs w:val="13"/>
                <w:u w:val="single" w:color="auto"/>
                <w:color w:val="0000EE"/>
              </w:rPr>
            </w:pPr>
            <w:hyperlink w:anchor="page104">
              <w:r>
                <w:rPr>
                  <w:rFonts w:ascii="Times New Roman" w:cs="Times New Roman" w:eastAsia="Times New Roman" w:hAnsi="Times New Roman"/>
                  <w:sz w:val="13"/>
                  <w:szCs w:val="13"/>
                  <w:u w:val="single" w:color="auto"/>
                  <w:color w:val="0000EE"/>
                </w:rPr>
                <w:t>Reports of Independent Registered Public Accounting Firm</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90"/>
        </w:trPr>
        <w:tc>
          <w:tcPr>
            <w:tcW w:w="83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Consolidated Financial Statements of Digital Realty Trust, Inc.</w:t>
            </w:r>
          </w:p>
        </w:tc>
        <w:tc>
          <w:tcPr>
            <w:tcW w:w="660" w:type="dxa"/>
            <w:vAlign w:val="bottom"/>
          </w:tcPr>
          <w:p>
            <w:pPr>
              <w:spacing w:after="0"/>
              <w:rPr>
                <w:sz w:val="16"/>
                <w:szCs w:val="16"/>
                <w:color w:val="auto"/>
              </w:rPr>
            </w:pPr>
          </w:p>
        </w:tc>
      </w:tr>
      <w:tr>
        <w:trPr>
          <w:trHeight w:val="190"/>
        </w:trPr>
        <w:tc>
          <w:tcPr>
            <w:tcW w:w="8300" w:type="dxa"/>
            <w:vAlign w:val="bottom"/>
            <w:gridSpan w:val="4"/>
          </w:tcPr>
          <w:p>
            <w:pPr>
              <w:spacing w:after="0"/>
              <w:rPr>
                <w:rFonts w:ascii="Times New Roman" w:cs="Times New Roman" w:eastAsia="Times New Roman" w:hAnsi="Times New Roman"/>
                <w:sz w:val="13"/>
                <w:szCs w:val="13"/>
                <w:u w:val="single" w:color="auto"/>
                <w:color w:val="0000EE"/>
              </w:rPr>
            </w:pPr>
            <w:hyperlink w:anchor="page109">
              <w:r>
                <w:rPr>
                  <w:rFonts w:ascii="Times New Roman" w:cs="Times New Roman" w:eastAsia="Times New Roman" w:hAnsi="Times New Roman"/>
                  <w:sz w:val="13"/>
                  <w:szCs w:val="13"/>
                  <w:u w:val="single" w:color="auto"/>
                  <w:color w:val="0000EE"/>
                </w:rPr>
                <w:t>Consolidated Balance Sheets as of December 31, 2020 and 2019</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90"/>
        </w:trPr>
        <w:tc>
          <w:tcPr>
            <w:tcW w:w="8300" w:type="dxa"/>
            <w:vAlign w:val="bottom"/>
            <w:gridSpan w:val="4"/>
          </w:tcPr>
          <w:p>
            <w:pPr>
              <w:spacing w:after="0"/>
              <w:rPr>
                <w:rFonts w:ascii="Times New Roman" w:cs="Times New Roman" w:eastAsia="Times New Roman" w:hAnsi="Times New Roman"/>
                <w:sz w:val="13"/>
                <w:szCs w:val="13"/>
                <w:u w:val="single" w:color="auto"/>
                <w:color w:val="0000EE"/>
              </w:rPr>
            </w:pPr>
            <w:hyperlink w:anchor="page110">
              <w:r>
                <w:rPr>
                  <w:rFonts w:ascii="Times New Roman" w:cs="Times New Roman" w:eastAsia="Times New Roman" w:hAnsi="Times New Roman"/>
                  <w:sz w:val="13"/>
                  <w:szCs w:val="13"/>
                  <w:u w:val="single" w:color="auto"/>
                  <w:color w:val="0000EE"/>
                </w:rPr>
                <w:t>Consolidated Income Statements for each of the years in the three-year period ended December 31, 2020</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90"/>
        </w:trPr>
        <w:tc>
          <w:tcPr>
            <w:tcW w:w="8300" w:type="dxa"/>
            <w:vAlign w:val="bottom"/>
            <w:gridSpan w:val="4"/>
          </w:tcPr>
          <w:p>
            <w:pPr>
              <w:spacing w:after="0"/>
              <w:rPr>
                <w:rFonts w:ascii="Times New Roman" w:cs="Times New Roman" w:eastAsia="Times New Roman" w:hAnsi="Times New Roman"/>
                <w:sz w:val="13"/>
                <w:szCs w:val="13"/>
                <w:u w:val="single" w:color="auto"/>
                <w:color w:val="0000EE"/>
              </w:rPr>
            </w:pPr>
            <w:hyperlink w:anchor="page111">
              <w:r>
                <w:rPr>
                  <w:rFonts w:ascii="Times New Roman" w:cs="Times New Roman" w:eastAsia="Times New Roman" w:hAnsi="Times New Roman"/>
                  <w:sz w:val="13"/>
                  <w:szCs w:val="13"/>
                  <w:u w:val="single" w:color="auto"/>
                  <w:color w:val="0000EE"/>
                </w:rPr>
                <w:t>Consolidated Statements of Comprehensive Income for each of the years in the three-year period ended December 31, 2020</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90"/>
        </w:trPr>
        <w:tc>
          <w:tcPr>
            <w:tcW w:w="8300" w:type="dxa"/>
            <w:vAlign w:val="bottom"/>
            <w:gridSpan w:val="4"/>
          </w:tcPr>
          <w:p>
            <w:pPr>
              <w:spacing w:after="0"/>
              <w:rPr>
                <w:rFonts w:ascii="Times New Roman" w:cs="Times New Roman" w:eastAsia="Times New Roman" w:hAnsi="Times New Roman"/>
                <w:sz w:val="13"/>
                <w:szCs w:val="13"/>
                <w:u w:val="single" w:color="auto"/>
                <w:color w:val="0000EE"/>
              </w:rPr>
            </w:pPr>
            <w:hyperlink w:anchor="page113">
              <w:r>
                <w:rPr>
                  <w:rFonts w:ascii="Times New Roman" w:cs="Times New Roman" w:eastAsia="Times New Roman" w:hAnsi="Times New Roman"/>
                  <w:sz w:val="13"/>
                  <w:szCs w:val="13"/>
                  <w:u w:val="single" w:color="auto"/>
                  <w:color w:val="0000EE"/>
                </w:rPr>
                <w:t>Consolidated Statements of Equity for each of the years in the three-year period ended December 31, 2020</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90"/>
        </w:trPr>
        <w:tc>
          <w:tcPr>
            <w:tcW w:w="8300" w:type="dxa"/>
            <w:vAlign w:val="bottom"/>
            <w:gridSpan w:val="4"/>
          </w:tcPr>
          <w:p>
            <w:pPr>
              <w:spacing w:after="0"/>
              <w:rPr>
                <w:rFonts w:ascii="Times New Roman" w:cs="Times New Roman" w:eastAsia="Times New Roman" w:hAnsi="Times New Roman"/>
                <w:sz w:val="13"/>
                <w:szCs w:val="13"/>
                <w:u w:val="single" w:color="auto"/>
                <w:color w:val="0000EE"/>
              </w:rPr>
            </w:pPr>
            <w:hyperlink w:anchor="page115">
              <w:r>
                <w:rPr>
                  <w:rFonts w:ascii="Times New Roman" w:cs="Times New Roman" w:eastAsia="Times New Roman" w:hAnsi="Times New Roman"/>
                  <w:sz w:val="13"/>
                  <w:szCs w:val="13"/>
                  <w:u w:val="single" w:color="auto"/>
                  <w:color w:val="0000EE"/>
                </w:rPr>
                <w:t>Consolidated Statements of Cash Flows for each of the years in the three-year period ended December 31, 2020</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90"/>
        </w:trPr>
        <w:tc>
          <w:tcPr>
            <w:tcW w:w="83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Consolidated Financial Statements of Digital Realty Trust, L.P.</w:t>
            </w:r>
          </w:p>
        </w:tc>
        <w:tc>
          <w:tcPr>
            <w:tcW w:w="660" w:type="dxa"/>
            <w:vAlign w:val="bottom"/>
          </w:tcPr>
          <w:p>
            <w:pPr>
              <w:spacing w:after="0"/>
              <w:rPr>
                <w:sz w:val="16"/>
                <w:szCs w:val="16"/>
                <w:color w:val="auto"/>
              </w:rPr>
            </w:pPr>
          </w:p>
        </w:tc>
      </w:tr>
      <w:tr>
        <w:trPr>
          <w:trHeight w:val="190"/>
        </w:trPr>
        <w:tc>
          <w:tcPr>
            <w:tcW w:w="8300" w:type="dxa"/>
            <w:vAlign w:val="bottom"/>
            <w:gridSpan w:val="4"/>
          </w:tcPr>
          <w:p>
            <w:pPr>
              <w:spacing w:after="0"/>
              <w:rPr>
                <w:rFonts w:ascii="Times New Roman" w:cs="Times New Roman" w:eastAsia="Times New Roman" w:hAnsi="Times New Roman"/>
                <w:sz w:val="13"/>
                <w:szCs w:val="13"/>
                <w:u w:val="single" w:color="auto"/>
                <w:color w:val="0000EE"/>
              </w:rPr>
            </w:pPr>
            <w:hyperlink w:anchor="page118">
              <w:r>
                <w:rPr>
                  <w:rFonts w:ascii="Times New Roman" w:cs="Times New Roman" w:eastAsia="Times New Roman" w:hAnsi="Times New Roman"/>
                  <w:sz w:val="13"/>
                  <w:szCs w:val="13"/>
                  <w:u w:val="single" w:color="auto"/>
                  <w:color w:val="0000EE"/>
                </w:rPr>
                <w:t>Consolidated Balance Sheets as of December 31, 2020 and 2019</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90"/>
        </w:trPr>
        <w:tc>
          <w:tcPr>
            <w:tcW w:w="8300" w:type="dxa"/>
            <w:vAlign w:val="bottom"/>
            <w:gridSpan w:val="4"/>
          </w:tcPr>
          <w:p>
            <w:pPr>
              <w:spacing w:after="0"/>
              <w:rPr>
                <w:rFonts w:ascii="Times New Roman" w:cs="Times New Roman" w:eastAsia="Times New Roman" w:hAnsi="Times New Roman"/>
                <w:sz w:val="13"/>
                <w:szCs w:val="13"/>
                <w:u w:val="single" w:color="auto"/>
                <w:color w:val="0000EE"/>
              </w:rPr>
            </w:pPr>
            <w:hyperlink w:anchor="page119">
              <w:r>
                <w:rPr>
                  <w:rFonts w:ascii="Times New Roman" w:cs="Times New Roman" w:eastAsia="Times New Roman" w:hAnsi="Times New Roman"/>
                  <w:sz w:val="13"/>
                  <w:szCs w:val="13"/>
                  <w:u w:val="single" w:color="auto"/>
                  <w:color w:val="0000EE"/>
                </w:rPr>
                <w:t>Consolidated Income Statements for each of the years in the three-year period ended December 31, 2020</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90"/>
        </w:trPr>
        <w:tc>
          <w:tcPr>
            <w:tcW w:w="8300" w:type="dxa"/>
            <w:vAlign w:val="bottom"/>
            <w:gridSpan w:val="4"/>
          </w:tcPr>
          <w:p>
            <w:pPr>
              <w:spacing w:after="0"/>
              <w:rPr>
                <w:rFonts w:ascii="Times New Roman" w:cs="Times New Roman" w:eastAsia="Times New Roman" w:hAnsi="Times New Roman"/>
                <w:sz w:val="13"/>
                <w:szCs w:val="13"/>
                <w:u w:val="single" w:color="auto"/>
                <w:color w:val="0000EE"/>
              </w:rPr>
            </w:pPr>
            <w:hyperlink w:anchor="page120">
              <w:r>
                <w:rPr>
                  <w:rFonts w:ascii="Times New Roman" w:cs="Times New Roman" w:eastAsia="Times New Roman" w:hAnsi="Times New Roman"/>
                  <w:sz w:val="13"/>
                  <w:szCs w:val="13"/>
                  <w:u w:val="single" w:color="auto"/>
                  <w:color w:val="0000EE"/>
                </w:rPr>
                <w:t>Consolidated Statements of Comprehensive Income for each of the years in the three-year period ended December 31, 2020</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161"/>
        </w:trPr>
        <w:tc>
          <w:tcPr>
            <w:tcW w:w="5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7"/>
              </w:rPr>
              <w:t>Consolidated Statements of Capital for each of the years in the three-year period ended December 31, 2020</w:t>
            </w:r>
          </w:p>
        </w:tc>
        <w:tc>
          <w:tcPr>
            <w:tcW w:w="28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198"/>
        </w:trPr>
        <w:tc>
          <w:tcPr>
            <w:tcW w:w="8300" w:type="dxa"/>
            <w:vAlign w:val="bottom"/>
            <w:gridSpan w:val="4"/>
          </w:tcPr>
          <w:p>
            <w:pPr>
              <w:spacing w:after="0"/>
              <w:rPr>
                <w:rFonts w:ascii="Times New Roman" w:cs="Times New Roman" w:eastAsia="Times New Roman" w:hAnsi="Times New Roman"/>
                <w:sz w:val="13"/>
                <w:szCs w:val="13"/>
                <w:u w:val="single" w:color="auto"/>
                <w:color w:val="0000EE"/>
              </w:rPr>
            </w:pPr>
            <w:hyperlink w:anchor="page124">
              <w:r>
                <w:rPr>
                  <w:rFonts w:ascii="Times New Roman" w:cs="Times New Roman" w:eastAsia="Times New Roman" w:hAnsi="Times New Roman"/>
                  <w:sz w:val="13"/>
                  <w:szCs w:val="13"/>
                  <w:u w:val="single" w:color="auto"/>
                  <w:color w:val="0000EE"/>
                </w:rPr>
                <w:t>Consolidated Statements of Cash Flows for each of the years in the three-year period ended December 31, 2020</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r>
      <w:tr>
        <w:trPr>
          <w:trHeight w:val="190"/>
        </w:trPr>
        <w:tc>
          <w:tcPr>
            <w:tcW w:w="83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Consolidated Financial Statements of Digital Realty Trust, Inc. and Digital Realty Trust, L.P.</w:t>
            </w:r>
          </w:p>
        </w:tc>
        <w:tc>
          <w:tcPr>
            <w:tcW w:w="660" w:type="dxa"/>
            <w:vAlign w:val="bottom"/>
          </w:tcPr>
          <w:p>
            <w:pPr>
              <w:spacing w:after="0"/>
              <w:rPr>
                <w:sz w:val="16"/>
                <w:szCs w:val="16"/>
                <w:color w:val="auto"/>
              </w:rPr>
            </w:pPr>
          </w:p>
        </w:tc>
      </w:tr>
      <w:tr>
        <w:trPr>
          <w:trHeight w:val="190"/>
        </w:trPr>
        <w:tc>
          <w:tcPr>
            <w:tcW w:w="8300" w:type="dxa"/>
            <w:vAlign w:val="bottom"/>
            <w:gridSpan w:val="4"/>
          </w:tcPr>
          <w:p>
            <w:pPr>
              <w:spacing w:after="0"/>
              <w:rPr>
                <w:rFonts w:ascii="Times New Roman" w:cs="Times New Roman" w:eastAsia="Times New Roman" w:hAnsi="Times New Roman"/>
                <w:sz w:val="13"/>
                <w:szCs w:val="13"/>
                <w:u w:val="single" w:color="auto"/>
                <w:color w:val="0000EE"/>
              </w:rPr>
            </w:pPr>
            <w:hyperlink w:anchor="page127">
              <w:r>
                <w:rPr>
                  <w:rFonts w:ascii="Times New Roman" w:cs="Times New Roman" w:eastAsia="Times New Roman" w:hAnsi="Times New Roman"/>
                  <w:sz w:val="13"/>
                  <w:szCs w:val="13"/>
                  <w:u w:val="single" w:color="auto"/>
                  <w:color w:val="0000EE"/>
                </w:rPr>
                <w:t>Notes to Consolidated Financial Statements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61"/>
        </w:trPr>
        <w:tc>
          <w:tcPr>
            <w:tcW w:w="4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7"/>
              </w:rPr>
              <w:t>Supplemental Schedule—Schedule III—Properties and Accumulated Depreciation</w:t>
            </w:r>
          </w:p>
        </w:tc>
        <w:tc>
          <w:tcPr>
            <w:tcW w:w="4100" w:type="dxa"/>
            <w:vAlign w:val="bottom"/>
            <w:gridSpan w:val="2"/>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98"/>
        </w:trPr>
        <w:tc>
          <w:tcPr>
            <w:tcW w:w="8300" w:type="dxa"/>
            <w:vAlign w:val="bottom"/>
            <w:gridSpan w:val="4"/>
          </w:tcPr>
          <w:p>
            <w:pPr>
              <w:spacing w:after="0"/>
              <w:rPr>
                <w:rFonts w:ascii="Times New Roman" w:cs="Times New Roman" w:eastAsia="Times New Roman" w:hAnsi="Times New Roman"/>
                <w:sz w:val="13"/>
                <w:szCs w:val="13"/>
                <w:u w:val="single" w:color="auto"/>
                <w:color w:val="0000EE"/>
              </w:rPr>
            </w:pPr>
            <w:hyperlink w:anchor="page192">
              <w:r>
                <w:rPr>
                  <w:rFonts w:ascii="Times New Roman" w:cs="Times New Roman" w:eastAsia="Times New Roman" w:hAnsi="Times New Roman"/>
                  <w:sz w:val="13"/>
                  <w:szCs w:val="13"/>
                  <w:u w:val="single" w:color="auto"/>
                  <w:color w:val="0000EE"/>
                </w:rPr>
                <w:t>Notes to Schedule III—Properties and Accumulated Depreciation</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r>
      <w:tr>
        <w:trPr>
          <w:trHeight w:val="778"/>
        </w:trPr>
        <w:tc>
          <w:tcPr>
            <w:tcW w:w="600" w:type="dxa"/>
            <w:vAlign w:val="bottom"/>
          </w:tcPr>
          <w:p>
            <w:pPr>
              <w:spacing w:after="0"/>
              <w:rPr>
                <w:sz w:val="24"/>
                <w:szCs w:val="24"/>
                <w:color w:val="auto"/>
              </w:rPr>
            </w:pPr>
          </w:p>
        </w:tc>
        <w:tc>
          <w:tcPr>
            <w:tcW w:w="4840" w:type="dxa"/>
            <w:vAlign w:val="bottom"/>
            <w:gridSpan w:val="2"/>
          </w:tcPr>
          <w:p>
            <w:pPr>
              <w:jc w:val="right"/>
              <w:ind w:right="900"/>
              <w:spacing w:after="0"/>
              <w:rPr>
                <w:sz w:val="20"/>
                <w:szCs w:val="20"/>
                <w:color w:val="auto"/>
              </w:rPr>
            </w:pPr>
            <w:r>
              <w:rPr>
                <w:rFonts w:ascii="Times New Roman" w:cs="Times New Roman" w:eastAsia="Times New Roman" w:hAnsi="Times New Roman"/>
                <w:sz w:val="13"/>
                <w:szCs w:val="13"/>
                <w:color w:val="auto"/>
              </w:rPr>
              <w:t>97</w:t>
            </w:r>
          </w:p>
        </w:tc>
        <w:tc>
          <w:tcPr>
            <w:tcW w:w="28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80"/>
        </w:trPr>
        <w:tc>
          <w:tcPr>
            <w:tcW w:w="6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102" w:name="page103"/>
    <w:bookmarkEnd w:id="10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Management’s Report on Internal Control over Financial Reporting</w:t>
      </w:r>
    </w:p>
    <w:p>
      <w:pPr>
        <w:spacing w:after="0" w:line="156" w:lineRule="exact"/>
        <w:rPr>
          <w:sz w:val="20"/>
          <w:szCs w:val="20"/>
          <w:color w:val="auto"/>
        </w:rPr>
      </w:pPr>
    </w:p>
    <w:p>
      <w:pPr>
        <w:jc w:val="both"/>
        <w:ind w:left="20" w:right="39" w:firstLine="228"/>
        <w:spacing w:after="0" w:line="256" w:lineRule="auto"/>
        <w:rPr>
          <w:sz w:val="20"/>
          <w:szCs w:val="20"/>
          <w:color w:val="auto"/>
        </w:rPr>
      </w:pPr>
      <w:r>
        <w:rPr>
          <w:rFonts w:ascii="Times New Roman" w:cs="Times New Roman" w:eastAsia="Times New Roman" w:hAnsi="Times New Roman"/>
          <w:sz w:val="13"/>
          <w:szCs w:val="13"/>
          <w:color w:val="auto"/>
        </w:rPr>
        <w:t>The management of Digital Realty Trust, Inc. (the Company) is responsible for establishing and maintaining adequate internal control over financial reporting, as such term is defined in Exchange Act Rules 13a-15(f) and 15(d)-15(f). Our internal control system was designed to provide reasonable assurance to the Company’s management and board of directors regarding the preparation and fair presentation of published financial statements.</w:t>
      </w:r>
    </w:p>
    <w:p>
      <w:pPr>
        <w:spacing w:after="0" w:line="129" w:lineRule="exact"/>
        <w:rPr>
          <w:sz w:val="20"/>
          <w:szCs w:val="20"/>
          <w:color w:val="auto"/>
        </w:rPr>
      </w:pPr>
    </w:p>
    <w:p>
      <w:pPr>
        <w:ind w:left="20" w:right="119" w:firstLine="228"/>
        <w:spacing w:after="0" w:line="268" w:lineRule="auto"/>
        <w:rPr>
          <w:sz w:val="20"/>
          <w:szCs w:val="20"/>
          <w:color w:val="auto"/>
        </w:rPr>
      </w:pPr>
      <w:r>
        <w:rPr>
          <w:rFonts w:ascii="Times New Roman" w:cs="Times New Roman" w:eastAsia="Times New Roman" w:hAnsi="Times New Roman"/>
          <w:sz w:val="13"/>
          <w:szCs w:val="13"/>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22" w:lineRule="exact"/>
        <w:rPr>
          <w:sz w:val="20"/>
          <w:szCs w:val="20"/>
          <w:color w:val="auto"/>
        </w:rPr>
      </w:pPr>
    </w:p>
    <w:p>
      <w:pPr>
        <w:ind w:left="20" w:right="199" w:firstLine="228"/>
        <w:spacing w:after="0" w:line="248" w:lineRule="auto"/>
        <w:rPr>
          <w:sz w:val="20"/>
          <w:szCs w:val="20"/>
          <w:color w:val="auto"/>
        </w:rPr>
      </w:pPr>
      <w:r>
        <w:rPr>
          <w:rFonts w:ascii="Times New Roman" w:cs="Times New Roman" w:eastAsia="Times New Roman" w:hAnsi="Times New Roman"/>
          <w:sz w:val="13"/>
          <w:szCs w:val="13"/>
          <w:color w:val="auto"/>
        </w:rPr>
        <w:t xml:space="preserve">Under the supervision and with the participation of management, including our Chief Executive Officer and Chief Financial Officer, we assessed the effectiveness of the Company’s internal control over financial reporting as of December 31, 2020. In making this assessment, we used the criteria set forth by the Committee of Sponsoring Organizations of the Treadway Commission in </w:t>
      </w:r>
      <w:r>
        <w:rPr>
          <w:rFonts w:ascii="Times New Roman" w:cs="Times New Roman" w:eastAsia="Times New Roman" w:hAnsi="Times New Roman"/>
          <w:sz w:val="13"/>
          <w:szCs w:val="13"/>
          <w:i w:val="1"/>
          <w:iCs w:val="1"/>
          <w:color w:val="auto"/>
        </w:rPr>
        <w:t>Internal Control—Integrated Framework (2013)</w:t>
      </w:r>
      <w:r>
        <w:rPr>
          <w:rFonts w:ascii="Times New Roman" w:cs="Times New Roman" w:eastAsia="Times New Roman" w:hAnsi="Times New Roman"/>
          <w:sz w:val="13"/>
          <w:szCs w:val="13"/>
          <w:color w:val="auto"/>
        </w:rPr>
        <w:t>. We acquired Interxion and subsidiaries during the year ended December 31, 2020. We have excluded from our overall assessment of the Company's internal control over financial reporting as of December 31, 2020, internal control over financial reporting associated with Interxion and subsidiaries' total assets of $12 billion and total revenues of $691 million. Based on our assessment, management concluded that as of December 31, 2020, the Company’s internal control over financial reporting was effective based on those criteria.</w:t>
      </w:r>
    </w:p>
    <w:p>
      <w:pPr>
        <w:spacing w:after="0" w:line="1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Our independent registered public accounting firm has issued an audit report on the Company’s internal control over financial reporting. This report appears on page 101.</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Management’s Report on Internal Control over Financial Reporting</w:t>
      </w:r>
    </w:p>
    <w:p>
      <w:pPr>
        <w:spacing w:after="0" w:line="156" w:lineRule="exact"/>
        <w:rPr>
          <w:sz w:val="20"/>
          <w:szCs w:val="20"/>
          <w:color w:val="auto"/>
        </w:rPr>
      </w:pPr>
    </w:p>
    <w:p>
      <w:pPr>
        <w:ind w:left="20" w:right="99" w:firstLine="228"/>
        <w:spacing w:after="0" w:line="256" w:lineRule="auto"/>
        <w:rPr>
          <w:sz w:val="20"/>
          <w:szCs w:val="20"/>
          <w:color w:val="auto"/>
        </w:rPr>
      </w:pPr>
      <w:r>
        <w:rPr>
          <w:rFonts w:ascii="Times New Roman" w:cs="Times New Roman" w:eastAsia="Times New Roman" w:hAnsi="Times New Roman"/>
          <w:sz w:val="13"/>
          <w:szCs w:val="13"/>
          <w:color w:val="auto"/>
        </w:rPr>
        <w:t>The management of Digital Realty Trust, L.P. (the Operating Partnership) is responsible for establishing and maintaining adequate internal control over financial reporting, as such term is defined in Exchange Act Rules 13a-15(f) and 15(d)-15(f). Our internal control system was designed to provide reasonable assurance to the Operating Partnership’s management regarding the preparation and fair presentation of published financial statements.</w:t>
      </w:r>
    </w:p>
    <w:p>
      <w:pPr>
        <w:spacing w:after="0" w:line="129" w:lineRule="exact"/>
        <w:rPr>
          <w:sz w:val="20"/>
          <w:szCs w:val="20"/>
          <w:color w:val="auto"/>
        </w:rPr>
      </w:pPr>
    </w:p>
    <w:p>
      <w:pPr>
        <w:ind w:left="20" w:right="119" w:firstLine="228"/>
        <w:spacing w:after="0" w:line="268" w:lineRule="auto"/>
        <w:rPr>
          <w:sz w:val="20"/>
          <w:szCs w:val="20"/>
          <w:color w:val="auto"/>
        </w:rPr>
      </w:pPr>
      <w:r>
        <w:rPr>
          <w:rFonts w:ascii="Times New Roman" w:cs="Times New Roman" w:eastAsia="Times New Roman" w:hAnsi="Times New Roman"/>
          <w:sz w:val="13"/>
          <w:szCs w:val="13"/>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22" w:lineRule="exact"/>
        <w:rPr>
          <w:sz w:val="20"/>
          <w:szCs w:val="20"/>
          <w:color w:val="auto"/>
        </w:rPr>
      </w:pPr>
    </w:p>
    <w:p>
      <w:pPr>
        <w:ind w:left="20" w:right="79" w:firstLine="228"/>
        <w:spacing w:after="0" w:line="273" w:lineRule="auto"/>
        <w:rPr>
          <w:sz w:val="20"/>
          <w:szCs w:val="20"/>
          <w:color w:val="auto"/>
        </w:rPr>
      </w:pPr>
      <w:r>
        <w:rPr>
          <w:rFonts w:ascii="Times New Roman" w:cs="Times New Roman" w:eastAsia="Times New Roman" w:hAnsi="Times New Roman"/>
          <w:sz w:val="12"/>
          <w:szCs w:val="12"/>
          <w:color w:val="auto"/>
        </w:rPr>
        <w:t xml:space="preserve">Under the supervision and with the participation of management, including the Chief Executive Officer and Chief Financial Officer of our general partner, we assessed the effectiveness of the Operating Partnership’s internal control over financial reporting as of December 31, 2020. In making this assessment, we used the criteria set forth by the Committee of Sponsoring Organizations of the Treadway Commission in </w:t>
      </w:r>
      <w:r>
        <w:rPr>
          <w:rFonts w:ascii="Times New Roman" w:cs="Times New Roman" w:eastAsia="Times New Roman" w:hAnsi="Times New Roman"/>
          <w:sz w:val="12"/>
          <w:szCs w:val="12"/>
          <w:i w:val="1"/>
          <w:iCs w:val="1"/>
          <w:color w:val="auto"/>
        </w:rPr>
        <w:t>Internal Control—Integrated Framework (2013)</w:t>
      </w:r>
      <w:r>
        <w:rPr>
          <w:rFonts w:ascii="Times New Roman" w:cs="Times New Roman" w:eastAsia="Times New Roman" w:hAnsi="Times New Roman"/>
          <w:sz w:val="12"/>
          <w:szCs w:val="12"/>
          <w:color w:val="auto"/>
        </w:rPr>
        <w:t>. We acquired Interxion and subsidiaries during the year ended December 31, 2020. We have excluded from our overall assessment of the Operating Partnership's internal control over financial reporting as of December 31, 2020, internal control over financial reporting associated with Interxion and subsidiaries' total assets of $12 billion and total revenues of $691 million. Based on our assessment, management concluded that as of December 31, 2020, the Operating Partnership’s internal control over financial reporting was effective based on those criteria.</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03" w:name="page104"/>
    <w:bookmarkEnd w:id="10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Report of Independent Registered Public Accounting Firm</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To the Stockholders and Board of Directors</w:t>
      </w:r>
    </w:p>
    <w:p>
      <w:pPr>
        <w:ind w:left="260"/>
        <w:spacing w:after="0"/>
        <w:rPr>
          <w:sz w:val="20"/>
          <w:szCs w:val="20"/>
          <w:color w:val="auto"/>
        </w:rPr>
      </w:pPr>
      <w:r>
        <w:rPr>
          <w:rFonts w:ascii="Times New Roman" w:cs="Times New Roman" w:eastAsia="Times New Roman" w:hAnsi="Times New Roman"/>
          <w:sz w:val="11"/>
          <w:szCs w:val="11"/>
          <w:color w:val="auto"/>
        </w:rPr>
        <w:t>Digital Realty Trust, Inc.:</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Opinion on the Consolidated Financial Statements</w:t>
      </w:r>
    </w:p>
    <w:p>
      <w:pPr>
        <w:spacing w:after="0" w:line="141" w:lineRule="exact"/>
        <w:rPr>
          <w:sz w:val="20"/>
          <w:szCs w:val="20"/>
          <w:color w:val="auto"/>
        </w:rPr>
      </w:pPr>
    </w:p>
    <w:p>
      <w:pPr>
        <w:ind w:left="260" w:right="119"/>
        <w:spacing w:after="0" w:line="225" w:lineRule="auto"/>
        <w:rPr>
          <w:sz w:val="20"/>
          <w:szCs w:val="20"/>
          <w:color w:val="auto"/>
        </w:rPr>
      </w:pPr>
      <w:r>
        <w:rPr>
          <w:rFonts w:ascii="Times New Roman" w:cs="Times New Roman" w:eastAsia="Times New Roman" w:hAnsi="Times New Roman"/>
          <w:sz w:val="11"/>
          <w:szCs w:val="11"/>
          <w:color w:val="auto"/>
        </w:rPr>
        <w:t>We have audited the accompanying consolidated balance sheets of Digital Realty Trust, Inc. and subsidiaries (the Company) as of December 31, 2020 and 2019, the related consolidated income statements, and statements of comprehensive income, equity, and cash flows for each of the years in the three-year period ended December 31, 2020, and the related notes and financial statement schedule III, properties and accumulated depreciation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91" w:lineRule="exact"/>
        <w:rPr>
          <w:sz w:val="20"/>
          <w:szCs w:val="20"/>
          <w:color w:val="auto"/>
        </w:rPr>
      </w:pPr>
    </w:p>
    <w:p>
      <w:pPr>
        <w:ind w:left="260" w:right="219"/>
        <w:spacing w:after="0" w:line="232" w:lineRule="auto"/>
        <w:rPr>
          <w:sz w:val="20"/>
          <w:szCs w:val="20"/>
          <w:color w:val="auto"/>
        </w:rPr>
      </w:pPr>
      <w:r>
        <w:rPr>
          <w:rFonts w:ascii="Times New Roman" w:cs="Times New Roman" w:eastAsia="Times New Roman" w:hAnsi="Times New Roman"/>
          <w:sz w:val="11"/>
          <w:szCs w:val="11"/>
          <w:color w:val="auto"/>
        </w:rPr>
        <w:t xml:space="preserve">We also have audited, in accordance with the standards of the Public Company Accounting Oversight Board (United States) (PCAOB), the Company’s internal control over financial reporting as of December 31, 2020, based on the criteria established in </w:t>
      </w:r>
      <w:r>
        <w:rPr>
          <w:rFonts w:ascii="Times New Roman" w:cs="Times New Roman" w:eastAsia="Times New Roman" w:hAnsi="Times New Roman"/>
          <w:sz w:val="11"/>
          <w:szCs w:val="11"/>
          <w:i w:val="1"/>
          <w:iCs w:val="1"/>
          <w:color w:val="auto"/>
        </w:rPr>
        <w:t>Internal Control – Integrated Framework (2013)</w:t>
      </w:r>
      <w:r>
        <w:rPr>
          <w:rFonts w:ascii="Times New Roman" w:cs="Times New Roman" w:eastAsia="Times New Roman" w:hAnsi="Times New Roman"/>
          <w:sz w:val="11"/>
          <w:szCs w:val="11"/>
          <w:color w:val="auto"/>
        </w:rPr>
        <w:t xml:space="preserve"> issued by the Committee of Sponsoring Organizations of the Treadway Commission, and our report dated March 1, 2021 expressed an unqualified opinion on the effectiveness of the Company’s internal control over financial reporting.</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Change in Accounting Principle</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0"/>
          <w:szCs w:val="10"/>
          <w:color w:val="auto"/>
        </w:rPr>
        <w:t xml:space="preserve">The Company has changed its method of accounting for leases as of January 1, 2019 due to the adoption of ASU No. 2016-02 </w:t>
      </w:r>
      <w:r>
        <w:rPr>
          <w:rFonts w:ascii="Times New Roman" w:cs="Times New Roman" w:eastAsia="Times New Roman" w:hAnsi="Times New Roman"/>
          <w:sz w:val="10"/>
          <w:szCs w:val="10"/>
          <w:i w:val="1"/>
          <w:iCs w:val="1"/>
          <w:color w:val="auto"/>
        </w:rPr>
        <w:t>Leases</w:t>
      </w:r>
      <w:r>
        <w:rPr>
          <w:rFonts w:ascii="Times New Roman" w:cs="Times New Roman" w:eastAsia="Times New Roman" w:hAnsi="Times New Roman"/>
          <w:sz w:val="10"/>
          <w:szCs w:val="10"/>
          <w:color w:val="auto"/>
        </w:rPr>
        <w:t xml:space="preserve"> and related accounting standards updates (collectively Topic 842).</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Basis for Opinion</w:t>
      </w:r>
    </w:p>
    <w:p>
      <w:pPr>
        <w:spacing w:after="0" w:line="1" w:lineRule="exact"/>
        <w:rPr>
          <w:sz w:val="20"/>
          <w:szCs w:val="20"/>
          <w:color w:val="auto"/>
        </w:rPr>
      </w:pPr>
    </w:p>
    <w:p>
      <w:pPr>
        <w:jc w:val="both"/>
        <w:ind w:left="260" w:right="159"/>
        <w:spacing w:after="0" w:line="224" w:lineRule="auto"/>
        <w:rPr>
          <w:sz w:val="20"/>
          <w:szCs w:val="20"/>
          <w:color w:val="auto"/>
        </w:rPr>
      </w:pPr>
      <w:r>
        <w:rPr>
          <w:rFonts w:ascii="Times New Roman" w:cs="Times New Roman" w:eastAsia="Times New Roman" w:hAnsi="Times New Roman"/>
          <w:sz w:val="11"/>
          <w:szCs w:val="11"/>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9" w:lineRule="exact"/>
        <w:rPr>
          <w:sz w:val="20"/>
          <w:szCs w:val="20"/>
          <w:color w:val="auto"/>
        </w:rPr>
      </w:pPr>
    </w:p>
    <w:p>
      <w:pPr>
        <w:ind w:left="260" w:right="119"/>
        <w:spacing w:after="0" w:line="225" w:lineRule="auto"/>
        <w:rPr>
          <w:sz w:val="20"/>
          <w:szCs w:val="20"/>
          <w:color w:val="auto"/>
        </w:rPr>
      </w:pPr>
      <w:r>
        <w:rPr>
          <w:rFonts w:ascii="Times New Roman" w:cs="Times New Roman" w:eastAsia="Times New Roman" w:hAnsi="Times New Roman"/>
          <w:sz w:val="11"/>
          <w:szCs w:val="11"/>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Critical Audit Matters</w:t>
      </w:r>
    </w:p>
    <w:p>
      <w:pPr>
        <w:spacing w:after="0" w:line="1" w:lineRule="exact"/>
        <w:rPr>
          <w:sz w:val="20"/>
          <w:szCs w:val="20"/>
          <w:color w:val="auto"/>
        </w:rPr>
      </w:pPr>
    </w:p>
    <w:p>
      <w:pPr>
        <w:ind w:left="260" w:right="59"/>
        <w:spacing w:after="0" w:line="222" w:lineRule="auto"/>
        <w:rPr>
          <w:sz w:val="20"/>
          <w:szCs w:val="20"/>
          <w:color w:val="auto"/>
        </w:rPr>
      </w:pPr>
      <w:r>
        <w:rPr>
          <w:rFonts w:ascii="Times New Roman" w:cs="Times New Roman" w:eastAsia="Times New Roman" w:hAnsi="Times New Roman"/>
          <w:sz w:val="11"/>
          <w:szCs w:val="11"/>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Evaluation of lease revenue</w:t>
      </w:r>
    </w:p>
    <w:p>
      <w:pPr>
        <w:spacing w:after="0" w:line="37" w:lineRule="exact"/>
        <w:rPr>
          <w:sz w:val="20"/>
          <w:szCs w:val="20"/>
          <w:color w:val="auto"/>
        </w:rPr>
      </w:pPr>
    </w:p>
    <w:p>
      <w:pPr>
        <w:ind w:left="260" w:right="79"/>
        <w:spacing w:after="0" w:line="250" w:lineRule="auto"/>
        <w:rPr>
          <w:sz w:val="20"/>
          <w:szCs w:val="20"/>
          <w:color w:val="auto"/>
        </w:rPr>
      </w:pPr>
      <w:r>
        <w:rPr>
          <w:rFonts w:ascii="Times New Roman" w:cs="Times New Roman" w:eastAsia="Times New Roman" w:hAnsi="Times New Roman"/>
          <w:sz w:val="10"/>
          <w:szCs w:val="10"/>
          <w:color w:val="auto"/>
        </w:rPr>
        <w:t>As discussed in Note 2 to the consolidated financial statements, the Company records rental revenue on a straight-line basis if the Company determines on a lease-by-lease basis it is probable substantially all lease payments over the term of the lease will be collected. Whenever the results of that assessment, indicate that it is not probable that the Company will be able to collect substantially all lease payments over the remaining term of the lease, the Company records a reduction to rental revenue equal to the then-current combined balance of the deferred rent and amounts contractually due but unpaid for the lease (rent receivable), and ceases recognizing rental revenue on a straight-line basis and commences recognizing rental revenue on a cash collected basis. Rental and other services revenue was $3.9 billion for the year ended December 31, 2020 and deferred rent and rent receivable, net was $528.2 million and $358.0 million, respectively, as of December 31, 2020.</w:t>
      </w:r>
    </w:p>
    <w:p>
      <w:pPr>
        <w:spacing w:after="0" w:line="85" w:lineRule="exact"/>
        <w:rPr>
          <w:sz w:val="20"/>
          <w:szCs w:val="20"/>
          <w:color w:val="auto"/>
        </w:rPr>
      </w:pPr>
    </w:p>
    <w:p>
      <w:pPr>
        <w:ind w:left="260" w:right="179"/>
        <w:spacing w:after="0" w:line="232" w:lineRule="auto"/>
        <w:rPr>
          <w:sz w:val="20"/>
          <w:szCs w:val="20"/>
          <w:color w:val="auto"/>
        </w:rPr>
      </w:pPr>
      <w:r>
        <w:rPr>
          <w:rFonts w:ascii="Times New Roman" w:cs="Times New Roman" w:eastAsia="Times New Roman" w:hAnsi="Times New Roman"/>
          <w:sz w:val="11"/>
          <w:szCs w:val="11"/>
          <w:color w:val="auto"/>
        </w:rPr>
        <w:t>We identified the evaluation of the probability of collection of lease payments as a critical audit matter. Evaluating the Company’s probability assessment of collection of substantially all the lease payments for its leases required significant auditor judgment because of the subjective nature of the evidence obtained. Specifically, evaluating the creditworthiness of the customer and any guarantors required significant auditor judgment.</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04" w:name="page105"/>
    <w:bookmarkEnd w:id="10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60" w:right="39"/>
        <w:spacing w:after="0" w:line="225" w:lineRule="auto"/>
        <w:rPr>
          <w:sz w:val="20"/>
          <w:szCs w:val="20"/>
          <w:color w:val="auto"/>
        </w:rPr>
      </w:pPr>
      <w:r>
        <w:rPr>
          <w:rFonts w:ascii="Times New Roman" w:cs="Times New Roman" w:eastAsia="Times New Roman" w:hAnsi="Times New Roman"/>
          <w:sz w:val="11"/>
          <w:szCs w:val="11"/>
          <w:color w:val="auto"/>
        </w:rPr>
        <w:t>The following are the primary procedures we performed to address this critical audit matter. We evaluated the design and tested the operating effectiveness of certain internal controls over the Company’s probability assessment of lease payment collection process, including the assessment of the creditworthiness of the customer and any guarantors. For a selection of the Company’s leases, we evaluated the Company’s determination of the collectibility of substantially all of the lease payments by: (i) comparing the legal name of customer and any guarantor to the underlying lease agreements and third-party credit rating report, (ii) evaluating the creditworthiness of the customer by assessing their credit rating, (iii) reading publicly available information, including the customer’s financial statements, analyst reports, recent public filings, and news articles, and (iv) inquiring of Company employees to obtain evidence regarding creditworthiness of the customers.</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Fair value measurement of customer relationship value and building and improvements acquired in the Interxion business combination</w:t>
      </w:r>
    </w:p>
    <w:p>
      <w:pPr>
        <w:spacing w:after="0" w:line="1" w:lineRule="exact"/>
        <w:rPr>
          <w:sz w:val="20"/>
          <w:szCs w:val="20"/>
          <w:color w:val="auto"/>
        </w:rPr>
      </w:pPr>
    </w:p>
    <w:p>
      <w:pPr>
        <w:ind w:left="260" w:right="139"/>
        <w:spacing w:after="0" w:line="224" w:lineRule="auto"/>
        <w:rPr>
          <w:sz w:val="20"/>
          <w:szCs w:val="20"/>
          <w:color w:val="auto"/>
        </w:rPr>
      </w:pPr>
      <w:r>
        <w:rPr>
          <w:rFonts w:ascii="Times New Roman" w:cs="Times New Roman" w:eastAsia="Times New Roman" w:hAnsi="Times New Roman"/>
          <w:sz w:val="11"/>
          <w:szCs w:val="11"/>
          <w:color w:val="auto"/>
        </w:rPr>
        <w:t>As discussed in Note 3 to the consolidated financial statements, on March 9, 2020, the Company acquired Interxion Holding, N.V. (Interxion) in a business combination for total purchase consideration of $6,876 million. In connection with the transaction, the Company recorded tangible and intangible assets and liabilities at fair value, including customer relationship value (CRV) and building and improvements. The fair value of CRV and building and improvements was $1,002 million and $3,247 million, respectively, as of the acquisition date.</w:t>
      </w:r>
    </w:p>
    <w:p>
      <w:pPr>
        <w:spacing w:after="0" w:line="89" w:lineRule="exact"/>
        <w:rPr>
          <w:sz w:val="20"/>
          <w:szCs w:val="20"/>
          <w:color w:val="auto"/>
        </w:rPr>
      </w:pPr>
    </w:p>
    <w:p>
      <w:pPr>
        <w:ind w:left="260" w:right="159"/>
        <w:spacing w:after="0" w:line="225" w:lineRule="auto"/>
        <w:rPr>
          <w:sz w:val="20"/>
          <w:szCs w:val="20"/>
          <w:color w:val="auto"/>
        </w:rPr>
      </w:pPr>
      <w:r>
        <w:rPr>
          <w:rFonts w:ascii="Times New Roman" w:cs="Times New Roman" w:eastAsia="Times New Roman" w:hAnsi="Times New Roman"/>
          <w:sz w:val="11"/>
          <w:szCs w:val="11"/>
          <w:color w:val="auto"/>
        </w:rPr>
        <w:t>We identified the evaluation of the fair value measurement of CRV and building and improvements acquired in the Interxion business combination as a critical audit matter. The recorded value of CRV and building and improvements was sensitive to changes to the inputs and assumptions in the purchase price allocation as of the acquisition date. The inputs and assumptions that resulted in a higher degree of subjectivity and required complex auditor judgment related to CRV included the discount rate, projected revenue growth from existing customers, and the attrition rate. The inputs and assumptions that resulted in a higher degree of subjectivity and required complex auditor judgement related to building and improvements included replacement cost new per square foot and estimated physical depreciation.</w:t>
      </w:r>
    </w:p>
    <w:p>
      <w:pPr>
        <w:spacing w:after="0" w:line="91" w:lineRule="exact"/>
        <w:rPr>
          <w:sz w:val="20"/>
          <w:szCs w:val="20"/>
          <w:color w:val="auto"/>
        </w:rPr>
      </w:pPr>
    </w:p>
    <w:p>
      <w:pPr>
        <w:ind w:left="260" w:right="39"/>
        <w:spacing w:after="0" w:line="225" w:lineRule="auto"/>
        <w:rPr>
          <w:sz w:val="20"/>
          <w:szCs w:val="20"/>
          <w:color w:val="auto"/>
        </w:rPr>
      </w:pPr>
      <w:r>
        <w:rPr>
          <w:rFonts w:ascii="Times New Roman" w:cs="Times New Roman" w:eastAsia="Times New Roman" w:hAnsi="Times New Roman"/>
          <w:sz w:val="11"/>
          <w:szCs w:val="11"/>
          <w:color w:val="auto"/>
        </w:rPr>
        <w:t>The following are the primary procedures we performed to address this critical audit matter. We evaluated the design and tested the operating effectiveness of certain internal controls over the Company’s valuation of CRV and building and improvements including controls related to the inputs and assumptions listed above. We evaluated the Company’s inputs and assumptions listed above by: (1) identifying and considering the relevancy, reliability, and sufficiency of the sources of data used by the Company in developing these assumptions and (2) comparing to relevant industry market data if available or to historical Company data and (3) performing sensitivity analyses to understand the impact of changes in these assumptions on the fair value estimate. In addition, we involved valuation professionals with specialized skills and knowledge, who assisted in evaluating:</w:t>
      </w:r>
    </w:p>
    <w:p>
      <w:pPr>
        <w:spacing w:after="0" w:line="100" w:lineRule="exact"/>
        <w:rPr>
          <w:sz w:val="20"/>
          <w:szCs w:val="20"/>
          <w:color w:val="auto"/>
        </w:rPr>
      </w:pPr>
    </w:p>
    <w:p>
      <w:pPr>
        <w:ind w:left="260" w:right="219" w:hanging="7"/>
        <w:spacing w:after="0" w:line="245" w:lineRule="auto"/>
        <w:tabs>
          <w:tab w:leader="none" w:pos="488" w:val="left"/>
        </w:tabs>
        <w:numPr>
          <w:ilvl w:val="0"/>
          <w:numId w:val="49"/>
        </w:numPr>
        <w:rPr>
          <w:rFonts w:ascii="Arial" w:cs="Arial" w:eastAsia="Arial" w:hAnsi="Arial"/>
          <w:sz w:val="11"/>
          <w:szCs w:val="11"/>
          <w:color w:val="auto"/>
        </w:rPr>
      </w:pPr>
      <w:r>
        <w:rPr>
          <w:rFonts w:ascii="Times New Roman" w:cs="Times New Roman" w:eastAsia="Times New Roman" w:hAnsi="Times New Roman"/>
          <w:sz w:val="11"/>
          <w:szCs w:val="11"/>
          <w:color w:val="auto"/>
        </w:rPr>
        <w:t>The discount rate assumption used to value CRV by independently developing a range of rates using publicly available market interest rate data and comparing the independent ranges to the rate used by the Company,</w:t>
      </w:r>
    </w:p>
    <w:p>
      <w:pPr>
        <w:ind w:left="480" w:hanging="227"/>
        <w:spacing w:after="0"/>
        <w:tabs>
          <w:tab w:leader="none" w:pos="480" w:val="left"/>
        </w:tabs>
        <w:numPr>
          <w:ilvl w:val="0"/>
          <w:numId w:val="49"/>
        </w:numPr>
        <w:rPr>
          <w:rFonts w:ascii="Arial" w:cs="Arial" w:eastAsia="Arial" w:hAnsi="Arial"/>
          <w:sz w:val="11"/>
          <w:szCs w:val="11"/>
          <w:color w:val="auto"/>
        </w:rPr>
      </w:pPr>
      <w:r>
        <w:rPr>
          <w:rFonts w:ascii="Times New Roman" w:cs="Times New Roman" w:eastAsia="Times New Roman" w:hAnsi="Times New Roman"/>
          <w:sz w:val="11"/>
          <w:szCs w:val="11"/>
          <w:color w:val="auto"/>
        </w:rPr>
        <w:t>certain projected revenue growth rate assumptions used to value CRV to macro-economic trend data or publicly available market data, and</w:t>
      </w:r>
    </w:p>
    <w:p>
      <w:pPr>
        <w:spacing w:after="0" w:line="4" w:lineRule="exact"/>
        <w:rPr>
          <w:rFonts w:ascii="Arial" w:cs="Arial" w:eastAsia="Arial" w:hAnsi="Arial"/>
          <w:sz w:val="11"/>
          <w:szCs w:val="11"/>
          <w:color w:val="auto"/>
        </w:rPr>
      </w:pPr>
    </w:p>
    <w:p>
      <w:pPr>
        <w:ind w:left="260" w:right="39" w:hanging="7"/>
        <w:spacing w:after="0" w:line="238" w:lineRule="auto"/>
        <w:tabs>
          <w:tab w:leader="none" w:pos="488" w:val="left"/>
        </w:tabs>
        <w:numPr>
          <w:ilvl w:val="0"/>
          <w:numId w:val="49"/>
        </w:numPr>
        <w:rPr>
          <w:rFonts w:ascii="Arial" w:cs="Arial" w:eastAsia="Arial" w:hAnsi="Arial"/>
          <w:sz w:val="11"/>
          <w:szCs w:val="11"/>
          <w:color w:val="auto"/>
        </w:rPr>
      </w:pPr>
      <w:r>
        <w:rPr>
          <w:rFonts w:ascii="Times New Roman" w:cs="Times New Roman" w:eastAsia="Times New Roman" w:hAnsi="Times New Roman"/>
          <w:sz w:val="11"/>
          <w:szCs w:val="11"/>
          <w:color w:val="auto"/>
        </w:rPr>
        <w:t>replacement cost new per square foot assumption used to value building and improvements by developing an estimated range of replacement cost new per square foot using historical Company cost data for similar recently completed data centers and comparing to the value used by the Company.</w:t>
      </w:r>
    </w:p>
    <w:p>
      <w:pPr>
        <w:spacing w:after="0" w:line="98" w:lineRule="exact"/>
        <w:rPr>
          <w:sz w:val="20"/>
          <w:szCs w:val="20"/>
          <w:color w:val="auto"/>
        </w:rPr>
      </w:pPr>
    </w:p>
    <w:p>
      <w:pPr>
        <w:ind w:left="4860"/>
        <w:spacing w:after="0"/>
        <w:tabs>
          <w:tab w:leader="none" w:pos="5040" w:val="left"/>
        </w:tabs>
        <w:rPr>
          <w:sz w:val="20"/>
          <w:szCs w:val="20"/>
          <w:color w:val="auto"/>
        </w:rPr>
      </w:pPr>
      <w:r>
        <w:rPr>
          <w:rFonts w:ascii="Times New Roman" w:cs="Times New Roman" w:eastAsia="Times New Roman" w:hAnsi="Times New Roman"/>
          <w:sz w:val="11"/>
          <w:szCs w:val="11"/>
          <w:color w:val="auto"/>
        </w:rPr>
        <w:t>/s/</w:t>
      </w:r>
      <w:r>
        <w:rPr>
          <w:sz w:val="20"/>
          <w:szCs w:val="20"/>
          <w:color w:val="auto"/>
        </w:rPr>
        <w:tab/>
      </w:r>
      <w:r>
        <w:rPr>
          <w:rFonts w:ascii="Times New Roman" w:cs="Times New Roman" w:eastAsia="Times New Roman" w:hAnsi="Times New Roman"/>
          <w:sz w:val="10"/>
          <w:szCs w:val="10"/>
          <w:color w:val="auto"/>
        </w:rPr>
        <w:t>KPMG LLP</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We have served as the Company’s auditor since 2004.</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San Francisco, California</w:t>
      </w:r>
    </w:p>
    <w:p>
      <w:pPr>
        <w:ind w:left="260"/>
        <w:spacing w:after="0"/>
        <w:rPr>
          <w:sz w:val="20"/>
          <w:szCs w:val="20"/>
          <w:color w:val="auto"/>
        </w:rPr>
      </w:pPr>
      <w:r>
        <w:rPr>
          <w:rFonts w:ascii="Times New Roman" w:cs="Times New Roman" w:eastAsia="Times New Roman" w:hAnsi="Times New Roman"/>
          <w:sz w:val="11"/>
          <w:szCs w:val="11"/>
          <w:color w:val="auto"/>
        </w:rPr>
        <w:t>March 1, 2021</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05" w:name="page106"/>
    <w:bookmarkEnd w:id="10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Report of Independent Registered Public Accounting Firm</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To the Stockholders and Board of Directors</w:t>
      </w:r>
    </w:p>
    <w:p>
      <w:pPr>
        <w:ind w:left="260"/>
        <w:spacing w:after="0"/>
        <w:rPr>
          <w:sz w:val="20"/>
          <w:szCs w:val="20"/>
          <w:color w:val="auto"/>
        </w:rPr>
      </w:pPr>
      <w:r>
        <w:rPr>
          <w:rFonts w:ascii="Times New Roman" w:cs="Times New Roman" w:eastAsia="Times New Roman" w:hAnsi="Times New Roman"/>
          <w:sz w:val="11"/>
          <w:szCs w:val="11"/>
          <w:color w:val="auto"/>
        </w:rPr>
        <w:t>Digital Realty Trust, Inc.:</w:t>
      </w:r>
    </w:p>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Opinion on Internal Control Over Financial Reporting</w:t>
      </w:r>
    </w:p>
    <w:p>
      <w:pPr>
        <w:spacing w:after="0" w:line="92" w:lineRule="exact"/>
        <w:rPr>
          <w:sz w:val="20"/>
          <w:szCs w:val="20"/>
          <w:color w:val="auto"/>
        </w:rPr>
      </w:pPr>
    </w:p>
    <w:p>
      <w:pPr>
        <w:ind w:left="260" w:right="59"/>
        <w:spacing w:after="0" w:line="229" w:lineRule="auto"/>
        <w:rPr>
          <w:sz w:val="20"/>
          <w:szCs w:val="20"/>
          <w:color w:val="auto"/>
        </w:rPr>
      </w:pPr>
      <w:r>
        <w:rPr>
          <w:rFonts w:ascii="Times New Roman" w:cs="Times New Roman" w:eastAsia="Times New Roman" w:hAnsi="Times New Roman"/>
          <w:sz w:val="11"/>
          <w:szCs w:val="11"/>
          <w:color w:val="auto"/>
        </w:rPr>
        <w:t xml:space="preserve">We have audited Digital Realty Trust, Inc. and subsidiaries (the Company) internal control over financial reporting as of December 31, 2020, based on criteria established in </w:t>
      </w:r>
      <w:r>
        <w:rPr>
          <w:rFonts w:ascii="Times New Roman" w:cs="Times New Roman" w:eastAsia="Times New Roman" w:hAnsi="Times New Roman"/>
          <w:sz w:val="11"/>
          <w:szCs w:val="11"/>
          <w:i w:val="1"/>
          <w:iCs w:val="1"/>
          <w:color w:val="auto"/>
        </w:rPr>
        <w:t>Internal Control – Integrated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 xml:space="preserve">Framework (2013) </w:t>
      </w:r>
      <w:r>
        <w:rPr>
          <w:rFonts w:ascii="Times New Roman" w:cs="Times New Roman" w:eastAsia="Times New Roman" w:hAnsi="Times New Roman"/>
          <w:sz w:val="11"/>
          <w:szCs w:val="11"/>
          <w:color w:val="auto"/>
        </w:rPr>
        <w:t>issued by the Committee of Sponsoring Organizations of the Treadway Commission. In our opinion, the Company maintained, in all material respects, effective internal control over</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 xml:space="preserve">financial reporting as of December 31, 2020, based on criteria established in </w:t>
      </w:r>
      <w:r>
        <w:rPr>
          <w:rFonts w:ascii="Times New Roman" w:cs="Times New Roman" w:eastAsia="Times New Roman" w:hAnsi="Times New Roman"/>
          <w:sz w:val="11"/>
          <w:szCs w:val="11"/>
          <w:i w:val="1"/>
          <w:iCs w:val="1"/>
          <w:color w:val="auto"/>
        </w:rPr>
        <w:t>Internal Control – Integrated Framework (2013)</w:t>
      </w:r>
      <w:r>
        <w:rPr>
          <w:rFonts w:ascii="Times New Roman" w:cs="Times New Roman" w:eastAsia="Times New Roman" w:hAnsi="Times New Roman"/>
          <w:sz w:val="11"/>
          <w:szCs w:val="11"/>
          <w:color w:val="auto"/>
        </w:rPr>
        <w:t xml:space="preserve"> issued by the Committee of Sponsoring Organizations of the Treadway Commission.</w:t>
      </w:r>
    </w:p>
    <w:p>
      <w:pPr>
        <w:spacing w:after="0" w:line="89" w:lineRule="exact"/>
        <w:rPr>
          <w:sz w:val="20"/>
          <w:szCs w:val="20"/>
          <w:color w:val="auto"/>
        </w:rPr>
      </w:pPr>
    </w:p>
    <w:p>
      <w:pPr>
        <w:ind w:left="260" w:right="179"/>
        <w:spacing w:after="0" w:line="228" w:lineRule="auto"/>
        <w:rPr>
          <w:sz w:val="20"/>
          <w:szCs w:val="20"/>
          <w:color w:val="auto"/>
        </w:rPr>
      </w:pPr>
      <w:r>
        <w:rPr>
          <w:rFonts w:ascii="Times New Roman" w:cs="Times New Roman" w:eastAsia="Times New Roman" w:hAnsi="Times New Roman"/>
          <w:sz w:val="11"/>
          <w:szCs w:val="11"/>
          <w:color w:val="auto"/>
        </w:rPr>
        <w:t>We also have audited, in accordance with the standards of the Public Company Accounting Oversight Board (United States) (PCAOB), the consolidated balance sheets of the Company as of December 31, 2020 and 2019, the related consolidated income statements and consolidated statements of comprehensive income, equity, and cash flows for each of the years in the three-year period ended December 31, 2020, and the related notes and financial statement schedule III, properties and accumulated depreciation (collectively, the consolidated financial statements), and our report dated March 1, 2021 expressed an unqualified opinion on those consolidated financial statements.</w:t>
      </w:r>
    </w:p>
    <w:p>
      <w:pPr>
        <w:spacing w:after="0" w:line="89" w:lineRule="exact"/>
        <w:rPr>
          <w:sz w:val="20"/>
          <w:szCs w:val="20"/>
          <w:color w:val="auto"/>
        </w:rPr>
      </w:pPr>
    </w:p>
    <w:p>
      <w:pPr>
        <w:jc w:val="both"/>
        <w:ind w:left="260" w:right="59"/>
        <w:spacing w:after="0" w:line="228" w:lineRule="auto"/>
        <w:rPr>
          <w:sz w:val="20"/>
          <w:szCs w:val="20"/>
          <w:color w:val="auto"/>
        </w:rPr>
      </w:pPr>
      <w:r>
        <w:rPr>
          <w:rFonts w:ascii="Times New Roman" w:cs="Times New Roman" w:eastAsia="Times New Roman" w:hAnsi="Times New Roman"/>
          <w:sz w:val="11"/>
          <w:szCs w:val="11"/>
          <w:color w:val="auto"/>
        </w:rPr>
        <w:t>The Company acquired Interxion Holding N.V. and subsidiaries during the year ended December 31, 2020, and management excluded from its assessment of the effectiveness of the Company’s internal control over financial reporting as of December 31, 2020, Interxion Holding N.V. and subsidiaries’ internal control over financial reporting associated with total assets of $12 billion and total revenues of $691 million included in the consolidated financial statements of the Company as of and for the year ended December 31, 2020. Our audit of internal control over financial reporting of the Company also excluded an evaluation of the internal control over financial reporting of Interxion Holding N.V. and subsidiaries.</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Basis for Opinion</w:t>
      </w:r>
    </w:p>
    <w:p>
      <w:pPr>
        <w:spacing w:after="0" w:line="103" w:lineRule="exact"/>
        <w:rPr>
          <w:sz w:val="20"/>
          <w:szCs w:val="20"/>
          <w:color w:val="auto"/>
        </w:rPr>
      </w:pPr>
    </w:p>
    <w:p>
      <w:pPr>
        <w:ind w:left="260" w:right="99"/>
        <w:spacing w:after="0" w:line="228" w:lineRule="auto"/>
        <w:rPr>
          <w:sz w:val="20"/>
          <w:szCs w:val="20"/>
          <w:color w:val="auto"/>
        </w:rPr>
      </w:pPr>
      <w:r>
        <w:rPr>
          <w:rFonts w:ascii="Times New Roman" w:cs="Times New Roman" w:eastAsia="Times New Roman" w:hAnsi="Times New Roman"/>
          <w:sz w:val="11"/>
          <w:szCs w:val="11"/>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1"/>
          <w:szCs w:val="11"/>
          <w:i w:val="1"/>
          <w:iCs w:val="1"/>
          <w:color w:val="auto"/>
        </w:rPr>
        <w:t>Management’s Report on Internal Control over Financial Reporting</w:t>
      </w:r>
      <w:r>
        <w:rPr>
          <w:rFonts w:ascii="Times New Roman" w:cs="Times New Roman" w:eastAsia="Times New Roman" w:hAnsi="Times New Roman"/>
          <w:sz w:val="11"/>
          <w:szCs w:val="11"/>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9" w:lineRule="exact"/>
        <w:rPr>
          <w:sz w:val="20"/>
          <w:szCs w:val="20"/>
          <w:color w:val="auto"/>
        </w:rPr>
      </w:pPr>
    </w:p>
    <w:p>
      <w:pPr>
        <w:ind w:left="260" w:right="339"/>
        <w:spacing w:after="0" w:line="228" w:lineRule="auto"/>
        <w:rPr>
          <w:sz w:val="20"/>
          <w:szCs w:val="20"/>
          <w:color w:val="auto"/>
        </w:rPr>
      </w:pPr>
      <w:r>
        <w:rPr>
          <w:rFonts w:ascii="Times New Roman" w:cs="Times New Roman" w:eastAsia="Times New Roman" w:hAnsi="Times New Roman"/>
          <w:sz w:val="11"/>
          <w:szCs w:val="1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Definition and Limitations of Internal Control Over Financial Reporting</w:t>
      </w:r>
    </w:p>
    <w:p>
      <w:pPr>
        <w:spacing w:after="0" w:line="103" w:lineRule="exact"/>
        <w:rPr>
          <w:sz w:val="20"/>
          <w:szCs w:val="20"/>
          <w:color w:val="auto"/>
        </w:rPr>
      </w:pPr>
    </w:p>
    <w:p>
      <w:pPr>
        <w:ind w:left="260" w:right="59"/>
        <w:spacing w:after="0" w:line="224" w:lineRule="auto"/>
        <w:rPr>
          <w:sz w:val="20"/>
          <w:szCs w:val="20"/>
          <w:color w:val="auto"/>
        </w:rPr>
      </w:pPr>
      <w:r>
        <w:rPr>
          <w:rFonts w:ascii="Times New Roman" w:cs="Times New Roman" w:eastAsia="Times New Roman" w:hAnsi="Times New Roman"/>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9" w:lineRule="exact"/>
        <w:rPr>
          <w:sz w:val="20"/>
          <w:szCs w:val="20"/>
          <w:color w:val="auto"/>
        </w:rPr>
      </w:pPr>
    </w:p>
    <w:p>
      <w:pPr>
        <w:ind w:left="260" w:right="179"/>
        <w:spacing w:after="0" w:line="241" w:lineRule="auto"/>
        <w:rPr>
          <w:sz w:val="20"/>
          <w:szCs w:val="20"/>
          <w:color w:val="auto"/>
        </w:rPr>
      </w:pPr>
      <w:r>
        <w:rPr>
          <w:rFonts w:ascii="Times New Roman" w:cs="Times New Roman" w:eastAsia="Times New Roman" w:hAnsi="Times New Roman"/>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7" w:lineRule="exact"/>
        <w:rPr>
          <w:sz w:val="20"/>
          <w:szCs w:val="20"/>
          <w:color w:val="auto"/>
        </w:rPr>
      </w:pPr>
    </w:p>
    <w:p>
      <w:pPr>
        <w:ind w:left="4920"/>
        <w:spacing w:after="0"/>
        <w:tabs>
          <w:tab w:leader="none" w:pos="5120" w:val="left"/>
        </w:tabs>
        <w:rPr>
          <w:sz w:val="20"/>
          <w:szCs w:val="20"/>
          <w:color w:val="auto"/>
        </w:rPr>
      </w:pPr>
      <w:r>
        <w:rPr>
          <w:rFonts w:ascii="Times New Roman" w:cs="Times New Roman" w:eastAsia="Times New Roman" w:hAnsi="Times New Roman"/>
          <w:sz w:val="11"/>
          <w:szCs w:val="11"/>
          <w:color w:val="auto"/>
        </w:rPr>
        <w:t>/s/</w:t>
      </w:r>
      <w:r>
        <w:rPr>
          <w:sz w:val="20"/>
          <w:szCs w:val="20"/>
          <w:color w:val="auto"/>
        </w:rPr>
        <w:tab/>
      </w:r>
      <w:r>
        <w:rPr>
          <w:rFonts w:ascii="Times New Roman" w:cs="Times New Roman" w:eastAsia="Times New Roman" w:hAnsi="Times New Roman"/>
          <w:sz w:val="10"/>
          <w:szCs w:val="10"/>
          <w:color w:val="auto"/>
        </w:rPr>
        <w:t>KPMG LLP</w:t>
      </w:r>
    </w:p>
    <w:p>
      <w:pPr>
        <w:ind w:left="260"/>
        <w:spacing w:after="0" w:line="216" w:lineRule="auto"/>
        <w:rPr>
          <w:sz w:val="20"/>
          <w:szCs w:val="20"/>
          <w:color w:val="auto"/>
        </w:rPr>
      </w:pPr>
      <w:r>
        <w:rPr>
          <w:rFonts w:ascii="Times New Roman" w:cs="Times New Roman" w:eastAsia="Times New Roman" w:hAnsi="Times New Roman"/>
          <w:sz w:val="11"/>
          <w:szCs w:val="11"/>
          <w:color w:val="auto"/>
        </w:rPr>
        <w:t>San Francisco, California</w:t>
      </w:r>
    </w:p>
    <w:p>
      <w:pPr>
        <w:ind w:left="260"/>
        <w:spacing w:after="0"/>
        <w:rPr>
          <w:sz w:val="20"/>
          <w:szCs w:val="20"/>
          <w:color w:val="auto"/>
        </w:rPr>
      </w:pPr>
      <w:r>
        <w:rPr>
          <w:rFonts w:ascii="Times New Roman" w:cs="Times New Roman" w:eastAsia="Times New Roman" w:hAnsi="Times New Roman"/>
          <w:sz w:val="11"/>
          <w:szCs w:val="11"/>
          <w:color w:val="auto"/>
        </w:rPr>
        <w:t>March 1, 2021</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06" w:name="page107"/>
    <w:bookmarkEnd w:id="10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1"/>
          <w:szCs w:val="11"/>
          <w:b w:val="1"/>
          <w:bCs w:val="1"/>
          <w:color w:val="auto"/>
        </w:rPr>
        <w:t>Report of Independent Registered Public Accounting Firm</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To the Stockholders and Board of Directors of the General Partner and Partners</w:t>
      </w:r>
    </w:p>
    <w:p>
      <w:pPr>
        <w:ind w:left="260"/>
        <w:spacing w:after="0"/>
        <w:rPr>
          <w:sz w:val="20"/>
          <w:szCs w:val="20"/>
          <w:color w:val="auto"/>
        </w:rPr>
      </w:pPr>
      <w:r>
        <w:rPr>
          <w:rFonts w:ascii="Times New Roman" w:cs="Times New Roman" w:eastAsia="Times New Roman" w:hAnsi="Times New Roman"/>
          <w:sz w:val="11"/>
          <w:szCs w:val="11"/>
          <w:color w:val="auto"/>
        </w:rPr>
        <w:t>Digital Realty Trust, L.P.:</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Opinion on the Consolidated Financial Statements</w:t>
      </w:r>
    </w:p>
    <w:p>
      <w:pPr>
        <w:spacing w:after="0" w:line="141" w:lineRule="exact"/>
        <w:rPr>
          <w:sz w:val="20"/>
          <w:szCs w:val="20"/>
          <w:color w:val="auto"/>
        </w:rPr>
      </w:pPr>
    </w:p>
    <w:p>
      <w:pPr>
        <w:ind w:left="260" w:right="179"/>
        <w:spacing w:after="0" w:line="225" w:lineRule="auto"/>
        <w:rPr>
          <w:sz w:val="20"/>
          <w:szCs w:val="20"/>
          <w:color w:val="auto"/>
        </w:rPr>
      </w:pPr>
      <w:r>
        <w:rPr>
          <w:rFonts w:ascii="Times New Roman" w:cs="Times New Roman" w:eastAsia="Times New Roman" w:hAnsi="Times New Roman"/>
          <w:sz w:val="11"/>
          <w:szCs w:val="11"/>
          <w:color w:val="auto"/>
        </w:rPr>
        <w:t>We have audited the accompanying consolidated balance sheets of Digital Realty Trust, L.P. and subsidiaries (the Operating Partnership) as of December 31, 2020 and 2019, the related consolidated income statements and consolidated statements of comprehensive income, capital, and cash flows for each of the years in the three-year period ended December 31, 2020, and the related notes and financial statement schedule III, properties and accumulated depreciation (collectively, the consolidated financial statements). In our opinion, the consolidated financial statements present fairly, in all material respects, the financial position of the Operating Partnership as of December 31, 2020 and 2019, and the results of its operations and its cash flows for each of the years in the three-year period ended December 31, 2020, in conformity with U.S. generally accepted accounting principles.</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Change in Accounting Principle</w:t>
      </w:r>
    </w:p>
    <w:p>
      <w:pPr>
        <w:spacing w:after="0" w:line="101" w:lineRule="exact"/>
        <w:rPr>
          <w:sz w:val="20"/>
          <w:szCs w:val="20"/>
          <w:color w:val="auto"/>
        </w:rPr>
      </w:pPr>
    </w:p>
    <w:p>
      <w:pPr>
        <w:ind w:left="260" w:right="139"/>
        <w:spacing w:after="0" w:line="245" w:lineRule="auto"/>
        <w:rPr>
          <w:sz w:val="20"/>
          <w:szCs w:val="20"/>
          <w:color w:val="auto"/>
        </w:rPr>
      </w:pPr>
      <w:r>
        <w:rPr>
          <w:rFonts w:ascii="Times New Roman" w:cs="Times New Roman" w:eastAsia="Times New Roman" w:hAnsi="Times New Roman"/>
          <w:sz w:val="11"/>
          <w:szCs w:val="11"/>
          <w:color w:val="auto"/>
        </w:rPr>
        <w:t xml:space="preserve">The Operating Partnership has changed its method of accounting for leases as of January 1, 2019 due to the adoption of ASU No. 2016-02 </w:t>
      </w:r>
      <w:r>
        <w:rPr>
          <w:rFonts w:ascii="Times New Roman" w:cs="Times New Roman" w:eastAsia="Times New Roman" w:hAnsi="Times New Roman"/>
          <w:sz w:val="11"/>
          <w:szCs w:val="11"/>
          <w:i w:val="1"/>
          <w:iCs w:val="1"/>
          <w:color w:val="auto"/>
        </w:rPr>
        <w:t>Leases</w:t>
      </w:r>
      <w:r>
        <w:rPr>
          <w:rFonts w:ascii="Times New Roman" w:cs="Times New Roman" w:eastAsia="Times New Roman" w:hAnsi="Times New Roman"/>
          <w:sz w:val="11"/>
          <w:szCs w:val="11"/>
          <w:color w:val="auto"/>
        </w:rPr>
        <w:t xml:space="preserve"> and related accounting standards updates (collectively Topic 842).</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Basis for Opinion</w:t>
      </w:r>
    </w:p>
    <w:p>
      <w:pPr>
        <w:spacing w:after="0" w:line="103" w:lineRule="exact"/>
        <w:rPr>
          <w:sz w:val="20"/>
          <w:szCs w:val="20"/>
          <w:color w:val="auto"/>
        </w:rPr>
      </w:pPr>
    </w:p>
    <w:p>
      <w:pPr>
        <w:jc w:val="both"/>
        <w:ind w:left="260" w:right="119"/>
        <w:spacing w:after="0" w:line="232" w:lineRule="auto"/>
        <w:rPr>
          <w:sz w:val="20"/>
          <w:szCs w:val="20"/>
          <w:color w:val="auto"/>
        </w:rPr>
      </w:pPr>
      <w:r>
        <w:rPr>
          <w:rFonts w:ascii="Times New Roman" w:cs="Times New Roman" w:eastAsia="Times New Roman" w:hAnsi="Times New Roman"/>
          <w:sz w:val="11"/>
          <w:szCs w:val="11"/>
          <w:color w:val="auto"/>
        </w:rPr>
        <w:t>These consolidated financial statements are the responsibility of the Operating Partnership’s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Operating Partnership in accordance with the U.S. federal securities laws and the applicable rules and regulations of the Securities and Exchange Commission and the PCAOB.</w:t>
      </w:r>
    </w:p>
    <w:p>
      <w:pPr>
        <w:spacing w:after="0" w:line="89" w:lineRule="exact"/>
        <w:rPr>
          <w:sz w:val="20"/>
          <w:szCs w:val="20"/>
          <w:color w:val="auto"/>
        </w:rPr>
      </w:pPr>
    </w:p>
    <w:p>
      <w:pPr>
        <w:ind w:left="260" w:right="99"/>
        <w:spacing w:after="0" w:line="228" w:lineRule="auto"/>
        <w:rPr>
          <w:sz w:val="20"/>
          <w:szCs w:val="20"/>
          <w:color w:val="auto"/>
        </w:rPr>
      </w:pPr>
      <w:r>
        <w:rPr>
          <w:rFonts w:ascii="Times New Roman" w:cs="Times New Roman" w:eastAsia="Times New Roman" w:hAnsi="Times New Roman"/>
          <w:sz w:val="11"/>
          <w:szCs w:val="11"/>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Operating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Operating Partnership’s internal control over financial reporting. Accordingly, we express no such opinion.</w:t>
      </w:r>
    </w:p>
    <w:p>
      <w:pPr>
        <w:spacing w:after="0" w:line="89" w:lineRule="exact"/>
        <w:rPr>
          <w:sz w:val="20"/>
          <w:szCs w:val="20"/>
          <w:color w:val="auto"/>
        </w:rPr>
      </w:pPr>
    </w:p>
    <w:p>
      <w:pPr>
        <w:ind w:left="260" w:right="119"/>
        <w:spacing w:after="0" w:line="228" w:lineRule="auto"/>
        <w:rPr>
          <w:sz w:val="20"/>
          <w:szCs w:val="20"/>
          <w:color w:val="auto"/>
        </w:rPr>
      </w:pPr>
      <w:r>
        <w:rPr>
          <w:rFonts w:ascii="Times New Roman" w:cs="Times New Roman" w:eastAsia="Times New Roman" w:hAnsi="Times New Roman"/>
          <w:sz w:val="11"/>
          <w:szCs w:val="11"/>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Critical Audit Matters</w:t>
      </w:r>
    </w:p>
    <w:p>
      <w:pPr>
        <w:spacing w:after="0" w:line="103" w:lineRule="exact"/>
        <w:rPr>
          <w:sz w:val="20"/>
          <w:szCs w:val="20"/>
          <w:color w:val="auto"/>
        </w:rPr>
      </w:pPr>
    </w:p>
    <w:p>
      <w:pPr>
        <w:ind w:left="260" w:right="59"/>
        <w:spacing w:after="0" w:line="228" w:lineRule="auto"/>
        <w:rPr>
          <w:sz w:val="20"/>
          <w:szCs w:val="20"/>
          <w:color w:val="auto"/>
        </w:rPr>
      </w:pPr>
      <w:r>
        <w:rPr>
          <w:rFonts w:ascii="Times New Roman" w:cs="Times New Roman" w:eastAsia="Times New Roman" w:hAnsi="Times New Roman"/>
          <w:sz w:val="11"/>
          <w:szCs w:val="11"/>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Evaluation of lease revenue</w:t>
      </w:r>
    </w:p>
    <w:p>
      <w:pPr>
        <w:spacing w:after="0" w:line="103" w:lineRule="exact"/>
        <w:rPr>
          <w:sz w:val="20"/>
          <w:szCs w:val="20"/>
          <w:color w:val="auto"/>
        </w:rPr>
      </w:pPr>
    </w:p>
    <w:p>
      <w:pPr>
        <w:ind w:left="260" w:right="39"/>
        <w:spacing w:after="0" w:line="224" w:lineRule="auto"/>
        <w:rPr>
          <w:sz w:val="20"/>
          <w:szCs w:val="20"/>
          <w:color w:val="auto"/>
        </w:rPr>
      </w:pPr>
      <w:r>
        <w:rPr>
          <w:rFonts w:ascii="Times New Roman" w:cs="Times New Roman" w:eastAsia="Times New Roman" w:hAnsi="Times New Roman"/>
          <w:sz w:val="11"/>
          <w:szCs w:val="11"/>
          <w:color w:val="auto"/>
        </w:rPr>
        <w:t>As discussed in Note 2 to the consolidated financial statements, the Operating Partnership records rental revenue on a straight-line basis if the Operating Partnership determines on a lease-by-lease basis it is probable substantially all lease payments over the term of the lease will be collected. Whenever the results of that assessment, indicate that it is not probable that the Operating Partnership will be able to collect substantially all lease payments over the remaining term of the lease, the Operating Partnership records a reduction to rental revenue equal to the then-current combined balance of the deferred rent and amounts contractually due but unpaid for the lease (rent receivable), and ceases recognizing rental revenue on a straight-line basis and commences recognizing rental revenue on a cash collected basis. Rental and other services revenue was $3.9 billion for the year ended December 31, 2020 and deferred rent and rent receivable, net was $528.2 million and $358.0 million, respectively, as of December 31, 2020.</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07" w:name="page108"/>
    <w:bookmarkEnd w:id="10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4" w:lineRule="exact"/>
        <w:rPr>
          <w:sz w:val="20"/>
          <w:szCs w:val="20"/>
          <w:color w:val="auto"/>
        </w:rPr>
      </w:pPr>
    </w:p>
    <w:p>
      <w:pPr>
        <w:ind w:left="260" w:right="79"/>
        <w:spacing w:after="0" w:line="232" w:lineRule="auto"/>
        <w:rPr>
          <w:sz w:val="20"/>
          <w:szCs w:val="20"/>
          <w:color w:val="auto"/>
        </w:rPr>
      </w:pPr>
      <w:r>
        <w:rPr>
          <w:rFonts w:ascii="Times New Roman" w:cs="Times New Roman" w:eastAsia="Times New Roman" w:hAnsi="Times New Roman"/>
          <w:sz w:val="11"/>
          <w:szCs w:val="11"/>
          <w:color w:val="auto"/>
        </w:rPr>
        <w:t>We identified the evaluation of the probability of collection of lease payments as a critical audit matter. Evaluating the Operating Partnership’s probability assessment of collection of substantially all the lease payments for its leases required significant auditor judgment because of the subjective nature of the evidence obtained. Specifically, evaluating the creditworthiness of the customer and any guarantors required significant auditor judgment.</w:t>
      </w:r>
    </w:p>
    <w:p>
      <w:pPr>
        <w:spacing w:after="0" w:line="127" w:lineRule="exact"/>
        <w:rPr>
          <w:sz w:val="20"/>
          <w:szCs w:val="20"/>
          <w:color w:val="auto"/>
        </w:rPr>
      </w:pPr>
    </w:p>
    <w:p>
      <w:pPr>
        <w:ind w:left="260" w:right="39"/>
        <w:spacing w:after="0" w:line="224" w:lineRule="auto"/>
        <w:rPr>
          <w:sz w:val="20"/>
          <w:szCs w:val="20"/>
          <w:color w:val="auto"/>
        </w:rPr>
      </w:pPr>
      <w:r>
        <w:rPr>
          <w:rFonts w:ascii="Times New Roman" w:cs="Times New Roman" w:eastAsia="Times New Roman" w:hAnsi="Times New Roman"/>
          <w:sz w:val="11"/>
          <w:szCs w:val="11"/>
          <w:color w:val="auto"/>
        </w:rPr>
        <w:t>The following are the primary procedures we performed to address this critical audit matter. We evaluated the design and tested the operating effectiveness of certain internal controls over the Operating Partnership’s probability assessment of lease payment collection process, including the assessment of the creditworthiness of the customer and any guarantors. For a selection of the Operating Partnership’s leases, we evaluated the Operating Partnership’s determination of the collectibility of substantially all of the lease payments by: (i) comparing the legal name of customer and any guarantor to the underlying lease agreements and third-party credit rating report, (ii) evaluating the creditworthiness of the customer by assessing their credit rating, (iii) reading publicly available information, including the customer’s financial statements, analyst reports, recent public filings, and news articles, and (iv) inquiring of Operating Partnership employees to obtain evidence regarding creditworthiness of the customers.</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Fair value measurement of customer relationship value and building and improvements acquired in the Interxion business combination</w:t>
      </w:r>
    </w:p>
    <w:p>
      <w:pPr>
        <w:spacing w:after="0" w:line="103" w:lineRule="exact"/>
        <w:rPr>
          <w:sz w:val="20"/>
          <w:szCs w:val="20"/>
          <w:color w:val="auto"/>
        </w:rPr>
      </w:pPr>
    </w:p>
    <w:p>
      <w:pPr>
        <w:jc w:val="both"/>
        <w:ind w:left="260" w:right="219"/>
        <w:spacing w:after="0" w:line="232" w:lineRule="auto"/>
        <w:rPr>
          <w:sz w:val="20"/>
          <w:szCs w:val="20"/>
          <w:color w:val="auto"/>
        </w:rPr>
      </w:pPr>
      <w:r>
        <w:rPr>
          <w:rFonts w:ascii="Times New Roman" w:cs="Times New Roman" w:eastAsia="Times New Roman" w:hAnsi="Times New Roman"/>
          <w:sz w:val="11"/>
          <w:szCs w:val="11"/>
          <w:color w:val="auto"/>
        </w:rPr>
        <w:t>As discussed in Note 3 to the consolidated financial statements, on March 9, 2020, the Operating Partnership acquired Interxion Holding, N.V. (Interxion) in a business combination for total purchase consideration of $6,876 million. In connection with the transaction, the Operating Partnership recorded tangible and intangible assets and liabilities at fair value, including customer relationship value (CRV) and building and improvements. The fair value of CRV and building and improvements was $1,002 million and $3,247 million, respectively, as of the acquisition date.</w:t>
      </w:r>
    </w:p>
    <w:p>
      <w:pPr>
        <w:spacing w:after="0" w:line="89" w:lineRule="exact"/>
        <w:rPr>
          <w:sz w:val="20"/>
          <w:szCs w:val="20"/>
          <w:color w:val="auto"/>
        </w:rPr>
      </w:pPr>
    </w:p>
    <w:p>
      <w:pPr>
        <w:ind w:left="260" w:right="159"/>
        <w:spacing w:after="0" w:line="225" w:lineRule="auto"/>
        <w:rPr>
          <w:sz w:val="20"/>
          <w:szCs w:val="20"/>
          <w:color w:val="auto"/>
        </w:rPr>
      </w:pPr>
      <w:r>
        <w:rPr>
          <w:rFonts w:ascii="Times New Roman" w:cs="Times New Roman" w:eastAsia="Times New Roman" w:hAnsi="Times New Roman"/>
          <w:sz w:val="11"/>
          <w:szCs w:val="11"/>
          <w:color w:val="auto"/>
        </w:rPr>
        <w:t>We identified the evaluation of the fair value measurement of CRV and building and improvements acquired in the Interxion business combination as a critical audit matter. The recorded value of CRV and building and improvements was sensitive to changes to the inputs and assumptions in the purchase price allocation as of the acquisition date. The inputs and assumptions that resulted in a higher degree of subjectivity and required complex auditor judgment related to CRV included the discount rate, projected revenue growth from existing customers, and the attrition rate. The inputs and assumptions that resulted in a higher degree of subjectivity and required complex auditor judgement related to building and improvements included replacement cost new per square foot and estimated physical depreciation.</w:t>
      </w:r>
    </w:p>
    <w:p>
      <w:pPr>
        <w:spacing w:after="0" w:line="129" w:lineRule="exact"/>
        <w:rPr>
          <w:sz w:val="20"/>
          <w:szCs w:val="20"/>
          <w:color w:val="auto"/>
        </w:rPr>
      </w:pPr>
    </w:p>
    <w:p>
      <w:pPr>
        <w:ind w:left="260" w:right="99"/>
        <w:spacing w:after="0" w:line="225" w:lineRule="auto"/>
        <w:rPr>
          <w:sz w:val="20"/>
          <w:szCs w:val="20"/>
          <w:color w:val="auto"/>
        </w:rPr>
      </w:pPr>
      <w:r>
        <w:rPr>
          <w:rFonts w:ascii="Times New Roman" w:cs="Times New Roman" w:eastAsia="Times New Roman" w:hAnsi="Times New Roman"/>
          <w:sz w:val="11"/>
          <w:szCs w:val="11"/>
          <w:color w:val="auto"/>
        </w:rPr>
        <w:t>The following are the primary procedures we performed to address this critical audit matter. We evaluated the design and tested the operating effectiveness of certain internal controls over the Operating Partnership’s valuation of CRV and building and improvements including controls related to the inputs and assumptions listed above. We evaluated the Operating Partnership’s inputs and assumptions listed above by: (1) identifying and considering the relevancy, reliability, and sufficiency of the sources of data used by the Operating Partnership in developing these assumptions and (2) comparing to relevant industry market data if available or to historical Operating Partnership data and (3) performing sensitivity analyses to understand the impact of changes in these assumptions on the fair value estimate. In addition, we involved valuation professionals with specialized skills and knowledge, who assisted in evaluating:</w:t>
      </w:r>
    </w:p>
    <w:p>
      <w:pPr>
        <w:spacing w:after="0" w:line="100" w:lineRule="exact"/>
        <w:rPr>
          <w:sz w:val="20"/>
          <w:szCs w:val="20"/>
          <w:color w:val="auto"/>
        </w:rPr>
      </w:pPr>
    </w:p>
    <w:p>
      <w:pPr>
        <w:ind w:left="260" w:right="219" w:hanging="7"/>
        <w:spacing w:after="0" w:line="245" w:lineRule="auto"/>
        <w:tabs>
          <w:tab w:leader="none" w:pos="488" w:val="left"/>
        </w:tabs>
        <w:numPr>
          <w:ilvl w:val="0"/>
          <w:numId w:val="50"/>
        </w:numPr>
        <w:rPr>
          <w:rFonts w:ascii="Arial" w:cs="Arial" w:eastAsia="Arial" w:hAnsi="Arial"/>
          <w:sz w:val="11"/>
          <w:szCs w:val="11"/>
          <w:color w:val="auto"/>
        </w:rPr>
      </w:pPr>
      <w:r>
        <w:rPr>
          <w:rFonts w:ascii="Times New Roman" w:cs="Times New Roman" w:eastAsia="Times New Roman" w:hAnsi="Times New Roman"/>
          <w:sz w:val="11"/>
          <w:szCs w:val="11"/>
          <w:color w:val="auto"/>
        </w:rPr>
        <w:t>The discount rate assumption used to value CRV by independently developing a range of rates using publicly available market interest rate data and comparing the independent ranges to the rate used by the Operating Partnership,</w:t>
      </w:r>
    </w:p>
    <w:p>
      <w:pPr>
        <w:ind w:left="480" w:hanging="227"/>
        <w:spacing w:after="0"/>
        <w:tabs>
          <w:tab w:leader="none" w:pos="480" w:val="left"/>
        </w:tabs>
        <w:numPr>
          <w:ilvl w:val="0"/>
          <w:numId w:val="50"/>
        </w:numPr>
        <w:rPr>
          <w:rFonts w:ascii="Arial" w:cs="Arial" w:eastAsia="Arial" w:hAnsi="Arial"/>
          <w:sz w:val="11"/>
          <w:szCs w:val="11"/>
          <w:color w:val="auto"/>
        </w:rPr>
      </w:pPr>
      <w:r>
        <w:rPr>
          <w:rFonts w:ascii="Times New Roman" w:cs="Times New Roman" w:eastAsia="Times New Roman" w:hAnsi="Times New Roman"/>
          <w:sz w:val="11"/>
          <w:szCs w:val="11"/>
          <w:color w:val="auto"/>
        </w:rPr>
        <w:t>certain projected revenue growth rate assumptions used to value CRV to macro-economic trend data or publicly available market data, and</w:t>
      </w:r>
    </w:p>
    <w:p>
      <w:pPr>
        <w:spacing w:after="0" w:line="4" w:lineRule="exact"/>
        <w:rPr>
          <w:rFonts w:ascii="Arial" w:cs="Arial" w:eastAsia="Arial" w:hAnsi="Arial"/>
          <w:sz w:val="11"/>
          <w:szCs w:val="11"/>
          <w:color w:val="auto"/>
        </w:rPr>
      </w:pPr>
    </w:p>
    <w:p>
      <w:pPr>
        <w:ind w:left="260" w:right="259" w:hanging="7"/>
        <w:spacing w:after="0" w:line="238" w:lineRule="auto"/>
        <w:tabs>
          <w:tab w:leader="none" w:pos="488" w:val="left"/>
        </w:tabs>
        <w:numPr>
          <w:ilvl w:val="0"/>
          <w:numId w:val="50"/>
        </w:numPr>
        <w:rPr>
          <w:rFonts w:ascii="Arial" w:cs="Arial" w:eastAsia="Arial" w:hAnsi="Arial"/>
          <w:sz w:val="11"/>
          <w:szCs w:val="11"/>
          <w:i w:val="1"/>
          <w:iCs w:val="1"/>
          <w:color w:val="auto"/>
        </w:rPr>
      </w:pPr>
      <w:r>
        <w:rPr>
          <w:rFonts w:ascii="Times New Roman" w:cs="Times New Roman" w:eastAsia="Times New Roman" w:hAnsi="Times New Roman"/>
          <w:sz w:val="11"/>
          <w:szCs w:val="11"/>
          <w:color w:val="auto"/>
        </w:rPr>
        <w:t>replacement cost new per square foot assumption used to value building and improvements by developing an estimated range of replacement cost new per square foot using historical Operating Partnership cost data for similar recently completed data centers and comparing to the value used by the Operating Partnership.</w:t>
      </w:r>
    </w:p>
    <w:p>
      <w:pPr>
        <w:spacing w:after="0" w:line="98" w:lineRule="exact"/>
        <w:rPr>
          <w:sz w:val="20"/>
          <w:szCs w:val="20"/>
          <w:color w:val="auto"/>
        </w:rPr>
      </w:pPr>
    </w:p>
    <w:p>
      <w:pPr>
        <w:ind w:left="4600"/>
        <w:spacing w:after="0"/>
        <w:tabs>
          <w:tab w:leader="none" w:pos="4780" w:val="left"/>
        </w:tabs>
        <w:rPr>
          <w:sz w:val="20"/>
          <w:szCs w:val="20"/>
          <w:color w:val="auto"/>
        </w:rPr>
      </w:pPr>
      <w:r>
        <w:rPr>
          <w:rFonts w:ascii="Times New Roman" w:cs="Times New Roman" w:eastAsia="Times New Roman" w:hAnsi="Times New Roman"/>
          <w:sz w:val="11"/>
          <w:szCs w:val="11"/>
          <w:color w:val="auto"/>
        </w:rPr>
        <w:t>/s/</w:t>
      </w:r>
      <w:r>
        <w:rPr>
          <w:sz w:val="20"/>
          <w:szCs w:val="20"/>
          <w:color w:val="auto"/>
        </w:rPr>
        <w:tab/>
      </w:r>
      <w:r>
        <w:rPr>
          <w:rFonts w:ascii="Times New Roman" w:cs="Times New Roman" w:eastAsia="Times New Roman" w:hAnsi="Times New Roman"/>
          <w:sz w:val="10"/>
          <w:szCs w:val="10"/>
          <w:color w:val="auto"/>
        </w:rPr>
        <w:t>KPMG LLP</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We have served as the Operating Partnership’s auditor since 2004.</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San Francisco, California</w:t>
      </w:r>
    </w:p>
    <w:p>
      <w:pPr>
        <w:ind w:left="20"/>
        <w:spacing w:after="0"/>
        <w:rPr>
          <w:sz w:val="20"/>
          <w:szCs w:val="20"/>
          <w:color w:val="auto"/>
        </w:rPr>
      </w:pPr>
      <w:r>
        <w:rPr>
          <w:rFonts w:ascii="Times New Roman" w:cs="Times New Roman" w:eastAsia="Times New Roman" w:hAnsi="Times New Roman"/>
          <w:sz w:val="11"/>
          <w:szCs w:val="11"/>
          <w:color w:val="auto"/>
        </w:rPr>
        <w:t>March 1, 2021</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08" w:name="page109"/>
    <w:bookmarkEnd w:id="10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2"/>
                <w:szCs w:val="12"/>
                <w:color w:val="auto"/>
              </w:rPr>
            </w:pPr>
          </w:p>
        </w:tc>
        <w:tc>
          <w:tcPr>
            <w:tcW w:w="94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1"/>
        </w:trPr>
        <w:tc>
          <w:tcPr>
            <w:tcW w:w="66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34"/>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42"/>
        </w:trPr>
        <w:tc>
          <w:tcPr>
            <w:tcW w:w="6640" w:type="dxa"/>
            <w:vAlign w:val="bottom"/>
          </w:tcPr>
          <w:p>
            <w:pPr>
              <w:spacing w:after="0"/>
              <w:rPr>
                <w:sz w:val="20"/>
                <w:szCs w:val="20"/>
                <w:color w:val="auto"/>
              </w:rPr>
            </w:pPr>
            <w:r>
              <w:rPr>
                <w:rFonts w:ascii="Times New Roman" w:cs="Times New Roman" w:eastAsia="Times New Roman" w:hAnsi="Times New Roman"/>
                <w:sz w:val="11"/>
                <w:szCs w:val="11"/>
                <w:color w:val="auto"/>
              </w:rPr>
              <w:t>Investments in real estate:</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2"/>
        </w:trPr>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Investments in properties, net</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20,582,954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14,230,575</w:t>
            </w:r>
          </w:p>
        </w:tc>
      </w:tr>
      <w:tr>
        <w:trPr>
          <w:trHeight w:val="142"/>
        </w:trPr>
        <w:tc>
          <w:tcPr>
            <w:tcW w:w="6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Investments in unconsolidated joint ventures</w:t>
            </w: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1,148,158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1,287,109</w:t>
            </w:r>
          </w:p>
        </w:tc>
      </w:tr>
      <w:tr>
        <w:trPr>
          <w:trHeight w:val="132"/>
        </w:trPr>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Net investments in real estate</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21,731,112</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15,517,684</w:t>
            </w:r>
          </w:p>
        </w:tc>
      </w:tr>
      <w:tr>
        <w:trPr>
          <w:trHeight w:val="142"/>
        </w:trPr>
        <w:tc>
          <w:tcPr>
            <w:tcW w:w="6640" w:type="dxa"/>
            <w:vAlign w:val="bottom"/>
          </w:tcPr>
          <w:p>
            <w:pPr>
              <w:spacing w:after="0"/>
              <w:rPr>
                <w:sz w:val="20"/>
                <w:szCs w:val="20"/>
                <w:color w:val="auto"/>
              </w:rPr>
            </w:pPr>
            <w:r>
              <w:rPr>
                <w:rFonts w:ascii="Times New Roman" w:cs="Times New Roman" w:eastAsia="Times New Roman" w:hAnsi="Times New Roman"/>
                <w:sz w:val="11"/>
                <w:szCs w:val="11"/>
                <w:color w:val="auto"/>
              </w:rPr>
              <w:t>Operating lease right-of-use assets, net</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1,386,959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628,681</w:t>
            </w:r>
          </w:p>
        </w:tc>
      </w:tr>
      <w:tr>
        <w:trPr>
          <w:trHeight w:val="14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108,501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89,817</w:t>
            </w:r>
          </w:p>
        </w:tc>
      </w:tr>
      <w:tr>
        <w:trPr>
          <w:trHeight w:val="142"/>
        </w:trPr>
        <w:tc>
          <w:tcPr>
            <w:tcW w:w="6640" w:type="dxa"/>
            <w:vAlign w:val="bottom"/>
          </w:tcPr>
          <w:p>
            <w:pPr>
              <w:spacing w:after="0"/>
              <w:rPr>
                <w:sz w:val="20"/>
                <w:szCs w:val="20"/>
                <w:color w:val="auto"/>
              </w:rPr>
            </w:pPr>
            <w:r>
              <w:rPr>
                <w:rFonts w:ascii="Times New Roman" w:cs="Times New Roman" w:eastAsia="Times New Roman" w:hAnsi="Times New Roman"/>
                <w:sz w:val="11"/>
                <w:szCs w:val="11"/>
                <w:color w:val="auto"/>
              </w:rPr>
              <w:t>Accounts and other receivables, net</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603,111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305,501</w:t>
            </w:r>
          </w:p>
        </w:tc>
      </w:tr>
      <w:tr>
        <w:trPr>
          <w:trHeight w:val="14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rent</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528,180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478,744</w:t>
            </w:r>
          </w:p>
        </w:tc>
      </w:tr>
      <w:tr>
        <w:trPr>
          <w:trHeight w:val="142"/>
        </w:trPr>
        <w:tc>
          <w:tcPr>
            <w:tcW w:w="6640" w:type="dxa"/>
            <w:vAlign w:val="bottom"/>
          </w:tcPr>
          <w:p>
            <w:pPr>
              <w:spacing w:after="0"/>
              <w:rPr>
                <w:sz w:val="20"/>
                <w:szCs w:val="20"/>
                <w:color w:val="auto"/>
              </w:rPr>
            </w:pPr>
            <w:r>
              <w:rPr>
                <w:rFonts w:ascii="Times New Roman" w:cs="Times New Roman" w:eastAsia="Times New Roman" w:hAnsi="Times New Roman"/>
                <w:sz w:val="11"/>
                <w:szCs w:val="11"/>
                <w:color w:val="auto"/>
              </w:rPr>
              <w:t>Goodwill</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8,330,996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3,363,070</w:t>
            </w:r>
          </w:p>
        </w:tc>
      </w:tr>
      <w:tr>
        <w:trPr>
          <w:trHeight w:val="14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Customer relationship value, deferred leasing costs and other intangibles, net</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3,122,904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2,195,324</w:t>
            </w:r>
          </w:p>
        </w:tc>
      </w:tr>
      <w:tr>
        <w:trPr>
          <w:trHeight w:val="142"/>
        </w:trPr>
        <w:tc>
          <w:tcPr>
            <w:tcW w:w="6640" w:type="dxa"/>
            <w:vAlign w:val="bottom"/>
          </w:tcPr>
          <w:p>
            <w:pPr>
              <w:spacing w:after="0"/>
              <w:rPr>
                <w:sz w:val="20"/>
                <w:szCs w:val="20"/>
                <w:color w:val="auto"/>
              </w:rPr>
            </w:pPr>
            <w:r>
              <w:rPr>
                <w:rFonts w:ascii="Times New Roman" w:cs="Times New Roman" w:eastAsia="Times New Roman" w:hAnsi="Times New Roman"/>
                <w:sz w:val="11"/>
                <w:szCs w:val="11"/>
                <w:color w:val="auto"/>
              </w:rPr>
              <w:t>Assets held for sale</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229,934</w:t>
            </w:r>
          </w:p>
        </w:tc>
      </w:tr>
      <w:tr>
        <w:trPr>
          <w:trHeight w:val="14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1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264,528</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259,376</w:t>
            </w:r>
          </w:p>
        </w:tc>
      </w:tr>
      <w:tr>
        <w:trPr>
          <w:trHeight w:val="140"/>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36,076,291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23,068,131</w:t>
            </w:r>
          </w:p>
        </w:tc>
      </w:tr>
      <w:tr>
        <w:trPr>
          <w:trHeight w:val="14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6640" w:type="dxa"/>
            <w:vAlign w:val="bottom"/>
          </w:tcPr>
          <w:p>
            <w:pPr>
              <w:spacing w:after="0"/>
              <w:rPr>
                <w:sz w:val="20"/>
                <w:szCs w:val="20"/>
                <w:color w:val="auto"/>
              </w:rPr>
            </w:pPr>
            <w:r>
              <w:rPr>
                <w:rFonts w:ascii="Times New Roman" w:cs="Times New Roman" w:eastAsia="Times New Roman" w:hAnsi="Times New Roman"/>
                <w:sz w:val="11"/>
                <w:szCs w:val="11"/>
                <w:color w:val="auto"/>
              </w:rPr>
              <w:t>Global revolving credit facilities, net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531,905</w:t>
            </w:r>
          </w:p>
        </w:tc>
        <w:tc>
          <w:tcPr>
            <w:tcW w:w="20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234,105</w:t>
            </w:r>
          </w:p>
        </w:tc>
      </w:tr>
      <w:tr>
        <w:trPr>
          <w:trHeight w:val="14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Unsecured term loans, net</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536,580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810,219</w:t>
            </w:r>
          </w:p>
        </w:tc>
      </w:tr>
      <w:tr>
        <w:trPr>
          <w:trHeight w:val="142"/>
        </w:trPr>
        <w:tc>
          <w:tcPr>
            <w:tcW w:w="6640" w:type="dxa"/>
            <w:vAlign w:val="bottom"/>
          </w:tcPr>
          <w:p>
            <w:pPr>
              <w:spacing w:after="0"/>
              <w:rPr>
                <w:sz w:val="20"/>
                <w:szCs w:val="20"/>
                <w:color w:val="auto"/>
              </w:rPr>
            </w:pPr>
            <w:r>
              <w:rPr>
                <w:rFonts w:ascii="Times New Roman" w:cs="Times New Roman" w:eastAsia="Times New Roman" w:hAnsi="Times New Roman"/>
                <w:sz w:val="11"/>
                <w:szCs w:val="11"/>
                <w:color w:val="auto"/>
              </w:rPr>
              <w:t>Unsecured senior notes, net of discount</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11,997,010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8,973,190</w:t>
            </w:r>
          </w:p>
        </w:tc>
      </w:tr>
      <w:tr>
        <w:trPr>
          <w:trHeight w:val="14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Secured debt, including premiums</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239,222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104,934</w:t>
            </w:r>
          </w:p>
        </w:tc>
      </w:tr>
      <w:tr>
        <w:trPr>
          <w:trHeight w:val="142"/>
        </w:trPr>
        <w:tc>
          <w:tcPr>
            <w:tcW w:w="6640" w:type="dxa"/>
            <w:vAlign w:val="bottom"/>
          </w:tcPr>
          <w:p>
            <w:pPr>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1,468,712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693,539</w:t>
            </w:r>
          </w:p>
        </w:tc>
      </w:tr>
      <w:tr>
        <w:trPr>
          <w:trHeight w:val="14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Accounts payable and other accrued liabilities</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1,420,162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1,009,154</w:t>
            </w:r>
          </w:p>
        </w:tc>
      </w:tr>
      <w:tr>
        <w:trPr>
          <w:trHeight w:val="142"/>
        </w:trPr>
        <w:tc>
          <w:tcPr>
            <w:tcW w:w="6640" w:type="dxa"/>
            <w:vAlign w:val="bottom"/>
          </w:tcPr>
          <w:p>
            <w:pPr>
              <w:spacing w:after="0"/>
              <w:rPr>
                <w:sz w:val="20"/>
                <w:szCs w:val="20"/>
                <w:color w:val="auto"/>
              </w:rPr>
            </w:pPr>
            <w:r>
              <w:rPr>
                <w:rFonts w:ascii="Times New Roman" w:cs="Times New Roman" w:eastAsia="Times New Roman" w:hAnsi="Times New Roman"/>
                <w:sz w:val="11"/>
                <w:szCs w:val="11"/>
                <w:color w:val="auto"/>
              </w:rPr>
              <w:t>Deferred tax liabilities, net</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698,308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147,381</w:t>
            </w:r>
          </w:p>
        </w:tc>
      </w:tr>
      <w:tr>
        <w:trPr>
          <w:trHeight w:val="14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Accrued dividends and distributions</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324,386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234,620</w:t>
            </w:r>
          </w:p>
        </w:tc>
      </w:tr>
      <w:tr>
        <w:trPr>
          <w:trHeight w:val="142"/>
        </w:trPr>
        <w:tc>
          <w:tcPr>
            <w:tcW w:w="6640" w:type="dxa"/>
            <w:vAlign w:val="bottom"/>
          </w:tcPr>
          <w:p>
            <w:pPr>
              <w:spacing w:after="0"/>
              <w:rPr>
                <w:sz w:val="20"/>
                <w:szCs w:val="20"/>
                <w:color w:val="auto"/>
              </w:rPr>
            </w:pPr>
            <w:r>
              <w:rPr>
                <w:rFonts w:ascii="Times New Roman" w:cs="Times New Roman" w:eastAsia="Times New Roman" w:hAnsi="Times New Roman"/>
                <w:sz w:val="11"/>
                <w:szCs w:val="11"/>
                <w:color w:val="auto"/>
              </w:rPr>
              <w:t>Security deposits and prepaid rents</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371,659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208,724</w:t>
            </w:r>
          </w:p>
        </w:tc>
      </w:tr>
      <w:tr>
        <w:trPr>
          <w:trHeight w:val="14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Obligations associated with assets held for sale</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2,700</w:t>
            </w:r>
          </w:p>
        </w:tc>
      </w:tr>
      <w:tr>
        <w:trPr>
          <w:trHeight w:val="132"/>
        </w:trPr>
        <w:tc>
          <w:tcPr>
            <w:tcW w:w="6640" w:type="dxa"/>
            <w:vAlign w:val="bottom"/>
          </w:tcPr>
          <w:p>
            <w:pPr>
              <w:spacing w:after="0"/>
              <w:rPr>
                <w:sz w:val="20"/>
                <w:szCs w:val="20"/>
                <w:color w:val="auto"/>
              </w:rPr>
            </w:pPr>
            <w:r>
              <w:rPr>
                <w:rFonts w:ascii="Times New Roman" w:cs="Times New Roman" w:eastAsia="Times New Roman" w:hAnsi="Times New Roman"/>
                <w:sz w:val="11"/>
                <w:szCs w:val="11"/>
                <w:color w:val="auto"/>
              </w:rPr>
              <w:t>Total liabilities</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17,587,944</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12,418,566</w:t>
            </w:r>
          </w:p>
        </w:tc>
      </w:tr>
      <w:tr>
        <w:trPr>
          <w:trHeight w:val="142"/>
        </w:trPr>
        <w:tc>
          <w:tcPr>
            <w:tcW w:w="6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6640" w:type="dxa"/>
            <w:vAlign w:val="bottom"/>
          </w:tcPr>
          <w:p>
            <w:pPr>
              <w:spacing w:after="0"/>
              <w:rPr>
                <w:sz w:val="20"/>
                <w:szCs w:val="20"/>
                <w:color w:val="auto"/>
              </w:rPr>
            </w:pPr>
            <w:r>
              <w:rPr>
                <w:rFonts w:ascii="Times New Roman" w:cs="Times New Roman" w:eastAsia="Times New Roman" w:hAnsi="Times New Roman"/>
                <w:sz w:val="11"/>
                <w:szCs w:val="11"/>
                <w:color w:val="auto"/>
              </w:rPr>
              <w:t>Redeemable noncontrolling interests</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42,011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41,465</w:t>
            </w:r>
          </w:p>
        </w:tc>
      </w:tr>
      <w:tr>
        <w:trPr>
          <w:trHeight w:val="14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Commitments and contingencies</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6640" w:type="dxa"/>
            <w:vAlign w:val="bottom"/>
          </w:tcPr>
          <w:p>
            <w:pPr>
              <w:spacing w:after="0"/>
              <w:rPr>
                <w:sz w:val="20"/>
                <w:szCs w:val="20"/>
                <w:color w:val="auto"/>
              </w:rPr>
            </w:pPr>
            <w:r>
              <w:rPr>
                <w:rFonts w:ascii="Times New Roman" w:cs="Times New Roman" w:eastAsia="Times New Roman" w:hAnsi="Times New Roman"/>
                <w:sz w:val="11"/>
                <w:szCs w:val="11"/>
                <w:color w:val="auto"/>
              </w:rPr>
              <w:t>Equity:</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2"/>
        </w:trPr>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Stockholders’ Equity:</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33"/>
        </w:trPr>
        <w:tc>
          <w:tcPr>
            <w:tcW w:w="6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Preferred Stock: $0.01 par value per share, 110,000,000 shares authorized; $956,250 and $1,456,250 liquidation preference ($25.00 per</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9"/>
        </w:trPr>
        <w:tc>
          <w:tcPr>
            <w:tcW w:w="6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share), 38,250,000 and 58,250,000 shares issued and outstanding as of December 31, 2020 and December 31, 2019, respectively</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950,940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1,434,420</w:t>
            </w:r>
          </w:p>
        </w:tc>
      </w:tr>
      <w:tr>
        <w:trPr>
          <w:trHeight w:val="135"/>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Common Stock: $0.01 par value per share, 392,000,000 and 315,000,000 shares authorized and 280,289,726 and 208,900,758 shares</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51"/>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issued and outstanding as of December 31, 2020 and December 31, 2019, respectively</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2,788</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2,073</w:t>
            </w:r>
          </w:p>
        </w:tc>
      </w:tr>
      <w:tr>
        <w:trPr>
          <w:trHeight w:val="142"/>
        </w:trPr>
        <w:tc>
          <w:tcPr>
            <w:tcW w:w="6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20,626,897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11,577,320</w:t>
            </w:r>
          </w:p>
        </w:tc>
      </w:tr>
      <w:tr>
        <w:trPr>
          <w:trHeight w:val="142"/>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Accumulated dividends in excess of earnings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(3,997,938)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(3,046,579)</w:t>
            </w:r>
          </w:p>
        </w:tc>
      </w:tr>
      <w:tr>
        <w:trPr>
          <w:trHeight w:val="142"/>
        </w:trPr>
        <w:tc>
          <w:tcPr>
            <w:tcW w:w="6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Accumulated other comprehensive income (loss), net</w:t>
            </w: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135,010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(87,922)</w:t>
            </w:r>
          </w:p>
        </w:tc>
      </w:tr>
      <w:tr>
        <w:trPr>
          <w:trHeight w:val="132"/>
        </w:trPr>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17,717,697</w:t>
            </w:r>
          </w:p>
        </w:tc>
        <w:tc>
          <w:tcPr>
            <w:tcW w:w="2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9,879,312</w:t>
            </w:r>
          </w:p>
        </w:tc>
      </w:tr>
      <w:tr>
        <w:trPr>
          <w:trHeight w:val="130"/>
        </w:trPr>
        <w:tc>
          <w:tcPr>
            <w:tcW w:w="6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Noncontrolling Interests:</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4"/>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Noncontrolling interests in operating partnership</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608,980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708,163</w:t>
            </w:r>
          </w:p>
        </w:tc>
      </w:tr>
      <w:tr>
        <w:trPr>
          <w:trHeight w:val="142"/>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1"/>
                <w:szCs w:val="11"/>
                <w:color w:val="auto"/>
              </w:rPr>
              <w:t>Noncontrolling interests in consolidated joint ventures</w:t>
            </w: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119,659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20,625</w:t>
            </w:r>
          </w:p>
        </w:tc>
      </w:tr>
      <w:tr>
        <w:trPr>
          <w:trHeight w:val="132"/>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Total noncontrolling interests</w:t>
            </w:r>
          </w:p>
        </w:tc>
        <w:tc>
          <w:tcPr>
            <w:tcW w:w="1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728,639</w:t>
            </w:r>
          </w:p>
        </w:tc>
        <w:tc>
          <w:tcPr>
            <w:tcW w:w="2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728,788</w:t>
            </w:r>
          </w:p>
        </w:tc>
      </w:tr>
      <w:tr>
        <w:trPr>
          <w:trHeight w:val="132"/>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Total equity</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18,446,336</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10,608,100</w:t>
            </w:r>
          </w:p>
        </w:tc>
      </w:tr>
      <w:tr>
        <w:trPr>
          <w:trHeight w:val="140"/>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36,076,291</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23,068,131</w:t>
            </w:r>
          </w:p>
        </w:tc>
      </w:tr>
    </w:tbl>
    <w:p>
      <w:pPr>
        <w:jc w:val="center"/>
        <w:ind w:right="-220"/>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09" w:name="page110"/>
    <w:bookmarkEnd w:id="10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1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3"/>
          <w:szCs w:val="13"/>
          <w:b w:val="1"/>
          <w:bCs w:val="1"/>
          <w:color w:val="auto"/>
        </w:rPr>
        <w:t>CONSOLIDATED INCOME STATEMENTS</w:t>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48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r>
        <w:trPr>
          <w:trHeight w:val="94"/>
        </w:trPr>
        <w:tc>
          <w:tcPr>
            <w:tcW w:w="48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457"/>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437"/>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26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457"/>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r>
      <w:tr>
        <w:trPr>
          <w:trHeight w:val="141"/>
        </w:trPr>
        <w:tc>
          <w:tcPr>
            <w:tcW w:w="48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Operating Revenues:</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5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Rental and other services</w:t>
            </w: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3,886,546</w:t>
            </w:r>
          </w:p>
        </w:tc>
        <w:tc>
          <w:tcPr>
            <w:tcW w:w="240" w:type="dxa"/>
            <w:vAlign w:val="bottom"/>
          </w:tcPr>
          <w:p>
            <w:pPr>
              <w:spacing w:after="0"/>
              <w:rPr>
                <w:sz w:val="13"/>
                <w:szCs w:val="13"/>
                <w:color w:val="auto"/>
              </w:rPr>
            </w:pP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3,196,356</w:t>
            </w:r>
          </w:p>
        </w:tc>
        <w:tc>
          <w:tcPr>
            <w:tcW w:w="260" w:type="dxa"/>
            <w:vAlign w:val="bottom"/>
          </w:tcPr>
          <w:p>
            <w:pPr>
              <w:spacing w:after="0"/>
              <w:rPr>
                <w:sz w:val="13"/>
                <w:szCs w:val="13"/>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2,412,076</w:t>
            </w: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Tenant reimbursements</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624,637</w:t>
            </w:r>
          </w:p>
        </w:tc>
      </w:tr>
      <w:tr>
        <w:trPr>
          <w:trHeight w:val="152"/>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Fee income and other</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17,063</w:t>
            </w:r>
          </w:p>
        </w:tc>
        <w:tc>
          <w:tcPr>
            <w:tcW w:w="2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12,885</w:t>
            </w:r>
          </w:p>
        </w:tc>
        <w:tc>
          <w:tcPr>
            <w:tcW w:w="2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9,765</w:t>
            </w:r>
          </w:p>
        </w:tc>
      </w:tr>
      <w:tr>
        <w:trPr>
          <w:trHeight w:val="141"/>
        </w:trPr>
        <w:tc>
          <w:tcPr>
            <w:tcW w:w="48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Total operating revenues</w:t>
            </w: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3,903,609</w:t>
            </w:r>
          </w:p>
        </w:tc>
        <w:tc>
          <w:tcPr>
            <w:tcW w:w="2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3,209,241</w:t>
            </w:r>
          </w:p>
        </w:tc>
        <w:tc>
          <w:tcPr>
            <w:tcW w:w="2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3,046,478</w:t>
            </w:r>
          </w:p>
        </w:tc>
      </w:tr>
      <w:tr>
        <w:trPr>
          <w:trHeight w:val="141"/>
        </w:trPr>
        <w:tc>
          <w:tcPr>
            <w:tcW w:w="4820" w:type="dxa"/>
            <w:vAlign w:val="bottom"/>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Rental property operating and maintenance</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1,331,493</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1,020,578</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957,065</w:t>
            </w:r>
          </w:p>
        </w:tc>
      </w:tr>
      <w:tr>
        <w:trPr>
          <w:trHeight w:val="15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Property taxes and insurance</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182,623</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172,183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140,918</w:t>
            </w: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1,366,379</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1,163,774</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1,186,896</w:t>
            </w:r>
          </w:p>
        </w:tc>
      </w:tr>
      <w:tr>
        <w:trPr>
          <w:trHeight w:val="15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351,369</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211,097</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163,667</w:t>
            </w: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Transactions and integration</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106,662</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27,925</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45,327</w:t>
            </w:r>
          </w:p>
        </w:tc>
      </w:tr>
      <w:tr>
        <w:trPr>
          <w:trHeight w:val="15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Impairment of investments in real estate</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6,482</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5,351</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2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14,118</w:t>
            </w:r>
          </w:p>
        </w:tc>
        <w:tc>
          <w:tcPr>
            <w:tcW w:w="2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2,818</w:t>
            </w:r>
          </w:p>
        </w:tc>
      </w:tr>
      <w:tr>
        <w:trPr>
          <w:trHeight w:val="141"/>
        </w:trPr>
        <w:tc>
          <w:tcPr>
            <w:tcW w:w="4820" w:type="dxa"/>
            <w:vAlign w:val="bottom"/>
            <w:tcBorders>
              <w:bottom w:val="single" w:sz="8" w:color="CCEEFF"/>
            </w:tcBorders>
          </w:tcPr>
          <w:p>
            <w:pPr>
              <w:spacing w:after="0" w:line="141" w:lineRule="exact"/>
              <w:rPr>
                <w:sz w:val="20"/>
                <w:szCs w:val="20"/>
                <w:color w:val="auto"/>
              </w:rPr>
            </w:pPr>
            <w:r>
              <w:rPr>
                <w:rFonts w:ascii="Times New Roman" w:cs="Times New Roman" w:eastAsia="Times New Roman" w:hAnsi="Times New Roman"/>
                <w:sz w:val="13"/>
                <w:szCs w:val="13"/>
                <w:color w:val="auto"/>
              </w:rPr>
              <w:t>Total operating expenses</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3,346,083</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2,615,026</w:t>
            </w:r>
          </w:p>
        </w:tc>
        <w:tc>
          <w:tcPr>
            <w:tcW w:w="2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2,496,691</w:t>
            </w:r>
          </w:p>
        </w:tc>
      </w:tr>
      <w:tr>
        <w:trPr>
          <w:trHeight w:val="141"/>
        </w:trPr>
        <w:tc>
          <w:tcPr>
            <w:tcW w:w="48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Operating income</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557,526</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594,215</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549,787</w:t>
            </w:r>
          </w:p>
        </w:tc>
      </w:tr>
      <w:tr>
        <w:trPr>
          <w:trHeight w:val="152"/>
        </w:trPr>
        <w:tc>
          <w:tcPr>
            <w:tcW w:w="4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Income (Expenses):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 (loss) earnings of unconsolidated joint ventures</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(57,629)</w:t>
            </w: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8,067</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32,979</w:t>
            </w:r>
          </w:p>
        </w:tc>
      </w:tr>
      <w:tr>
        <w:trPr>
          <w:trHeight w:val="15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Gain on disposition of properties, net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316,894</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267,651</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80,049</w:t>
            </w: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on deconsolidation, net</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67,497</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other income, net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20,222</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66,000</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3,481</w:t>
            </w: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(333,021)</w:t>
            </w:r>
          </w:p>
        </w:tc>
        <w:tc>
          <w:tcPr>
            <w:tcW w:w="3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(353,057)</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(321,529)</w:t>
            </w:r>
          </w:p>
        </w:tc>
      </w:tr>
      <w:tr>
        <w:trPr>
          <w:trHeight w:val="15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Loss from early extinguishment of debt</w:t>
            </w:r>
          </w:p>
        </w:tc>
        <w:tc>
          <w:tcPr>
            <w:tcW w:w="28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(103,215)</w:t>
            </w:r>
          </w:p>
        </w:tc>
        <w:tc>
          <w:tcPr>
            <w:tcW w:w="3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(39,157)</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(1,568)</w:t>
            </w: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(38,047)</w:t>
            </w:r>
          </w:p>
        </w:tc>
        <w:tc>
          <w:tcPr>
            <w:tcW w:w="3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(11,995)</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(2,084)</w:t>
            </w:r>
          </w:p>
        </w:tc>
      </w:tr>
      <w:tr>
        <w:trPr>
          <w:trHeight w:val="141"/>
        </w:trPr>
        <w:tc>
          <w:tcPr>
            <w:tcW w:w="482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362,730</w:t>
            </w: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599,221</w:t>
            </w: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341,115</w:t>
            </w: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(6,332)</w:t>
            </w:r>
          </w:p>
        </w:tc>
        <w:tc>
          <w:tcPr>
            <w:tcW w:w="3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(19,460)</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(9,869)</w:t>
            </w:r>
          </w:p>
        </w:tc>
      </w:tr>
      <w:tr>
        <w:trPr>
          <w:trHeight w:val="141"/>
        </w:trPr>
        <w:tc>
          <w:tcPr>
            <w:tcW w:w="482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Net income attributable to Digital Realty Trust, Inc.</w:t>
            </w: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356,398</w:t>
            </w: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579,761</w:t>
            </w: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331,246</w:t>
            </w: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dividends, including undeclared dividends</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(76,536)</w:t>
            </w:r>
          </w:p>
        </w:tc>
        <w:tc>
          <w:tcPr>
            <w:tcW w:w="3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(74,990)</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(81,316)</w:t>
            </w:r>
          </w:p>
        </w:tc>
      </w:tr>
      <w:tr>
        <w:trPr>
          <w:trHeight w:val="15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Issuance costs associated with redeemed preferred stock</w:t>
            </w:r>
          </w:p>
        </w:tc>
        <w:tc>
          <w:tcPr>
            <w:tcW w:w="28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(16,520)</w:t>
            </w:r>
          </w:p>
        </w:tc>
        <w:tc>
          <w:tcPr>
            <w:tcW w:w="3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(11,760)</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482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income available to common stockholders</w:t>
            </w:r>
          </w:p>
        </w:tc>
        <w:tc>
          <w:tcPr>
            <w:tcW w:w="28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263,342</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59"/>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493,011</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249,930</w:t>
            </w:r>
          </w:p>
        </w:tc>
      </w:tr>
      <w:tr>
        <w:trPr>
          <w:trHeight w:val="140"/>
        </w:trPr>
        <w:tc>
          <w:tcPr>
            <w:tcW w:w="482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Net income per share available to common stockholders: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2"/>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60"/>
        </w:trPr>
        <w:tc>
          <w:tcPr>
            <w:tcW w:w="4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2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2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common shares outstanding:</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52"/>
        </w:trPr>
        <w:tc>
          <w:tcPr>
            <w:tcW w:w="4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260,098,978</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208,325,823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206,035,408</w:t>
            </w:r>
          </w:p>
        </w:tc>
      </w:tr>
      <w:tr>
        <w:trPr>
          <w:trHeight w:val="152"/>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262,522,508</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209,462,247</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206,673,471</w:t>
            </w:r>
          </w:p>
        </w:tc>
      </w:tr>
    </w:tbl>
    <w:p>
      <w:pPr>
        <w:spacing w:after="0" w:line="13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10" w:name="page111"/>
    <w:bookmarkEnd w:id="11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INCOME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60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94"/>
        </w:trPr>
        <w:tc>
          <w:tcPr>
            <w:tcW w:w="604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58"/>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58"/>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8"/>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r>
      <w:tr>
        <w:trPr>
          <w:trHeight w:val="141"/>
        </w:trPr>
        <w:tc>
          <w:tcPr>
            <w:tcW w:w="60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income</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362,730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599,221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341,115</w:t>
            </w:r>
          </w:p>
        </w:tc>
      </w:tr>
      <w:tr>
        <w:trPr>
          <w:trHeight w:val="15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2"/>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230,340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23,975</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(11,736)</w:t>
            </w:r>
          </w:p>
        </w:tc>
      </w:tr>
      <w:tr>
        <w:trPr>
          <w:trHeight w:val="139"/>
        </w:trPr>
        <w:tc>
          <w:tcPr>
            <w:tcW w:w="604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auto"/>
              </w:rPr>
              <w:t>Reclassification of foreign currency translation adjustment</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5"/>
        </w:trPr>
        <w:tc>
          <w:tcPr>
            <w:tcW w:w="6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due to deconsolidation of Ascenty</w:t>
            </w:r>
          </w:p>
        </w:tc>
        <w:tc>
          <w:tcPr>
            <w:tcW w:w="2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21,687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(Decrease) increase in fair value of interest rate swaps</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(12,425)</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(9,232)</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8,197</w:t>
            </w:r>
          </w:p>
        </w:tc>
      </w:tr>
      <w:tr>
        <w:trPr>
          <w:trHeight w:val="152"/>
        </w:trPr>
        <w:tc>
          <w:tcPr>
            <w:tcW w:w="6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Reclassification to interest expense from interest rate swaps</w:t>
            </w: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(7,446)</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(3,969)</w:t>
            </w:r>
          </w:p>
        </w:tc>
      </w:tr>
      <w:tr>
        <w:trPr>
          <w:trHeight w:val="141"/>
        </w:trPr>
        <w:tc>
          <w:tcPr>
            <w:tcW w:w="6040" w:type="dxa"/>
            <w:vAlign w:val="bottom"/>
            <w:tcBorders>
              <w:top w:val="single" w:sz="8" w:color="CCEEFF"/>
            </w:tcBorders>
            <w:shd w:val="clear" w:color="auto" w:fill="CCEEFF"/>
          </w:tcPr>
          <w:p>
            <w:pPr>
              <w:ind w:left="240"/>
              <w:spacing w:after="0" w:line="141"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226,209</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28,984</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(7,508)</w:t>
            </w:r>
          </w:p>
        </w:tc>
      </w:tr>
      <w:tr>
        <w:trPr>
          <w:trHeight w:val="141"/>
        </w:trPr>
        <w:tc>
          <w:tcPr>
            <w:tcW w:w="60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Comprehensive income</w:t>
            </w:r>
          </w:p>
        </w:tc>
        <w:tc>
          <w:tcPr>
            <w:tcW w:w="20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588,939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628,205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333,607</w:t>
            </w:r>
          </w:p>
        </w:tc>
      </w:tr>
      <w:tr>
        <w:trPr>
          <w:trHeight w:val="152"/>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Comprehensive income attributable to noncontrolling interests</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(9,610)</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(20,719)</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(9,576)</w:t>
            </w:r>
          </w:p>
        </w:tc>
      </w:tr>
      <w:tr>
        <w:trPr>
          <w:trHeight w:val="150"/>
        </w:trPr>
        <w:tc>
          <w:tcPr>
            <w:tcW w:w="604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auto"/>
              </w:rPr>
              <w:t>Comprehensive income attributable to Digital Realty Trust, Inc.</w:t>
            </w: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579,329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607,486</w:t>
            </w: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324,031</w:t>
            </w:r>
          </w:p>
        </w:tc>
      </w:tr>
    </w:tbl>
    <w:p>
      <w:pPr>
        <w:spacing w:after="0" w:line="13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11" w:name="page112"/>
    <w:bookmarkEnd w:id="111"/>
    <w:p>
      <w:pPr>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EQUITY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2"/>
              </w:rPr>
              <w:t>Accumulated</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85"/>
        </w:trPr>
        <w:tc>
          <w:tcPr>
            <w:tcW w:w="2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3"/>
          </w:tcPr>
          <w:p>
            <w:pPr>
              <w:jc w:val="center"/>
              <w:ind w:right="60"/>
              <w:spacing w:after="0" w:line="86" w:lineRule="exact"/>
              <w:rPr>
                <w:sz w:val="20"/>
                <w:szCs w:val="20"/>
                <w:color w:val="auto"/>
              </w:rPr>
            </w:pPr>
            <w:r>
              <w:rPr>
                <w:rFonts w:ascii="Times New Roman" w:cs="Times New Roman" w:eastAsia="Times New Roman" w:hAnsi="Times New Roman"/>
                <w:sz w:val="8"/>
                <w:szCs w:val="8"/>
                <w:b w:val="1"/>
                <w:bCs w:val="1"/>
                <w:color w:val="auto"/>
                <w:w w:val="92"/>
              </w:rPr>
              <w:t>Accumulated</w:t>
            </w:r>
          </w:p>
        </w:tc>
        <w:tc>
          <w:tcPr>
            <w:tcW w:w="60" w:type="dxa"/>
            <w:vAlign w:val="bottom"/>
          </w:tcPr>
          <w:p>
            <w:pPr>
              <w:spacing w:after="0"/>
              <w:rPr>
                <w:sz w:val="7"/>
                <w:szCs w:val="7"/>
                <w:color w:val="auto"/>
              </w:rPr>
            </w:pPr>
          </w:p>
        </w:tc>
        <w:tc>
          <w:tcPr>
            <w:tcW w:w="600" w:type="dxa"/>
            <w:vAlign w:val="bottom"/>
            <w:gridSpan w:val="2"/>
          </w:tcPr>
          <w:p>
            <w:pPr>
              <w:jc w:val="center"/>
              <w:ind w:right="140"/>
              <w:spacing w:after="0" w:line="86" w:lineRule="exact"/>
              <w:rPr>
                <w:sz w:val="20"/>
                <w:szCs w:val="20"/>
                <w:color w:val="auto"/>
              </w:rPr>
            </w:pPr>
            <w:r>
              <w:rPr>
                <w:rFonts w:ascii="Times New Roman" w:cs="Times New Roman" w:eastAsia="Times New Roman" w:hAnsi="Times New Roman"/>
                <w:sz w:val="8"/>
                <w:szCs w:val="8"/>
                <w:b w:val="1"/>
                <w:bCs w:val="1"/>
                <w:color w:val="auto"/>
                <w:w w:val="87"/>
              </w:rPr>
              <w:t>Other</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2"/>
              </w:rPr>
              <w:t>Noncontrolling</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2"/>
              </w:rPr>
              <w:t>Noncontrolling</w:t>
            </w: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85"/>
        </w:trPr>
        <w:tc>
          <w:tcPr>
            <w:tcW w:w="2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center"/>
              <w:ind w:right="140"/>
              <w:spacing w:after="0" w:line="86" w:lineRule="exact"/>
              <w:rPr>
                <w:sz w:val="20"/>
                <w:szCs w:val="20"/>
                <w:color w:val="auto"/>
              </w:rPr>
            </w:pPr>
            <w:r>
              <w:rPr>
                <w:rFonts w:ascii="Times New Roman" w:cs="Times New Roman" w:eastAsia="Times New Roman" w:hAnsi="Times New Roman"/>
                <w:sz w:val="8"/>
                <w:szCs w:val="8"/>
                <w:b w:val="1"/>
                <w:bCs w:val="1"/>
                <w:color w:val="auto"/>
                <w:w w:val="95"/>
              </w:rPr>
              <w:t>Redeemable</w:t>
            </w: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tcPr>
          <w:p>
            <w:pPr>
              <w:jc w:val="center"/>
              <w:ind w:right="60"/>
              <w:spacing w:after="0" w:line="86" w:lineRule="exact"/>
              <w:rPr>
                <w:sz w:val="20"/>
                <w:szCs w:val="20"/>
                <w:color w:val="auto"/>
              </w:rPr>
            </w:pPr>
            <w:r>
              <w:rPr>
                <w:rFonts w:ascii="Times New Roman" w:cs="Times New Roman" w:eastAsia="Times New Roman" w:hAnsi="Times New Roman"/>
                <w:sz w:val="8"/>
                <w:szCs w:val="8"/>
                <w:b w:val="1"/>
                <w:bCs w:val="1"/>
                <w:color w:val="auto"/>
                <w:w w:val="91"/>
              </w:rPr>
              <w:t>Number of</w:t>
            </w: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b w:val="1"/>
                <w:bCs w:val="1"/>
                <w:color w:val="auto"/>
                <w:w w:val="93"/>
              </w:rPr>
              <w:t>Additional</w:t>
            </w:r>
          </w:p>
        </w:tc>
        <w:tc>
          <w:tcPr>
            <w:tcW w:w="40" w:type="dxa"/>
            <w:vAlign w:val="bottom"/>
          </w:tcPr>
          <w:p>
            <w:pPr>
              <w:spacing w:after="0"/>
              <w:rPr>
                <w:sz w:val="7"/>
                <w:szCs w:val="7"/>
                <w:color w:val="auto"/>
              </w:rPr>
            </w:pPr>
          </w:p>
        </w:tc>
        <w:tc>
          <w:tcPr>
            <w:tcW w:w="52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3"/>
              </w:rPr>
              <w:t>Dividends in</w:t>
            </w:r>
          </w:p>
        </w:tc>
        <w:tc>
          <w:tcPr>
            <w:tcW w:w="660" w:type="dxa"/>
            <w:vAlign w:val="bottom"/>
            <w:gridSpan w:val="3"/>
          </w:tcPr>
          <w:p>
            <w:pPr>
              <w:jc w:val="center"/>
              <w:ind w:right="80"/>
              <w:spacing w:after="0" w:line="86" w:lineRule="exact"/>
              <w:rPr>
                <w:sz w:val="20"/>
                <w:szCs w:val="20"/>
                <w:color w:val="auto"/>
              </w:rPr>
            </w:pPr>
            <w:r>
              <w:rPr>
                <w:rFonts w:ascii="Times New Roman" w:cs="Times New Roman" w:eastAsia="Times New Roman" w:hAnsi="Times New Roman"/>
                <w:sz w:val="8"/>
                <w:szCs w:val="8"/>
                <w:b w:val="1"/>
                <w:bCs w:val="1"/>
                <w:color w:val="auto"/>
                <w:w w:val="93"/>
              </w:rPr>
              <w:t>Comprehensive</w:t>
            </w:r>
          </w:p>
        </w:tc>
        <w:tc>
          <w:tcPr>
            <w:tcW w:w="80" w:type="dxa"/>
            <w:vAlign w:val="bottom"/>
          </w:tcPr>
          <w:p>
            <w:pPr>
              <w:spacing w:after="0"/>
              <w:rPr>
                <w:sz w:val="7"/>
                <w:szCs w:val="7"/>
                <w:color w:val="auto"/>
              </w:rPr>
            </w:pPr>
          </w:p>
        </w:tc>
        <w:tc>
          <w:tcPr>
            <w:tcW w:w="500" w:type="dxa"/>
            <w:vAlign w:val="bottom"/>
            <w:gridSpan w:val="2"/>
          </w:tcPr>
          <w:p>
            <w:pPr>
              <w:jc w:val="center"/>
              <w:ind w:right="160"/>
              <w:spacing w:after="0" w:line="86" w:lineRule="exact"/>
              <w:rPr>
                <w:sz w:val="20"/>
                <w:szCs w:val="20"/>
                <w:color w:val="auto"/>
              </w:rPr>
            </w:pPr>
            <w:r>
              <w:rPr>
                <w:rFonts w:ascii="Times New Roman" w:cs="Times New Roman" w:eastAsia="Times New Roman" w:hAnsi="Times New Roman"/>
                <w:sz w:val="8"/>
                <w:szCs w:val="8"/>
                <w:b w:val="1"/>
                <w:bCs w:val="1"/>
                <w:color w:val="auto"/>
                <w:w w:val="98"/>
              </w:rPr>
              <w:t>Total</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3"/>
              </w:rPr>
              <w:t>Interests in</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3"/>
              </w:rPr>
              <w:t>Interests in</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87"/>
              </w:rPr>
              <w:t>Total</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85"/>
        </w:trPr>
        <w:tc>
          <w:tcPr>
            <w:tcW w:w="2480" w:type="dxa"/>
            <w:vAlign w:val="bottom"/>
          </w:tcPr>
          <w:p>
            <w:pPr>
              <w:spacing w:after="0"/>
              <w:rPr>
                <w:sz w:val="7"/>
                <w:szCs w:val="7"/>
                <w:color w:val="auto"/>
              </w:rPr>
            </w:pPr>
          </w:p>
        </w:tc>
        <w:tc>
          <w:tcPr>
            <w:tcW w:w="640" w:type="dxa"/>
            <w:vAlign w:val="bottom"/>
            <w:gridSpan w:val="3"/>
          </w:tcPr>
          <w:p>
            <w:pPr>
              <w:jc w:val="center"/>
              <w:ind w:right="80"/>
              <w:spacing w:after="0" w:line="86" w:lineRule="exact"/>
              <w:rPr>
                <w:sz w:val="20"/>
                <w:szCs w:val="20"/>
                <w:color w:val="auto"/>
              </w:rPr>
            </w:pPr>
            <w:r>
              <w:rPr>
                <w:rFonts w:ascii="Times New Roman" w:cs="Times New Roman" w:eastAsia="Times New Roman" w:hAnsi="Times New Roman"/>
                <w:sz w:val="8"/>
                <w:szCs w:val="8"/>
                <w:b w:val="1"/>
                <w:bCs w:val="1"/>
                <w:color w:val="auto"/>
                <w:w w:val="92"/>
              </w:rPr>
              <w:t>Noncontrolling</w:t>
            </w:r>
          </w:p>
        </w:tc>
        <w:tc>
          <w:tcPr>
            <w:tcW w:w="40" w:type="dxa"/>
            <w:vAlign w:val="bottom"/>
          </w:tcPr>
          <w:p>
            <w:pPr>
              <w:spacing w:after="0"/>
              <w:rPr>
                <w:sz w:val="7"/>
                <w:szCs w:val="7"/>
                <w:color w:val="auto"/>
              </w:rPr>
            </w:pPr>
          </w:p>
        </w:tc>
        <w:tc>
          <w:tcPr>
            <w:tcW w:w="46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89"/>
              </w:rPr>
              <w:t>Preferred</w:t>
            </w:r>
          </w:p>
        </w:tc>
        <w:tc>
          <w:tcPr>
            <w:tcW w:w="560" w:type="dxa"/>
            <w:vAlign w:val="bottom"/>
            <w:gridSpan w:val="2"/>
          </w:tcPr>
          <w:p>
            <w:pPr>
              <w:jc w:val="center"/>
              <w:ind w:right="60"/>
              <w:spacing w:after="0" w:line="86" w:lineRule="exact"/>
              <w:rPr>
                <w:sz w:val="20"/>
                <w:szCs w:val="20"/>
                <w:color w:val="auto"/>
              </w:rPr>
            </w:pPr>
            <w:r>
              <w:rPr>
                <w:rFonts w:ascii="Times New Roman" w:cs="Times New Roman" w:eastAsia="Times New Roman" w:hAnsi="Times New Roman"/>
                <w:sz w:val="8"/>
                <w:szCs w:val="8"/>
                <w:b w:val="1"/>
                <w:bCs w:val="1"/>
                <w:color w:val="auto"/>
                <w:w w:val="94"/>
              </w:rPr>
              <w:t>Common</w:t>
            </w:r>
          </w:p>
        </w:tc>
        <w:tc>
          <w:tcPr>
            <w:tcW w:w="60" w:type="dxa"/>
            <w:vAlign w:val="bottom"/>
          </w:tcPr>
          <w:p>
            <w:pPr>
              <w:spacing w:after="0"/>
              <w:rPr>
                <w:sz w:val="7"/>
                <w:szCs w:val="7"/>
                <w:color w:val="auto"/>
              </w:rPr>
            </w:pPr>
          </w:p>
        </w:tc>
        <w:tc>
          <w:tcPr>
            <w:tcW w:w="46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b w:val="1"/>
                <w:bCs w:val="1"/>
                <w:color w:val="auto"/>
                <w:w w:val="94"/>
              </w:rPr>
              <w:t>Common</w:t>
            </w:r>
          </w:p>
        </w:tc>
        <w:tc>
          <w:tcPr>
            <w:tcW w:w="60" w:type="dxa"/>
            <w:vAlign w:val="bottom"/>
          </w:tcPr>
          <w:p>
            <w:pPr>
              <w:spacing w:after="0"/>
              <w:rPr>
                <w:sz w:val="7"/>
                <w:szCs w:val="7"/>
                <w:color w:val="auto"/>
              </w:rPr>
            </w:pPr>
          </w:p>
        </w:tc>
        <w:tc>
          <w:tcPr>
            <w:tcW w:w="500" w:type="dxa"/>
            <w:vAlign w:val="bottom"/>
            <w:gridSpan w:val="2"/>
          </w:tcPr>
          <w:p>
            <w:pPr>
              <w:jc w:val="right"/>
              <w:ind w:right="200"/>
              <w:spacing w:after="0" w:line="86" w:lineRule="exact"/>
              <w:rPr>
                <w:sz w:val="20"/>
                <w:szCs w:val="20"/>
                <w:color w:val="auto"/>
              </w:rPr>
            </w:pPr>
            <w:r>
              <w:rPr>
                <w:rFonts w:ascii="Times New Roman" w:cs="Times New Roman" w:eastAsia="Times New Roman" w:hAnsi="Times New Roman"/>
                <w:sz w:val="8"/>
                <w:szCs w:val="8"/>
                <w:b w:val="1"/>
                <w:bCs w:val="1"/>
                <w:color w:val="auto"/>
              </w:rPr>
              <w:t>Paid-in</w:t>
            </w:r>
          </w:p>
        </w:tc>
        <w:tc>
          <w:tcPr>
            <w:tcW w:w="40" w:type="dxa"/>
            <w:vAlign w:val="bottom"/>
          </w:tcPr>
          <w:p>
            <w:pPr>
              <w:spacing w:after="0"/>
              <w:rPr>
                <w:sz w:val="7"/>
                <w:szCs w:val="7"/>
                <w:color w:val="auto"/>
              </w:rPr>
            </w:pPr>
          </w:p>
        </w:tc>
        <w:tc>
          <w:tcPr>
            <w:tcW w:w="520" w:type="dxa"/>
            <w:vAlign w:val="bottom"/>
            <w:gridSpan w:val="2"/>
          </w:tcPr>
          <w:p>
            <w:pPr>
              <w:jc w:val="center"/>
              <w:ind w:right="100"/>
              <w:spacing w:after="0" w:line="86" w:lineRule="exact"/>
              <w:rPr>
                <w:sz w:val="20"/>
                <w:szCs w:val="20"/>
                <w:color w:val="auto"/>
              </w:rPr>
            </w:pPr>
            <w:r>
              <w:rPr>
                <w:rFonts w:ascii="Times New Roman" w:cs="Times New Roman" w:eastAsia="Times New Roman" w:hAnsi="Times New Roman"/>
                <w:sz w:val="8"/>
                <w:szCs w:val="8"/>
                <w:b w:val="1"/>
                <w:bCs w:val="1"/>
                <w:color w:val="auto"/>
                <w:w w:val="95"/>
              </w:rPr>
              <w:t>Excess of</w:t>
            </w:r>
          </w:p>
        </w:tc>
        <w:tc>
          <w:tcPr>
            <w:tcW w:w="6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5"/>
              </w:rPr>
              <w:t>Income (Loss),</w:t>
            </w:r>
          </w:p>
        </w:tc>
        <w:tc>
          <w:tcPr>
            <w:tcW w:w="580" w:type="dxa"/>
            <w:vAlign w:val="bottom"/>
            <w:gridSpan w:val="3"/>
          </w:tcPr>
          <w:p>
            <w:pPr>
              <w:jc w:val="center"/>
              <w:ind w:right="80"/>
              <w:spacing w:after="0" w:line="86" w:lineRule="exact"/>
              <w:rPr>
                <w:sz w:val="20"/>
                <w:szCs w:val="20"/>
                <w:color w:val="auto"/>
              </w:rPr>
            </w:pPr>
            <w:r>
              <w:rPr>
                <w:rFonts w:ascii="Times New Roman" w:cs="Times New Roman" w:eastAsia="Times New Roman" w:hAnsi="Times New Roman"/>
                <w:sz w:val="8"/>
                <w:szCs w:val="8"/>
                <w:b w:val="1"/>
                <w:bCs w:val="1"/>
                <w:color w:val="auto"/>
                <w:w w:val="97"/>
              </w:rPr>
              <w:t>Stockholders’</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0"/>
              </w:rPr>
              <w:t>Operating</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7"/>
              </w:rPr>
              <w:t>Consolidated</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2"/>
              </w:rPr>
              <w:t>Noncontrolling</w:t>
            </w:r>
          </w:p>
        </w:tc>
        <w:tc>
          <w:tcPr>
            <w:tcW w:w="80" w:type="dxa"/>
            <w:vAlign w:val="bottom"/>
          </w:tcPr>
          <w:p>
            <w:pPr>
              <w:spacing w:after="0"/>
              <w:rPr>
                <w:sz w:val="7"/>
                <w:szCs w:val="7"/>
                <w:color w:val="auto"/>
              </w:rPr>
            </w:pPr>
          </w:p>
        </w:tc>
        <w:tc>
          <w:tcPr>
            <w:tcW w:w="420" w:type="dxa"/>
            <w:vAlign w:val="bottom"/>
          </w:tcPr>
          <w:p>
            <w:pPr>
              <w:jc w:val="right"/>
              <w:ind w:right="122"/>
              <w:spacing w:after="0" w:line="86" w:lineRule="exact"/>
              <w:rPr>
                <w:sz w:val="20"/>
                <w:szCs w:val="20"/>
                <w:color w:val="auto"/>
              </w:rPr>
            </w:pPr>
            <w:r>
              <w:rPr>
                <w:rFonts w:ascii="Times New Roman" w:cs="Times New Roman" w:eastAsia="Times New Roman" w:hAnsi="Times New Roman"/>
                <w:sz w:val="8"/>
                <w:szCs w:val="8"/>
                <w:b w:val="1"/>
                <w:bCs w:val="1"/>
                <w:color w:val="auto"/>
              </w:rPr>
              <w:t>Total</w:t>
            </w:r>
          </w:p>
        </w:tc>
      </w:tr>
      <w:tr>
        <w:trPr>
          <w:trHeight w:val="97"/>
        </w:trPr>
        <w:tc>
          <w:tcPr>
            <w:tcW w:w="2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3"/>
              </w:rPr>
              <w:t>Interests</w:t>
            </w:r>
          </w:p>
        </w:tc>
        <w:tc>
          <w:tcPr>
            <w:tcW w:w="40" w:type="dxa"/>
            <w:vAlign w:val="bottom"/>
          </w:tcPr>
          <w:p>
            <w:pPr>
              <w:spacing w:after="0"/>
              <w:rPr>
                <w:sz w:val="8"/>
                <w:szCs w:val="8"/>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60" w:type="dxa"/>
            <w:vAlign w:val="bottom"/>
          </w:tcPr>
          <w:p>
            <w:pPr>
              <w:spacing w:after="0"/>
              <w:rPr>
                <w:sz w:val="8"/>
                <w:szCs w:val="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Stock</w:t>
            </w:r>
          </w:p>
        </w:tc>
        <w:tc>
          <w:tcPr>
            <w:tcW w:w="60" w:type="dxa"/>
            <w:vAlign w:val="bottom"/>
          </w:tcPr>
          <w:p>
            <w:pPr>
              <w:spacing w:after="0"/>
              <w:rPr>
                <w:sz w:val="8"/>
                <w:szCs w:val="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40" w:type="dxa"/>
            <w:vAlign w:val="bottom"/>
          </w:tcPr>
          <w:p>
            <w:pPr>
              <w:spacing w:after="0"/>
              <w:rPr>
                <w:sz w:val="8"/>
                <w:szCs w:val="8"/>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6"/>
              </w:rPr>
              <w:t>Earnings</w:t>
            </w:r>
          </w:p>
        </w:tc>
        <w:tc>
          <w:tcPr>
            <w:tcW w:w="60" w:type="dxa"/>
            <w:vAlign w:val="bottom"/>
          </w:tcPr>
          <w:p>
            <w:pPr>
              <w:spacing w:after="0"/>
              <w:rPr>
                <w:sz w:val="8"/>
                <w:szCs w:val="8"/>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3"/>
              </w:rPr>
              <w:t>net</w:t>
            </w:r>
          </w:p>
        </w:tc>
        <w:tc>
          <w:tcPr>
            <w:tcW w:w="80" w:type="dxa"/>
            <w:vAlign w:val="bottom"/>
          </w:tcPr>
          <w:p>
            <w:pPr>
              <w:spacing w:after="0"/>
              <w:rPr>
                <w:sz w:val="8"/>
                <w:szCs w:val="8"/>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4"/>
              </w:rPr>
              <w:t>Equity</w:t>
            </w:r>
          </w:p>
        </w:tc>
        <w:tc>
          <w:tcPr>
            <w:tcW w:w="40" w:type="dxa"/>
            <w:vAlign w:val="bottom"/>
          </w:tcPr>
          <w:p>
            <w:pPr>
              <w:spacing w:after="0"/>
              <w:rPr>
                <w:sz w:val="8"/>
                <w:szCs w:val="8"/>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7"/>
              </w:rPr>
              <w:t>Partnership</w:t>
            </w:r>
          </w:p>
        </w:tc>
        <w:tc>
          <w:tcPr>
            <w:tcW w:w="40" w:type="dxa"/>
            <w:vAlign w:val="bottom"/>
          </w:tcPr>
          <w:p>
            <w:pPr>
              <w:spacing w:after="0"/>
              <w:rPr>
                <w:sz w:val="8"/>
                <w:szCs w:val="8"/>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5"/>
              </w:rPr>
              <w:t>Joint Ventures</w:t>
            </w:r>
          </w:p>
        </w:tc>
        <w:tc>
          <w:tcPr>
            <w:tcW w:w="40" w:type="dxa"/>
            <w:vAlign w:val="bottom"/>
          </w:tcPr>
          <w:p>
            <w:pPr>
              <w:spacing w:after="0"/>
              <w:rPr>
                <w:sz w:val="8"/>
                <w:szCs w:val="8"/>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3"/>
              </w:rPr>
              <w:t>Interests</w:t>
            </w:r>
          </w:p>
        </w:tc>
        <w:tc>
          <w:tcPr>
            <w:tcW w:w="80" w:type="dxa"/>
            <w:vAlign w:val="bottom"/>
          </w:tcPr>
          <w:p>
            <w:pPr>
              <w:spacing w:after="0"/>
              <w:rPr>
                <w:sz w:val="8"/>
                <w:szCs w:val="8"/>
                <w:color w:val="auto"/>
              </w:rPr>
            </w:pPr>
          </w:p>
        </w:tc>
        <w:tc>
          <w:tcPr>
            <w:tcW w:w="420" w:type="dxa"/>
            <w:vAlign w:val="bottom"/>
          </w:tcPr>
          <w:p>
            <w:pPr>
              <w:jc w:val="right"/>
              <w:ind w:right="102"/>
              <w:spacing w:after="0"/>
              <w:rPr>
                <w:sz w:val="20"/>
                <w:szCs w:val="20"/>
                <w:color w:val="auto"/>
              </w:rPr>
            </w:pPr>
            <w:r>
              <w:rPr>
                <w:rFonts w:ascii="Times New Roman" w:cs="Times New Roman" w:eastAsia="Times New Roman" w:hAnsi="Times New Roman"/>
                <w:sz w:val="8"/>
                <w:szCs w:val="8"/>
                <w:b w:val="1"/>
                <w:bCs w:val="1"/>
                <w:color w:val="auto"/>
              </w:rPr>
              <w:t>Equity</w:t>
            </w:r>
          </w:p>
        </w:tc>
      </w:tr>
      <w:tr>
        <w:trPr>
          <w:trHeight w:val="75"/>
        </w:trPr>
        <w:tc>
          <w:tcPr>
            <w:tcW w:w="2480" w:type="dxa"/>
            <w:vAlign w:val="bottom"/>
            <w:tcBorders>
              <w:top w:val="single" w:sz="8" w:color="CCEEFF"/>
            </w:tcBorders>
            <w:shd w:val="clear" w:color="auto" w:fill="CCEEFF"/>
          </w:tcPr>
          <w:p>
            <w:pPr>
              <w:spacing w:after="0" w:line="75" w:lineRule="exact"/>
              <w:rPr>
                <w:sz w:val="20"/>
                <w:szCs w:val="20"/>
                <w:color w:val="auto"/>
              </w:rPr>
            </w:pPr>
            <w:r>
              <w:rPr>
                <w:rFonts w:ascii="Times New Roman" w:cs="Times New Roman" w:eastAsia="Times New Roman" w:hAnsi="Times New Roman"/>
                <w:sz w:val="8"/>
                <w:szCs w:val="8"/>
                <w:b w:val="1"/>
                <w:bCs w:val="1"/>
                <w:color w:val="auto"/>
              </w:rPr>
              <w:t>Balance as of December 31, 2017</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53,902</w:t>
            </w: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1,249,560</w:t>
            </w: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205,470,300</w:t>
            </w: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2,044</w:t>
            </w: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11,261,461</w:t>
            </w: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(2,055,552)</w:t>
            </w: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(108,432)</w:t>
            </w: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10,349,081</w:t>
            </w: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698,126</w:t>
            </w: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2,243</w:t>
            </w: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700,369</w:t>
            </w: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11,049,450</w:t>
            </w:r>
          </w:p>
        </w:tc>
      </w:tr>
      <w:tr>
        <w:trPr>
          <w:trHeight w:val="85"/>
        </w:trPr>
        <w:tc>
          <w:tcPr>
            <w:tcW w:w="248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Conversion of common units to common stock</w:t>
            </w:r>
          </w:p>
        </w:tc>
        <w:tc>
          <w:tcPr>
            <w:tcW w:w="60" w:type="dxa"/>
            <w:vAlign w:val="bottom"/>
          </w:tcPr>
          <w:p>
            <w:pPr>
              <w:spacing w:after="0"/>
              <w:rPr>
                <w:sz w:val="7"/>
                <w:szCs w:val="7"/>
                <w:color w:val="auto"/>
              </w:rPr>
            </w:pPr>
          </w:p>
        </w:tc>
        <w:tc>
          <w:tcPr>
            <w:tcW w:w="58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711,892</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7</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61,997</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62,004</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(62,004)</w:t>
            </w: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(62,004)</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248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Issuance of unvested restricted stock, net of forfeitures</w:t>
            </w:r>
          </w:p>
        </w:tc>
        <w:tc>
          <w:tcPr>
            <w:tcW w:w="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220,765</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248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Common stock offering costs</w:t>
            </w:r>
          </w:p>
        </w:tc>
        <w:tc>
          <w:tcPr>
            <w:tcW w:w="60" w:type="dxa"/>
            <w:vAlign w:val="bottom"/>
          </w:tcPr>
          <w:p>
            <w:pPr>
              <w:spacing w:after="0"/>
              <w:rPr>
                <w:sz w:val="7"/>
                <w:szCs w:val="7"/>
                <w:color w:val="auto"/>
              </w:rPr>
            </w:pPr>
          </w:p>
        </w:tc>
        <w:tc>
          <w:tcPr>
            <w:tcW w:w="58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1,194</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1,194</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1,194</w:t>
            </w:r>
          </w:p>
        </w:tc>
      </w:tr>
      <w:tr>
        <w:trPr>
          <w:trHeight w:val="85"/>
        </w:trPr>
        <w:tc>
          <w:tcPr>
            <w:tcW w:w="248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Shares issued under employee stock purchase plan</w:t>
            </w:r>
          </w:p>
        </w:tc>
        <w:tc>
          <w:tcPr>
            <w:tcW w:w="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69,532</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5,873</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5,874</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5,874</w:t>
            </w:r>
          </w:p>
        </w:tc>
      </w:tr>
      <w:tr>
        <w:trPr>
          <w:trHeight w:val="85"/>
        </w:trPr>
        <w:tc>
          <w:tcPr>
            <w:tcW w:w="248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Shares repurchased and retired to satisfy tax withholding upon vesting</w:t>
            </w:r>
          </w:p>
        </w:tc>
        <w:tc>
          <w:tcPr>
            <w:tcW w:w="60" w:type="dxa"/>
            <w:vAlign w:val="bottom"/>
          </w:tcPr>
          <w:p>
            <w:pPr>
              <w:spacing w:after="0"/>
              <w:rPr>
                <w:sz w:val="7"/>
                <w:szCs w:val="7"/>
                <w:color w:val="auto"/>
              </w:rPr>
            </w:pPr>
          </w:p>
        </w:tc>
        <w:tc>
          <w:tcPr>
            <w:tcW w:w="58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(46,833)</w:t>
            </w:r>
          </w:p>
        </w:tc>
        <w:tc>
          <w:tcPr>
            <w:tcW w:w="60" w:type="dxa"/>
            <w:vAlign w:val="bottom"/>
          </w:tcPr>
          <w:p>
            <w:pPr>
              <w:spacing w:after="0"/>
              <w:rPr>
                <w:sz w:val="7"/>
                <w:szCs w:val="7"/>
                <w:color w:val="auto"/>
              </w:rPr>
            </w:pPr>
          </w:p>
        </w:tc>
        <w:tc>
          <w:tcPr>
            <w:tcW w:w="46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(1)</w:t>
            </w:r>
          </w:p>
        </w:tc>
        <w:tc>
          <w:tcPr>
            <w:tcW w:w="60" w:type="dxa"/>
            <w:vAlign w:val="bottom"/>
          </w:tcPr>
          <w:p>
            <w:pPr>
              <w:spacing w:after="0"/>
              <w:rPr>
                <w:sz w:val="7"/>
                <w:szCs w:val="7"/>
                <w:color w:val="auto"/>
              </w:rPr>
            </w:pPr>
          </w:p>
        </w:tc>
        <w:tc>
          <w:tcPr>
            <w:tcW w:w="50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(5,054)</w:t>
            </w:r>
          </w:p>
        </w:tc>
        <w:tc>
          <w:tcPr>
            <w:tcW w:w="4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0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(5,055)</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(5,055)</w:t>
            </w:r>
          </w:p>
        </w:tc>
      </w:tr>
      <w:tr>
        <w:trPr>
          <w:trHeight w:val="85"/>
        </w:trPr>
        <w:tc>
          <w:tcPr>
            <w:tcW w:w="248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Units issued in connection with Ascenty Acquisition</w:t>
            </w:r>
          </w:p>
        </w:tc>
        <w:tc>
          <w:tcPr>
            <w:tcW w:w="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253,837</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25,000</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278,837</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278,837</w:t>
            </w:r>
          </w:p>
        </w:tc>
      </w:tr>
      <w:tr>
        <w:trPr>
          <w:trHeight w:val="85"/>
        </w:trPr>
        <w:tc>
          <w:tcPr>
            <w:tcW w:w="248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Amortization of unearned compensation on share-based awards</w:t>
            </w:r>
          </w:p>
        </w:tc>
        <w:tc>
          <w:tcPr>
            <w:tcW w:w="60" w:type="dxa"/>
            <w:vAlign w:val="bottom"/>
          </w:tcPr>
          <w:p>
            <w:pPr>
              <w:spacing w:after="0"/>
              <w:rPr>
                <w:sz w:val="7"/>
                <w:szCs w:val="7"/>
                <w:color w:val="auto"/>
              </w:rPr>
            </w:pPr>
          </w:p>
        </w:tc>
        <w:tc>
          <w:tcPr>
            <w:tcW w:w="58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32,456</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32,456</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32,456</w:t>
            </w:r>
          </w:p>
        </w:tc>
      </w:tr>
      <w:tr>
        <w:trPr>
          <w:trHeight w:val="85"/>
        </w:trPr>
        <w:tc>
          <w:tcPr>
            <w:tcW w:w="248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Reclassification of vested share-based awards</w:t>
            </w:r>
          </w:p>
        </w:tc>
        <w:tc>
          <w:tcPr>
            <w:tcW w:w="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(3,772)</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(3,772)</w:t>
            </w: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3,772</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3,772</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248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Adjustment to redeemable noncontrolling interests</w:t>
            </w:r>
          </w:p>
        </w:tc>
        <w:tc>
          <w:tcPr>
            <w:tcW w:w="60" w:type="dxa"/>
            <w:vAlign w:val="bottom"/>
          </w:tcPr>
          <w:p>
            <w:pPr>
              <w:spacing w:after="0"/>
              <w:rPr>
                <w:sz w:val="7"/>
                <w:szCs w:val="7"/>
                <w:color w:val="auto"/>
              </w:rPr>
            </w:pPr>
          </w:p>
        </w:tc>
        <w:tc>
          <w:tcPr>
            <w:tcW w:w="58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(37,274)</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1,596</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1,596</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35,678</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35,678</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37,274</w:t>
            </w:r>
          </w:p>
        </w:tc>
      </w:tr>
      <w:tr>
        <w:trPr>
          <w:trHeight w:val="85"/>
        </w:trPr>
        <w:tc>
          <w:tcPr>
            <w:tcW w:w="248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Dividends declared on preferred stock</w:t>
            </w:r>
          </w:p>
        </w:tc>
        <w:tc>
          <w:tcPr>
            <w:tcW w:w="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(81,316)</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(81,316)</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(81,316)</w:t>
            </w:r>
          </w:p>
        </w:tc>
      </w:tr>
      <w:tr>
        <w:trPr>
          <w:trHeight w:val="85"/>
        </w:trPr>
        <w:tc>
          <w:tcPr>
            <w:tcW w:w="248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w w:val="97"/>
              </w:rPr>
              <w:t>Dividends and distributions on common stock and common and incentive units</w:t>
            </w:r>
          </w:p>
        </w:tc>
        <w:tc>
          <w:tcPr>
            <w:tcW w:w="60" w:type="dxa"/>
            <w:vAlign w:val="bottom"/>
          </w:tcPr>
          <w:p>
            <w:pPr>
              <w:spacing w:after="0"/>
              <w:rPr>
                <w:sz w:val="7"/>
                <w:szCs w:val="7"/>
                <w:color w:val="auto"/>
              </w:rPr>
            </w:pPr>
          </w:p>
        </w:tc>
        <w:tc>
          <w:tcPr>
            <w:tcW w:w="58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(1,271)</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20" w:type="dxa"/>
            <w:vAlign w:val="bottom"/>
            <w:gridSpan w:val="2"/>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(833,364)</w:t>
            </w:r>
          </w:p>
        </w:tc>
        <w:tc>
          <w:tcPr>
            <w:tcW w:w="6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0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(833,364)</w:t>
            </w:r>
          </w:p>
        </w:tc>
        <w:tc>
          <w:tcPr>
            <w:tcW w:w="40" w:type="dxa"/>
            <w:vAlign w:val="bottom"/>
          </w:tcPr>
          <w:p>
            <w:pPr>
              <w:spacing w:after="0"/>
              <w:rPr>
                <w:sz w:val="7"/>
                <w:szCs w:val="7"/>
                <w:color w:val="auto"/>
              </w:rPr>
            </w:pPr>
          </w:p>
        </w:tc>
        <w:tc>
          <w:tcPr>
            <w:tcW w:w="60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(32,311)</w:t>
            </w: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(32,311)</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(865,675)</w:t>
            </w:r>
          </w:p>
        </w:tc>
      </w:tr>
      <w:tr>
        <w:trPr>
          <w:trHeight w:val="76"/>
        </w:trPr>
        <w:tc>
          <w:tcPr>
            <w:tcW w:w="2480" w:type="dxa"/>
            <w:vAlign w:val="bottom"/>
            <w:shd w:val="clear" w:color="auto" w:fill="CCEEFF"/>
          </w:tcPr>
          <w:p>
            <w:pPr>
              <w:spacing w:after="0" w:line="76" w:lineRule="exact"/>
              <w:rPr>
                <w:sz w:val="20"/>
                <w:szCs w:val="20"/>
                <w:color w:val="auto"/>
              </w:rPr>
            </w:pPr>
            <w:r>
              <w:rPr>
                <w:rFonts w:ascii="Times New Roman" w:cs="Times New Roman" w:eastAsia="Times New Roman" w:hAnsi="Times New Roman"/>
                <w:sz w:val="8"/>
                <w:szCs w:val="8"/>
                <w:color w:val="auto"/>
                <w:w w:val="98"/>
              </w:rPr>
              <w:t>Contributions from noncontrolling interests in consolidated joint ventures, net</w:t>
            </w:r>
          </w:p>
        </w:tc>
        <w:tc>
          <w:tcPr>
            <w:tcW w:w="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r>
      <w:tr>
        <w:trPr>
          <w:trHeight w:val="95"/>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of distributions</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66,124</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66,124</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66,124</w:t>
            </w:r>
          </w:p>
        </w:tc>
      </w:tr>
      <w:tr>
        <w:trPr>
          <w:trHeight w:val="85"/>
        </w:trPr>
        <w:tc>
          <w:tcPr>
            <w:tcW w:w="248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Cumulative effect adjustment from adoption of new accounting standard</w:t>
            </w:r>
          </w:p>
        </w:tc>
        <w:tc>
          <w:tcPr>
            <w:tcW w:w="60" w:type="dxa"/>
            <w:vAlign w:val="bottom"/>
          </w:tcPr>
          <w:p>
            <w:pPr>
              <w:spacing w:after="0"/>
              <w:rPr>
                <w:sz w:val="7"/>
                <w:szCs w:val="7"/>
                <w:color w:val="auto"/>
              </w:rPr>
            </w:pPr>
          </w:p>
        </w:tc>
        <w:tc>
          <w:tcPr>
            <w:tcW w:w="58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5,915</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5,915</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5,915</w:t>
            </w:r>
          </w:p>
        </w:tc>
      </w:tr>
      <w:tr>
        <w:trPr>
          <w:trHeight w:val="85"/>
        </w:trPr>
        <w:tc>
          <w:tcPr>
            <w:tcW w:w="248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Net income</w:t>
            </w: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475</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331,246</w:t>
            </w: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331,246</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9,705</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(311)</w:t>
            </w: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9,394</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340,640</w:t>
            </w:r>
          </w:p>
        </w:tc>
      </w:tr>
      <w:tr>
        <w:trPr>
          <w:trHeight w:val="85"/>
        </w:trPr>
        <w:tc>
          <w:tcPr>
            <w:tcW w:w="248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Other comprehensive loss—foreign currency translation adjustments</w:t>
            </w:r>
          </w:p>
        </w:tc>
        <w:tc>
          <w:tcPr>
            <w:tcW w:w="60" w:type="dxa"/>
            <w:vAlign w:val="bottom"/>
          </w:tcPr>
          <w:p>
            <w:pPr>
              <w:spacing w:after="0"/>
              <w:rPr>
                <w:sz w:val="7"/>
                <w:szCs w:val="7"/>
                <w:color w:val="auto"/>
              </w:rPr>
            </w:pPr>
          </w:p>
        </w:tc>
        <w:tc>
          <w:tcPr>
            <w:tcW w:w="58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(11,279)</w:t>
            </w:r>
          </w:p>
        </w:tc>
        <w:tc>
          <w:tcPr>
            <w:tcW w:w="80" w:type="dxa"/>
            <w:vAlign w:val="bottom"/>
          </w:tcPr>
          <w:p>
            <w:pPr>
              <w:spacing w:after="0"/>
              <w:rPr>
                <w:sz w:val="7"/>
                <w:szCs w:val="7"/>
                <w:color w:val="auto"/>
              </w:rPr>
            </w:pPr>
          </w:p>
        </w:tc>
        <w:tc>
          <w:tcPr>
            <w:tcW w:w="50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(11,279)</w:t>
            </w:r>
          </w:p>
        </w:tc>
        <w:tc>
          <w:tcPr>
            <w:tcW w:w="40" w:type="dxa"/>
            <w:vAlign w:val="bottom"/>
          </w:tcPr>
          <w:p>
            <w:pPr>
              <w:spacing w:after="0"/>
              <w:rPr>
                <w:sz w:val="7"/>
                <w:szCs w:val="7"/>
                <w:color w:val="auto"/>
              </w:rPr>
            </w:pPr>
          </w:p>
        </w:tc>
        <w:tc>
          <w:tcPr>
            <w:tcW w:w="60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(457)</w:t>
            </w: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(457)</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(11,736)</w:t>
            </w:r>
          </w:p>
        </w:tc>
      </w:tr>
      <w:tr>
        <w:trPr>
          <w:trHeight w:val="85"/>
        </w:trPr>
        <w:tc>
          <w:tcPr>
            <w:tcW w:w="248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Other comprehensive income—fair value of interest rate swaps</w:t>
            </w:r>
          </w:p>
        </w:tc>
        <w:tc>
          <w:tcPr>
            <w:tcW w:w="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7,890</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7,890</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307</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307</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8,197</w:t>
            </w:r>
          </w:p>
        </w:tc>
      </w:tr>
      <w:tr>
        <w:trPr>
          <w:trHeight w:val="76"/>
        </w:trPr>
        <w:tc>
          <w:tcPr>
            <w:tcW w:w="24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Other comprehensive loss—reclassification of accumulated other</w:t>
            </w: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95"/>
        </w:trPr>
        <w:tc>
          <w:tcPr>
            <w:tcW w:w="2480" w:type="dxa"/>
            <w:vAlign w:val="bottom"/>
          </w:tcPr>
          <w:p>
            <w:pPr>
              <w:spacing w:after="0"/>
              <w:rPr>
                <w:sz w:val="20"/>
                <w:szCs w:val="20"/>
                <w:color w:val="auto"/>
              </w:rPr>
            </w:pPr>
            <w:r>
              <w:rPr>
                <w:rFonts w:ascii="Times New Roman" w:cs="Times New Roman" w:eastAsia="Times New Roman" w:hAnsi="Times New Roman"/>
                <w:sz w:val="8"/>
                <w:szCs w:val="8"/>
                <w:color w:val="auto"/>
              </w:rPr>
              <w:t>comprehensive income to interest expense</w:t>
            </w:r>
          </w:p>
        </w:tc>
        <w:tc>
          <w:tcPr>
            <w:tcW w:w="60" w:type="dxa"/>
            <w:vAlign w:val="bottom"/>
          </w:tcPr>
          <w:p>
            <w:pPr>
              <w:spacing w:after="0"/>
              <w:rPr>
                <w:sz w:val="8"/>
                <w:szCs w:val="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(3,826)</w:t>
            </w:r>
          </w:p>
        </w:tc>
        <w:tc>
          <w:tcPr>
            <w:tcW w:w="80" w:type="dxa"/>
            <w:vAlign w:val="bottom"/>
          </w:tcPr>
          <w:p>
            <w:pPr>
              <w:spacing w:after="0"/>
              <w:rPr>
                <w:sz w:val="8"/>
                <w:szCs w:val="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(3,826)</w:t>
            </w:r>
          </w:p>
        </w:tc>
        <w:tc>
          <w:tcPr>
            <w:tcW w:w="40" w:type="dxa"/>
            <w:vAlign w:val="bottom"/>
          </w:tcPr>
          <w:p>
            <w:pPr>
              <w:spacing w:after="0"/>
              <w:rPr>
                <w:sz w:val="8"/>
                <w:szCs w:val="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(143)</w:t>
            </w:r>
          </w:p>
        </w:tc>
        <w:tc>
          <w:tcPr>
            <w:tcW w:w="40" w:type="dxa"/>
            <w:vAlign w:val="bottom"/>
          </w:tcPr>
          <w:p>
            <w:pPr>
              <w:spacing w:after="0"/>
              <w:rPr>
                <w:sz w:val="8"/>
                <w:szCs w:val="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(143)</w:t>
            </w:r>
          </w:p>
        </w:tc>
        <w:tc>
          <w:tcPr>
            <w:tcW w:w="8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(3,969)</w:t>
            </w:r>
          </w:p>
        </w:tc>
      </w:tr>
      <w:tr>
        <w:trPr>
          <w:trHeight w:val="83"/>
        </w:trPr>
        <w:tc>
          <w:tcPr>
            <w:tcW w:w="2480" w:type="dxa"/>
            <w:vAlign w:val="bottom"/>
            <w:tcBorders>
              <w:top w:val="single" w:sz="8" w:color="CCEEFF"/>
              <w:bottom w:val="single" w:sz="8" w:color="CCEEFF"/>
            </w:tcBorders>
            <w:shd w:val="clear" w:color="auto" w:fill="CCEEFF"/>
          </w:tcPr>
          <w:p>
            <w:pPr>
              <w:spacing w:after="0" w:line="75" w:lineRule="exact"/>
              <w:rPr>
                <w:sz w:val="20"/>
                <w:szCs w:val="20"/>
                <w:color w:val="auto"/>
              </w:rPr>
            </w:pPr>
            <w:r>
              <w:rPr>
                <w:rFonts w:ascii="Times New Roman" w:cs="Times New Roman" w:eastAsia="Times New Roman" w:hAnsi="Times New Roman"/>
                <w:sz w:val="8"/>
                <w:szCs w:val="8"/>
                <w:b w:val="1"/>
                <w:bCs w:val="1"/>
                <w:color w:val="auto"/>
              </w:rPr>
              <w:t>Balance as of December 31, 2018</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Borders>
              <w:top w:val="single" w:sz="8" w:color="auto"/>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15,832</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1,249,560</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48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206,425,656</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2,051</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11,355,751</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(2,633,071)</w:t>
            </w:r>
          </w:p>
        </w:tc>
        <w:tc>
          <w:tcPr>
            <w:tcW w:w="60" w:type="dxa"/>
            <w:vAlign w:val="bottom"/>
            <w:tcBorders>
              <w:top w:val="single" w:sz="8" w:color="CCEEFF"/>
              <w:bottom w:val="single" w:sz="8" w:color="CCEEFF"/>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(115,647)</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9,858,644</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906,510</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93,056</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999,566</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10,858,210</w:t>
            </w:r>
          </w:p>
        </w:tc>
      </w:tr>
    </w:tbl>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6028055" cy="120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28055" cy="12065"/>
                    </a:xfrm>
                    <a:prstGeom prst="rect">
                      <a:avLst/>
                    </a:prstGeom>
                    <a:noFill/>
                  </pic:spPr>
                </pic:pic>
              </a:graphicData>
            </a:graphic>
          </wp:anchor>
        </w:drawing>
      </w:r>
    </w:p>
    <w:p>
      <w:pPr>
        <w:sectPr>
          <w:pgSz w:w="11900" w:h="16838" w:orient="portrait"/>
          <w:cols w:equalWidth="0" w:num="1">
            <w:col w:w="9480"/>
          </w:cols>
          <w:pgMar w:left="1200" w:top="402" w:right="1219" w:bottom="1440" w:gutter="0" w:footer="0" w:header="0"/>
        </w:sectPr>
      </w:pPr>
    </w:p>
    <w:bookmarkStart w:id="112" w:name="page113"/>
    <w:bookmarkEnd w:id="112"/>
    <w:p>
      <w:pPr>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EQUITY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6"/>
              </w:rPr>
              <w:t>Accumulated</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85"/>
        </w:trPr>
        <w:tc>
          <w:tcPr>
            <w:tcW w:w="2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3"/>
          </w:tcPr>
          <w:p>
            <w:pPr>
              <w:jc w:val="center"/>
              <w:ind w:right="80"/>
              <w:spacing w:after="0" w:line="86" w:lineRule="exact"/>
              <w:rPr>
                <w:sz w:val="20"/>
                <w:szCs w:val="20"/>
                <w:color w:val="auto"/>
              </w:rPr>
            </w:pPr>
            <w:r>
              <w:rPr>
                <w:rFonts w:ascii="Times New Roman" w:cs="Times New Roman" w:eastAsia="Times New Roman" w:hAnsi="Times New Roman"/>
                <w:sz w:val="8"/>
                <w:szCs w:val="8"/>
                <w:b w:val="1"/>
                <w:bCs w:val="1"/>
                <w:color w:val="auto"/>
                <w:w w:val="92"/>
              </w:rPr>
              <w:t>Accumulated</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7"/>
              </w:rPr>
              <w:t>Other</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2"/>
              </w:rPr>
              <w:t>Noncontrolling</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2"/>
              </w:rPr>
              <w:t>Noncontrolling</w:t>
            </w: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85"/>
        </w:trPr>
        <w:tc>
          <w:tcPr>
            <w:tcW w:w="2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2"/>
          </w:tcPr>
          <w:p>
            <w:pPr>
              <w:jc w:val="center"/>
              <w:ind w:right="140"/>
              <w:spacing w:after="0" w:line="86" w:lineRule="exact"/>
              <w:rPr>
                <w:sz w:val="20"/>
                <w:szCs w:val="20"/>
                <w:color w:val="auto"/>
              </w:rPr>
            </w:pPr>
            <w:r>
              <w:rPr>
                <w:rFonts w:ascii="Times New Roman" w:cs="Times New Roman" w:eastAsia="Times New Roman" w:hAnsi="Times New Roman"/>
                <w:sz w:val="8"/>
                <w:szCs w:val="8"/>
                <w:b w:val="1"/>
                <w:bCs w:val="1"/>
                <w:color w:val="auto"/>
                <w:w w:val="95"/>
              </w:rPr>
              <w:t>Redeemable</w:t>
            </w: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tcPr>
          <w:p>
            <w:pPr>
              <w:jc w:val="center"/>
              <w:ind w:right="80"/>
              <w:spacing w:after="0" w:line="86" w:lineRule="exact"/>
              <w:rPr>
                <w:sz w:val="20"/>
                <w:szCs w:val="20"/>
                <w:color w:val="auto"/>
              </w:rPr>
            </w:pPr>
            <w:r>
              <w:rPr>
                <w:rFonts w:ascii="Times New Roman" w:cs="Times New Roman" w:eastAsia="Times New Roman" w:hAnsi="Times New Roman"/>
                <w:sz w:val="8"/>
                <w:szCs w:val="8"/>
                <w:b w:val="1"/>
                <w:bCs w:val="1"/>
                <w:color w:val="auto"/>
                <w:w w:val="96"/>
              </w:rPr>
              <w:t>Number of</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3"/>
              </w:rPr>
              <w:t>Additional</w:t>
            </w:r>
          </w:p>
        </w:tc>
        <w:tc>
          <w:tcPr>
            <w:tcW w:w="40" w:type="dxa"/>
            <w:vAlign w:val="bottom"/>
          </w:tcPr>
          <w:p>
            <w:pPr>
              <w:spacing w:after="0"/>
              <w:rPr>
                <w:sz w:val="7"/>
                <w:szCs w:val="7"/>
                <w:color w:val="auto"/>
              </w:rPr>
            </w:pPr>
          </w:p>
        </w:tc>
        <w:tc>
          <w:tcPr>
            <w:tcW w:w="540" w:type="dxa"/>
            <w:vAlign w:val="bottom"/>
            <w:gridSpan w:val="2"/>
          </w:tcPr>
          <w:p>
            <w:pPr>
              <w:jc w:val="center"/>
              <w:ind w:right="100"/>
              <w:spacing w:after="0" w:line="86" w:lineRule="exact"/>
              <w:rPr>
                <w:sz w:val="20"/>
                <w:szCs w:val="20"/>
                <w:color w:val="auto"/>
              </w:rPr>
            </w:pPr>
            <w:r>
              <w:rPr>
                <w:rFonts w:ascii="Times New Roman" w:cs="Times New Roman" w:eastAsia="Times New Roman" w:hAnsi="Times New Roman"/>
                <w:sz w:val="8"/>
                <w:szCs w:val="8"/>
                <w:b w:val="1"/>
                <w:bCs w:val="1"/>
                <w:color w:val="auto"/>
                <w:w w:val="93"/>
              </w:rPr>
              <w:t>Dividends in</w:t>
            </w:r>
          </w:p>
        </w:tc>
        <w:tc>
          <w:tcPr>
            <w:tcW w:w="640" w:type="dxa"/>
            <w:vAlign w:val="bottom"/>
            <w:gridSpan w:val="3"/>
          </w:tcPr>
          <w:p>
            <w:pPr>
              <w:jc w:val="center"/>
              <w:ind w:right="80"/>
              <w:spacing w:after="0" w:line="86" w:lineRule="exact"/>
              <w:rPr>
                <w:sz w:val="20"/>
                <w:szCs w:val="20"/>
                <w:color w:val="auto"/>
              </w:rPr>
            </w:pPr>
            <w:r>
              <w:rPr>
                <w:rFonts w:ascii="Times New Roman" w:cs="Times New Roman" w:eastAsia="Times New Roman" w:hAnsi="Times New Roman"/>
                <w:sz w:val="8"/>
                <w:szCs w:val="8"/>
                <w:b w:val="1"/>
                <w:bCs w:val="1"/>
                <w:color w:val="auto"/>
                <w:w w:val="97"/>
              </w:rPr>
              <w:t>Comprehensive</w:t>
            </w:r>
          </w:p>
        </w:tc>
        <w:tc>
          <w:tcPr>
            <w:tcW w:w="100" w:type="dxa"/>
            <w:vAlign w:val="bottom"/>
          </w:tcPr>
          <w:p>
            <w:pPr>
              <w:spacing w:after="0"/>
              <w:rPr>
                <w:sz w:val="7"/>
                <w:szCs w:val="7"/>
                <w:color w:val="auto"/>
              </w:rPr>
            </w:pPr>
          </w:p>
        </w:tc>
        <w:tc>
          <w:tcPr>
            <w:tcW w:w="480" w:type="dxa"/>
            <w:vAlign w:val="bottom"/>
            <w:gridSpan w:val="2"/>
          </w:tcPr>
          <w:p>
            <w:pPr>
              <w:jc w:val="center"/>
              <w:ind w:right="160"/>
              <w:spacing w:after="0" w:line="86" w:lineRule="exact"/>
              <w:rPr>
                <w:sz w:val="20"/>
                <w:szCs w:val="20"/>
                <w:color w:val="auto"/>
              </w:rPr>
            </w:pPr>
            <w:r>
              <w:rPr>
                <w:rFonts w:ascii="Times New Roman" w:cs="Times New Roman" w:eastAsia="Times New Roman" w:hAnsi="Times New Roman"/>
                <w:sz w:val="8"/>
                <w:szCs w:val="8"/>
                <w:b w:val="1"/>
                <w:bCs w:val="1"/>
                <w:color w:val="auto"/>
                <w:w w:val="87"/>
              </w:rPr>
              <w:t>Total</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3"/>
              </w:rPr>
              <w:t>Interests in</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3"/>
              </w:rPr>
              <w:t>Interests in</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87"/>
              </w:rPr>
              <w:t>Total</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85"/>
        </w:trPr>
        <w:tc>
          <w:tcPr>
            <w:tcW w:w="2500" w:type="dxa"/>
            <w:vAlign w:val="bottom"/>
          </w:tcPr>
          <w:p>
            <w:pPr>
              <w:spacing w:after="0"/>
              <w:rPr>
                <w:sz w:val="7"/>
                <w:szCs w:val="7"/>
                <w:color w:val="auto"/>
              </w:rPr>
            </w:pPr>
          </w:p>
        </w:tc>
        <w:tc>
          <w:tcPr>
            <w:tcW w:w="620" w:type="dxa"/>
            <w:vAlign w:val="bottom"/>
            <w:gridSpan w:val="3"/>
          </w:tcPr>
          <w:p>
            <w:pPr>
              <w:jc w:val="center"/>
              <w:ind w:right="80"/>
              <w:spacing w:after="0" w:line="86" w:lineRule="exact"/>
              <w:rPr>
                <w:sz w:val="20"/>
                <w:szCs w:val="20"/>
                <w:color w:val="auto"/>
              </w:rPr>
            </w:pPr>
            <w:r>
              <w:rPr>
                <w:rFonts w:ascii="Times New Roman" w:cs="Times New Roman" w:eastAsia="Times New Roman" w:hAnsi="Times New Roman"/>
                <w:sz w:val="8"/>
                <w:szCs w:val="8"/>
                <w:b w:val="1"/>
                <w:bCs w:val="1"/>
                <w:color w:val="auto"/>
                <w:w w:val="96"/>
              </w:rPr>
              <w:t>Noncontrolling</w:t>
            </w:r>
          </w:p>
        </w:tc>
        <w:tc>
          <w:tcPr>
            <w:tcW w:w="60" w:type="dxa"/>
            <w:vAlign w:val="bottom"/>
          </w:tcPr>
          <w:p>
            <w:pPr>
              <w:spacing w:after="0"/>
              <w:rPr>
                <w:sz w:val="7"/>
                <w:szCs w:val="7"/>
                <w:color w:val="auto"/>
              </w:rPr>
            </w:pPr>
          </w:p>
        </w:tc>
        <w:tc>
          <w:tcPr>
            <w:tcW w:w="460" w:type="dxa"/>
            <w:vAlign w:val="bottom"/>
            <w:gridSpan w:val="2"/>
          </w:tcPr>
          <w:p>
            <w:pPr>
              <w:jc w:val="center"/>
              <w:ind w:right="140"/>
              <w:spacing w:after="0" w:line="86" w:lineRule="exact"/>
              <w:rPr>
                <w:sz w:val="20"/>
                <w:szCs w:val="20"/>
                <w:color w:val="auto"/>
              </w:rPr>
            </w:pPr>
            <w:r>
              <w:rPr>
                <w:rFonts w:ascii="Times New Roman" w:cs="Times New Roman" w:eastAsia="Times New Roman" w:hAnsi="Times New Roman"/>
                <w:sz w:val="8"/>
                <w:szCs w:val="8"/>
                <w:b w:val="1"/>
                <w:bCs w:val="1"/>
                <w:color w:val="auto"/>
                <w:w w:val="95"/>
              </w:rPr>
              <w:t>Preferred</w:t>
            </w:r>
          </w:p>
        </w:tc>
        <w:tc>
          <w:tcPr>
            <w:tcW w:w="560" w:type="dxa"/>
            <w:vAlign w:val="bottom"/>
            <w:gridSpan w:val="2"/>
          </w:tcPr>
          <w:p>
            <w:pPr>
              <w:jc w:val="center"/>
              <w:ind w:right="100"/>
              <w:spacing w:after="0" w:line="86" w:lineRule="exact"/>
              <w:rPr>
                <w:sz w:val="20"/>
                <w:szCs w:val="20"/>
                <w:color w:val="auto"/>
              </w:rPr>
            </w:pPr>
            <w:r>
              <w:rPr>
                <w:rFonts w:ascii="Times New Roman" w:cs="Times New Roman" w:eastAsia="Times New Roman" w:hAnsi="Times New Roman"/>
                <w:sz w:val="8"/>
                <w:szCs w:val="8"/>
                <w:b w:val="1"/>
                <w:bCs w:val="1"/>
                <w:color w:val="auto"/>
                <w:w w:val="94"/>
              </w:rPr>
              <w:t>Common</w:t>
            </w:r>
          </w:p>
        </w:tc>
        <w:tc>
          <w:tcPr>
            <w:tcW w:w="40" w:type="dxa"/>
            <w:vAlign w:val="bottom"/>
          </w:tcPr>
          <w:p>
            <w:pPr>
              <w:spacing w:after="0"/>
              <w:rPr>
                <w:sz w:val="7"/>
                <w:szCs w:val="7"/>
                <w:color w:val="auto"/>
              </w:rPr>
            </w:pPr>
          </w:p>
        </w:tc>
        <w:tc>
          <w:tcPr>
            <w:tcW w:w="46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4"/>
              </w:rPr>
              <w:t>Common</w:t>
            </w:r>
          </w:p>
        </w:tc>
        <w:tc>
          <w:tcPr>
            <w:tcW w:w="60" w:type="dxa"/>
            <w:vAlign w:val="bottom"/>
          </w:tcPr>
          <w:p>
            <w:pPr>
              <w:spacing w:after="0"/>
              <w:rPr>
                <w:sz w:val="7"/>
                <w:szCs w:val="7"/>
                <w:color w:val="auto"/>
              </w:rPr>
            </w:pPr>
          </w:p>
        </w:tc>
        <w:tc>
          <w:tcPr>
            <w:tcW w:w="5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88"/>
              </w:rPr>
              <w:t>Paid-in</w:t>
            </w:r>
          </w:p>
        </w:tc>
        <w:tc>
          <w:tcPr>
            <w:tcW w:w="40" w:type="dxa"/>
            <w:vAlign w:val="bottom"/>
          </w:tcPr>
          <w:p>
            <w:pPr>
              <w:spacing w:after="0"/>
              <w:rPr>
                <w:sz w:val="7"/>
                <w:szCs w:val="7"/>
                <w:color w:val="auto"/>
              </w:rPr>
            </w:pPr>
          </w:p>
        </w:tc>
        <w:tc>
          <w:tcPr>
            <w:tcW w:w="54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5"/>
              </w:rPr>
              <w:t>Excess of</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5"/>
              </w:rPr>
              <w:t>Income (Loss),</w:t>
            </w:r>
          </w:p>
        </w:tc>
        <w:tc>
          <w:tcPr>
            <w:tcW w:w="580" w:type="dxa"/>
            <w:vAlign w:val="bottom"/>
            <w:gridSpan w:val="3"/>
          </w:tcPr>
          <w:p>
            <w:pPr>
              <w:jc w:val="center"/>
              <w:ind w:right="60"/>
              <w:spacing w:after="0" w:line="86" w:lineRule="exact"/>
              <w:rPr>
                <w:sz w:val="20"/>
                <w:szCs w:val="20"/>
                <w:color w:val="auto"/>
              </w:rPr>
            </w:pPr>
            <w:r>
              <w:rPr>
                <w:rFonts w:ascii="Times New Roman" w:cs="Times New Roman" w:eastAsia="Times New Roman" w:hAnsi="Times New Roman"/>
                <w:sz w:val="8"/>
                <w:szCs w:val="8"/>
                <w:b w:val="1"/>
                <w:bCs w:val="1"/>
                <w:color w:val="auto"/>
                <w:w w:val="93"/>
              </w:rPr>
              <w:t>Stockholders’</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0"/>
              </w:rPr>
              <w:t>Operating</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7"/>
              </w:rPr>
              <w:t>Consolidated</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2"/>
              </w:rPr>
              <w:t>Noncontrolling</w:t>
            </w:r>
          </w:p>
        </w:tc>
        <w:tc>
          <w:tcPr>
            <w:tcW w:w="80" w:type="dxa"/>
            <w:vAlign w:val="bottom"/>
          </w:tcPr>
          <w:p>
            <w:pPr>
              <w:spacing w:after="0"/>
              <w:rPr>
                <w:sz w:val="7"/>
                <w:szCs w:val="7"/>
                <w:color w:val="auto"/>
              </w:rPr>
            </w:pPr>
          </w:p>
        </w:tc>
        <w:tc>
          <w:tcPr>
            <w:tcW w:w="420" w:type="dxa"/>
            <w:vAlign w:val="bottom"/>
          </w:tcPr>
          <w:p>
            <w:pPr>
              <w:jc w:val="right"/>
              <w:ind w:right="122"/>
              <w:spacing w:after="0" w:line="86" w:lineRule="exact"/>
              <w:rPr>
                <w:sz w:val="20"/>
                <w:szCs w:val="20"/>
                <w:color w:val="auto"/>
              </w:rPr>
            </w:pPr>
            <w:r>
              <w:rPr>
                <w:rFonts w:ascii="Times New Roman" w:cs="Times New Roman" w:eastAsia="Times New Roman" w:hAnsi="Times New Roman"/>
                <w:sz w:val="8"/>
                <w:szCs w:val="8"/>
                <w:b w:val="1"/>
                <w:bCs w:val="1"/>
                <w:color w:val="auto"/>
              </w:rPr>
              <w:t>Total</w:t>
            </w:r>
          </w:p>
        </w:tc>
      </w:tr>
      <w:tr>
        <w:trPr>
          <w:trHeight w:val="97"/>
        </w:trPr>
        <w:tc>
          <w:tcPr>
            <w:tcW w:w="2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3"/>
              </w:rPr>
              <w:t>Interests</w:t>
            </w:r>
          </w:p>
        </w:tc>
        <w:tc>
          <w:tcPr>
            <w:tcW w:w="60" w:type="dxa"/>
            <w:vAlign w:val="bottom"/>
          </w:tcPr>
          <w:p>
            <w:pPr>
              <w:spacing w:after="0"/>
              <w:rPr>
                <w:sz w:val="8"/>
                <w:szCs w:val="8"/>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 w:type="dxa"/>
            <w:vAlign w:val="bottom"/>
          </w:tcPr>
          <w:p>
            <w:pPr>
              <w:spacing w:after="0"/>
              <w:rPr>
                <w:sz w:val="8"/>
                <w:szCs w:val="8"/>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60" w:type="dxa"/>
            <w:vAlign w:val="bottom"/>
          </w:tcPr>
          <w:p>
            <w:pPr>
              <w:spacing w:after="0"/>
              <w:rPr>
                <w:sz w:val="8"/>
                <w:szCs w:val="8"/>
                <w:color w:val="auto"/>
              </w:rPr>
            </w:pP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40" w:type="dxa"/>
            <w:vAlign w:val="bottom"/>
          </w:tcPr>
          <w:p>
            <w:pPr>
              <w:spacing w:after="0"/>
              <w:rPr>
                <w:sz w:val="8"/>
                <w:szCs w:val="8"/>
                <w:color w:val="auto"/>
              </w:rPr>
            </w:pP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6"/>
              </w:rPr>
              <w:t>Earnings</w:t>
            </w:r>
          </w:p>
        </w:tc>
        <w:tc>
          <w:tcPr>
            <w:tcW w:w="40" w:type="dxa"/>
            <w:vAlign w:val="bottom"/>
          </w:tcPr>
          <w:p>
            <w:pPr>
              <w:spacing w:after="0"/>
              <w:rPr>
                <w:sz w:val="8"/>
                <w:szCs w:val="8"/>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3"/>
              </w:rPr>
              <w:t>net</w:t>
            </w:r>
          </w:p>
        </w:tc>
        <w:tc>
          <w:tcPr>
            <w:tcW w:w="100" w:type="dxa"/>
            <w:vAlign w:val="bottom"/>
          </w:tcPr>
          <w:p>
            <w:pPr>
              <w:spacing w:after="0"/>
              <w:rPr>
                <w:sz w:val="8"/>
                <w:szCs w:val="8"/>
                <w:color w:val="auto"/>
              </w:rPr>
            </w:pPr>
          </w:p>
        </w:tc>
        <w:tc>
          <w:tcPr>
            <w:tcW w:w="48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4"/>
              </w:rPr>
              <w:t>Equity</w:t>
            </w:r>
          </w:p>
        </w:tc>
        <w:tc>
          <w:tcPr>
            <w:tcW w:w="40" w:type="dxa"/>
            <w:vAlign w:val="bottom"/>
          </w:tcPr>
          <w:p>
            <w:pPr>
              <w:spacing w:after="0"/>
              <w:rPr>
                <w:sz w:val="8"/>
                <w:szCs w:val="8"/>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7"/>
              </w:rPr>
              <w:t>Partnership</w:t>
            </w:r>
          </w:p>
        </w:tc>
        <w:tc>
          <w:tcPr>
            <w:tcW w:w="40" w:type="dxa"/>
            <w:vAlign w:val="bottom"/>
          </w:tcPr>
          <w:p>
            <w:pPr>
              <w:spacing w:after="0"/>
              <w:rPr>
                <w:sz w:val="8"/>
                <w:szCs w:val="8"/>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5"/>
              </w:rPr>
              <w:t>Joint Ventures</w:t>
            </w:r>
          </w:p>
        </w:tc>
        <w:tc>
          <w:tcPr>
            <w:tcW w:w="40" w:type="dxa"/>
            <w:vAlign w:val="bottom"/>
          </w:tcPr>
          <w:p>
            <w:pPr>
              <w:spacing w:after="0"/>
              <w:rPr>
                <w:sz w:val="8"/>
                <w:szCs w:val="8"/>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3"/>
              </w:rPr>
              <w:t>Interests</w:t>
            </w:r>
          </w:p>
        </w:tc>
        <w:tc>
          <w:tcPr>
            <w:tcW w:w="80" w:type="dxa"/>
            <w:vAlign w:val="bottom"/>
          </w:tcPr>
          <w:p>
            <w:pPr>
              <w:spacing w:after="0"/>
              <w:rPr>
                <w:sz w:val="8"/>
                <w:szCs w:val="8"/>
                <w:color w:val="auto"/>
              </w:rPr>
            </w:pPr>
          </w:p>
        </w:tc>
        <w:tc>
          <w:tcPr>
            <w:tcW w:w="420" w:type="dxa"/>
            <w:vAlign w:val="bottom"/>
          </w:tcPr>
          <w:p>
            <w:pPr>
              <w:jc w:val="right"/>
              <w:ind w:right="102"/>
              <w:spacing w:after="0"/>
              <w:rPr>
                <w:sz w:val="20"/>
                <w:szCs w:val="20"/>
                <w:color w:val="auto"/>
              </w:rPr>
            </w:pPr>
            <w:r>
              <w:rPr>
                <w:rFonts w:ascii="Times New Roman" w:cs="Times New Roman" w:eastAsia="Times New Roman" w:hAnsi="Times New Roman"/>
                <w:sz w:val="8"/>
                <w:szCs w:val="8"/>
                <w:b w:val="1"/>
                <w:bCs w:val="1"/>
                <w:color w:val="auto"/>
              </w:rPr>
              <w:t>Equity</w:t>
            </w:r>
          </w:p>
        </w:tc>
      </w:tr>
      <w:tr>
        <w:trPr>
          <w:trHeight w:val="75"/>
        </w:trPr>
        <w:tc>
          <w:tcPr>
            <w:tcW w:w="2500" w:type="dxa"/>
            <w:vAlign w:val="bottom"/>
            <w:tcBorders>
              <w:top w:val="single" w:sz="8" w:color="CCEEFF"/>
            </w:tcBorders>
            <w:shd w:val="clear" w:color="auto" w:fill="CCEEFF"/>
          </w:tcPr>
          <w:p>
            <w:pPr>
              <w:spacing w:after="0" w:line="75" w:lineRule="exact"/>
              <w:rPr>
                <w:sz w:val="20"/>
                <w:szCs w:val="20"/>
                <w:color w:val="auto"/>
              </w:rPr>
            </w:pPr>
            <w:r>
              <w:rPr>
                <w:rFonts w:ascii="Times New Roman" w:cs="Times New Roman" w:eastAsia="Times New Roman" w:hAnsi="Times New Roman"/>
                <w:sz w:val="8"/>
                <w:szCs w:val="8"/>
                <w:b w:val="1"/>
                <w:bCs w:val="1"/>
                <w:color w:val="auto"/>
              </w:rPr>
              <w:t>Balance as of December 31, 2018</w:t>
            </w: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15,832</w:t>
            </w: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1,249,560</w:t>
            </w: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206,425,656</w:t>
            </w: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2,051</w:t>
            </w: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11,355,751</w:t>
            </w: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(2,633,071)</w:t>
            </w: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(115,647)</w:t>
            </w: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9,858,644</w:t>
            </w: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906,510</w:t>
            </w: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93,056</w:t>
            </w: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999,566</w:t>
            </w: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10,858,210</w:t>
            </w:r>
          </w:p>
        </w:tc>
      </w:tr>
      <w:tr>
        <w:trPr>
          <w:trHeight w:val="85"/>
        </w:trPr>
        <w:tc>
          <w:tcPr>
            <w:tcW w:w="250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Conversion of common units to common stock</w:t>
            </w:r>
          </w:p>
        </w:tc>
        <w:tc>
          <w:tcPr>
            <w:tcW w:w="40" w:type="dxa"/>
            <w:vAlign w:val="bottom"/>
          </w:tcPr>
          <w:p>
            <w:pPr>
              <w:spacing w:after="0"/>
              <w:rPr>
                <w:sz w:val="7"/>
                <w:szCs w:val="7"/>
                <w:color w:val="auto"/>
              </w:rPr>
            </w:pPr>
          </w:p>
        </w:tc>
        <w:tc>
          <w:tcPr>
            <w:tcW w:w="58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2,154,460</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22</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190,492</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40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190,514</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(190,514)</w:t>
            </w: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(190,514)</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250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Issuance of unvested restricted stock, net of forfeitures</w:t>
            </w:r>
          </w:p>
        </w:tc>
        <w:tc>
          <w:tcPr>
            <w:tcW w:w="4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256,868</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250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Common stock offering costs</w:t>
            </w:r>
          </w:p>
        </w:tc>
        <w:tc>
          <w:tcPr>
            <w:tcW w:w="40" w:type="dxa"/>
            <w:vAlign w:val="bottom"/>
          </w:tcPr>
          <w:p>
            <w:pPr>
              <w:spacing w:after="0"/>
              <w:rPr>
                <w:sz w:val="7"/>
                <w:szCs w:val="7"/>
                <w:color w:val="auto"/>
              </w:rPr>
            </w:pPr>
          </w:p>
        </w:tc>
        <w:tc>
          <w:tcPr>
            <w:tcW w:w="58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00" w:type="dxa"/>
            <w:vAlign w:val="bottom"/>
            <w:gridSpan w:val="2"/>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(2,530)</w:t>
            </w:r>
          </w:p>
        </w:tc>
        <w:tc>
          <w:tcPr>
            <w:tcW w:w="40" w:type="dxa"/>
            <w:vAlign w:val="bottom"/>
          </w:tcPr>
          <w:p>
            <w:pPr>
              <w:spacing w:after="0"/>
              <w:rPr>
                <w:sz w:val="7"/>
                <w:szCs w:val="7"/>
                <w:color w:val="auto"/>
              </w:rPr>
            </w:pPr>
          </w:p>
        </w:tc>
        <w:tc>
          <w:tcPr>
            <w:tcW w:w="54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48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(2,530)</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(2,530)</w:t>
            </w:r>
          </w:p>
        </w:tc>
      </w:tr>
      <w:tr>
        <w:trPr>
          <w:trHeight w:val="85"/>
        </w:trPr>
        <w:tc>
          <w:tcPr>
            <w:tcW w:w="250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Shares issued under employee stock purchase plan</w:t>
            </w:r>
          </w:p>
        </w:tc>
        <w:tc>
          <w:tcPr>
            <w:tcW w:w="4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63,774</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5,462</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5,462</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5,462</w:t>
            </w:r>
          </w:p>
        </w:tc>
      </w:tr>
      <w:tr>
        <w:trPr>
          <w:trHeight w:val="85"/>
        </w:trPr>
        <w:tc>
          <w:tcPr>
            <w:tcW w:w="250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Issuance of series K preferred stock, net of offering costs</w:t>
            </w:r>
          </w:p>
        </w:tc>
        <w:tc>
          <w:tcPr>
            <w:tcW w:w="40" w:type="dxa"/>
            <w:vAlign w:val="bottom"/>
          </w:tcPr>
          <w:p>
            <w:pPr>
              <w:spacing w:after="0"/>
              <w:rPr>
                <w:sz w:val="7"/>
                <w:szCs w:val="7"/>
                <w:color w:val="auto"/>
              </w:rPr>
            </w:pPr>
          </w:p>
        </w:tc>
        <w:tc>
          <w:tcPr>
            <w:tcW w:w="58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38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203,264</w:t>
            </w:r>
          </w:p>
        </w:tc>
        <w:tc>
          <w:tcPr>
            <w:tcW w:w="80" w:type="dxa"/>
            <w:vAlign w:val="bottom"/>
          </w:tcPr>
          <w:p>
            <w:pPr>
              <w:spacing w:after="0"/>
              <w:rPr>
                <w:sz w:val="7"/>
                <w:szCs w:val="7"/>
                <w:color w:val="auto"/>
              </w:rPr>
            </w:pP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4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40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203,264</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203,264</w:t>
            </w:r>
          </w:p>
        </w:tc>
      </w:tr>
      <w:tr>
        <w:trPr>
          <w:trHeight w:val="85"/>
        </w:trPr>
        <w:tc>
          <w:tcPr>
            <w:tcW w:w="250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Issuance of series L preferred stock, net of offering costs</w:t>
            </w:r>
          </w:p>
        </w:tc>
        <w:tc>
          <w:tcPr>
            <w:tcW w:w="4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334,886</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334,886</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334,886</w:t>
            </w:r>
          </w:p>
        </w:tc>
      </w:tr>
      <w:tr>
        <w:trPr>
          <w:trHeight w:val="85"/>
        </w:trPr>
        <w:tc>
          <w:tcPr>
            <w:tcW w:w="250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Redemption of series H preferred stock</w:t>
            </w:r>
          </w:p>
        </w:tc>
        <w:tc>
          <w:tcPr>
            <w:tcW w:w="40" w:type="dxa"/>
            <w:vAlign w:val="bottom"/>
          </w:tcPr>
          <w:p>
            <w:pPr>
              <w:spacing w:after="0"/>
              <w:rPr>
                <w:sz w:val="7"/>
                <w:szCs w:val="7"/>
                <w:color w:val="auto"/>
              </w:rPr>
            </w:pPr>
          </w:p>
        </w:tc>
        <w:tc>
          <w:tcPr>
            <w:tcW w:w="58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(353,290)</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4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(11,760)</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48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(365,050)</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(365,050)</w:t>
            </w:r>
          </w:p>
        </w:tc>
      </w:tr>
      <w:tr>
        <w:trPr>
          <w:trHeight w:val="85"/>
        </w:trPr>
        <w:tc>
          <w:tcPr>
            <w:tcW w:w="250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Amortization of unearned compensation on share-based awards</w:t>
            </w:r>
          </w:p>
        </w:tc>
        <w:tc>
          <w:tcPr>
            <w:tcW w:w="4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38,662</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38,662</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38,662</w:t>
            </w:r>
          </w:p>
        </w:tc>
      </w:tr>
      <w:tr>
        <w:trPr>
          <w:trHeight w:val="85"/>
        </w:trPr>
        <w:tc>
          <w:tcPr>
            <w:tcW w:w="250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Reclassification of vested share-based awards</w:t>
            </w:r>
          </w:p>
        </w:tc>
        <w:tc>
          <w:tcPr>
            <w:tcW w:w="40" w:type="dxa"/>
            <w:vAlign w:val="bottom"/>
          </w:tcPr>
          <w:p>
            <w:pPr>
              <w:spacing w:after="0"/>
              <w:rPr>
                <w:sz w:val="7"/>
                <w:szCs w:val="7"/>
                <w:color w:val="auto"/>
              </w:rPr>
            </w:pPr>
          </w:p>
        </w:tc>
        <w:tc>
          <w:tcPr>
            <w:tcW w:w="58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00" w:type="dxa"/>
            <w:vAlign w:val="bottom"/>
            <w:gridSpan w:val="2"/>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(8,458)</w:t>
            </w:r>
          </w:p>
        </w:tc>
        <w:tc>
          <w:tcPr>
            <w:tcW w:w="40" w:type="dxa"/>
            <w:vAlign w:val="bottom"/>
          </w:tcPr>
          <w:p>
            <w:pPr>
              <w:spacing w:after="0"/>
              <w:rPr>
                <w:sz w:val="7"/>
                <w:szCs w:val="7"/>
                <w:color w:val="auto"/>
              </w:rPr>
            </w:pPr>
          </w:p>
        </w:tc>
        <w:tc>
          <w:tcPr>
            <w:tcW w:w="54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48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(8,458)</w:t>
            </w:r>
          </w:p>
        </w:tc>
        <w:tc>
          <w:tcPr>
            <w:tcW w:w="40" w:type="dxa"/>
            <w:vAlign w:val="bottom"/>
          </w:tcPr>
          <w:p>
            <w:pPr>
              <w:spacing w:after="0"/>
              <w:rPr>
                <w:sz w:val="7"/>
                <w:szCs w:val="7"/>
                <w:color w:val="auto"/>
              </w:rPr>
            </w:pPr>
          </w:p>
        </w:tc>
        <w:tc>
          <w:tcPr>
            <w:tcW w:w="5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8,458</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8,458</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250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Adjustment to redeemable noncontrolling interests</w:t>
            </w: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25,937</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(2,059)</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(2,059)</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(23,878)</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(23,878)</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(25,937)</w:t>
            </w:r>
          </w:p>
        </w:tc>
      </w:tr>
      <w:tr>
        <w:trPr>
          <w:trHeight w:val="85"/>
        </w:trPr>
        <w:tc>
          <w:tcPr>
            <w:tcW w:w="250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Dividends declared on preferred stock</w:t>
            </w:r>
          </w:p>
        </w:tc>
        <w:tc>
          <w:tcPr>
            <w:tcW w:w="40" w:type="dxa"/>
            <w:vAlign w:val="bottom"/>
          </w:tcPr>
          <w:p>
            <w:pPr>
              <w:spacing w:after="0"/>
              <w:rPr>
                <w:sz w:val="7"/>
                <w:szCs w:val="7"/>
                <w:color w:val="auto"/>
              </w:rPr>
            </w:pPr>
          </w:p>
        </w:tc>
        <w:tc>
          <w:tcPr>
            <w:tcW w:w="58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4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(74,990)</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48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(74,990)</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(74,990)</w:t>
            </w:r>
          </w:p>
        </w:tc>
      </w:tr>
      <w:tr>
        <w:trPr>
          <w:trHeight w:val="85"/>
        </w:trPr>
        <w:tc>
          <w:tcPr>
            <w:tcW w:w="250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w w:val="97"/>
              </w:rPr>
              <w:t>Dividends and distributions on common stock and common and incentive units</w:t>
            </w:r>
          </w:p>
        </w:tc>
        <w:tc>
          <w:tcPr>
            <w:tcW w:w="4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(676)</w:t>
            </w: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(900,201)</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(900,201)</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(38,278)</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(38,278)</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(938,479)</w:t>
            </w:r>
          </w:p>
        </w:tc>
      </w:tr>
      <w:tr>
        <w:trPr>
          <w:trHeight w:val="76"/>
        </w:trPr>
        <w:tc>
          <w:tcPr>
            <w:tcW w:w="250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w w:val="99"/>
              </w:rPr>
              <w:t>Contributions from noncontrolling interests in consolidated joint ventures, net</w:t>
            </w: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95"/>
        </w:trPr>
        <w:tc>
          <w:tcPr>
            <w:tcW w:w="2500" w:type="dxa"/>
            <w:vAlign w:val="bottom"/>
          </w:tcPr>
          <w:p>
            <w:pPr>
              <w:spacing w:after="0"/>
              <w:rPr>
                <w:sz w:val="20"/>
                <w:szCs w:val="20"/>
                <w:color w:val="auto"/>
              </w:rPr>
            </w:pPr>
            <w:r>
              <w:rPr>
                <w:rFonts w:ascii="Times New Roman" w:cs="Times New Roman" w:eastAsia="Times New Roman" w:hAnsi="Times New Roman"/>
                <w:sz w:val="8"/>
                <w:szCs w:val="8"/>
                <w:color w:val="auto"/>
              </w:rPr>
              <w:t>of distributions</w:t>
            </w:r>
          </w:p>
        </w:tc>
        <w:tc>
          <w:tcPr>
            <w:tcW w:w="40" w:type="dxa"/>
            <w:vAlign w:val="bottom"/>
          </w:tcPr>
          <w:p>
            <w:pPr>
              <w:spacing w:after="0"/>
              <w:rPr>
                <w:sz w:val="8"/>
                <w:szCs w:val="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63,173</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63,173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63,173</w:t>
            </w:r>
          </w:p>
        </w:tc>
      </w:tr>
      <w:tr>
        <w:trPr>
          <w:trHeight w:val="85"/>
        </w:trPr>
        <w:tc>
          <w:tcPr>
            <w:tcW w:w="250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Deconsolidation of consolidated joint venture</w:t>
            </w:r>
          </w:p>
        </w:tc>
        <w:tc>
          <w:tcPr>
            <w:tcW w:w="4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(110,086)</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(110,086)</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(110,086)</w:t>
            </w:r>
          </w:p>
        </w:tc>
      </w:tr>
      <w:tr>
        <w:trPr>
          <w:trHeight w:val="85"/>
        </w:trPr>
        <w:tc>
          <w:tcPr>
            <w:tcW w:w="250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Cumulative effect adjustment from adoption of new accounting standard</w:t>
            </w:r>
          </w:p>
        </w:tc>
        <w:tc>
          <w:tcPr>
            <w:tcW w:w="40" w:type="dxa"/>
            <w:vAlign w:val="bottom"/>
          </w:tcPr>
          <w:p>
            <w:pPr>
              <w:spacing w:after="0"/>
              <w:rPr>
                <w:sz w:val="7"/>
                <w:szCs w:val="7"/>
                <w:color w:val="auto"/>
              </w:rPr>
            </w:pPr>
          </w:p>
        </w:tc>
        <w:tc>
          <w:tcPr>
            <w:tcW w:w="58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4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(6,318)</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48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(6,318)</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(6,318)</w:t>
            </w:r>
          </w:p>
        </w:tc>
      </w:tr>
      <w:tr>
        <w:trPr>
          <w:trHeight w:val="85"/>
        </w:trPr>
        <w:tc>
          <w:tcPr>
            <w:tcW w:w="250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Net income</w:t>
            </w: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372</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579,761</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579,761</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20,728</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(1,640)</w:t>
            </w: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19,088</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598,849</w:t>
            </w:r>
          </w:p>
        </w:tc>
      </w:tr>
      <w:tr>
        <w:trPr>
          <w:trHeight w:val="85"/>
        </w:trPr>
        <w:tc>
          <w:tcPr>
            <w:tcW w:w="250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Other comprehensive income—foreign currency translation adjustments</w:t>
            </w:r>
          </w:p>
        </w:tc>
        <w:tc>
          <w:tcPr>
            <w:tcW w:w="40" w:type="dxa"/>
            <w:vAlign w:val="bottom"/>
          </w:tcPr>
          <w:p>
            <w:pPr>
              <w:spacing w:after="0"/>
              <w:rPr>
                <w:sz w:val="7"/>
                <w:szCs w:val="7"/>
                <w:color w:val="auto"/>
              </w:rPr>
            </w:pPr>
          </w:p>
        </w:tc>
        <w:tc>
          <w:tcPr>
            <w:tcW w:w="58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4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43,702</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43,702</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1,960</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1,960</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45,662</w:t>
            </w:r>
          </w:p>
        </w:tc>
      </w:tr>
      <w:tr>
        <w:trPr>
          <w:trHeight w:val="85"/>
        </w:trPr>
        <w:tc>
          <w:tcPr>
            <w:tcW w:w="250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Other comprehensive loss—fair value of interest rate swaps</w:t>
            </w:r>
          </w:p>
        </w:tc>
        <w:tc>
          <w:tcPr>
            <w:tcW w:w="4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(8,839)</w:t>
            </w:r>
          </w:p>
        </w:tc>
        <w:tc>
          <w:tcPr>
            <w:tcW w:w="10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(8,839)</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(393)</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(393)</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(9,232)</w:t>
            </w:r>
          </w:p>
        </w:tc>
      </w:tr>
      <w:tr>
        <w:trPr>
          <w:trHeight w:val="76"/>
        </w:trPr>
        <w:tc>
          <w:tcPr>
            <w:tcW w:w="250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Other comprehensive loss—reclassification of accumulated other</w:t>
            </w: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95"/>
        </w:trPr>
        <w:tc>
          <w:tcPr>
            <w:tcW w:w="2500" w:type="dxa"/>
            <w:vAlign w:val="bottom"/>
          </w:tcPr>
          <w:p>
            <w:pPr>
              <w:spacing w:after="0"/>
              <w:rPr>
                <w:sz w:val="20"/>
                <w:szCs w:val="20"/>
                <w:color w:val="auto"/>
              </w:rPr>
            </w:pPr>
            <w:r>
              <w:rPr>
                <w:rFonts w:ascii="Times New Roman" w:cs="Times New Roman" w:eastAsia="Times New Roman" w:hAnsi="Times New Roman"/>
                <w:sz w:val="8"/>
                <w:szCs w:val="8"/>
                <w:color w:val="auto"/>
              </w:rPr>
              <w:t>comprehensive income to interest expense</w:t>
            </w:r>
          </w:p>
        </w:tc>
        <w:tc>
          <w:tcPr>
            <w:tcW w:w="40" w:type="dxa"/>
            <w:vAlign w:val="bottom"/>
          </w:tcPr>
          <w:p>
            <w:pPr>
              <w:spacing w:after="0"/>
              <w:rPr>
                <w:sz w:val="8"/>
                <w:szCs w:val="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(7,138)</w:t>
            </w:r>
          </w:p>
        </w:tc>
        <w:tc>
          <w:tcPr>
            <w:tcW w:w="100" w:type="dxa"/>
            <w:vAlign w:val="bottom"/>
          </w:tcPr>
          <w:p>
            <w:pPr>
              <w:spacing w:after="0"/>
              <w:rPr>
                <w:sz w:val="8"/>
                <w:szCs w:val="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(7,138)</w:t>
            </w:r>
          </w:p>
        </w:tc>
        <w:tc>
          <w:tcPr>
            <w:tcW w:w="40" w:type="dxa"/>
            <w:vAlign w:val="bottom"/>
          </w:tcPr>
          <w:p>
            <w:pPr>
              <w:spacing w:after="0"/>
              <w:rPr>
                <w:sz w:val="8"/>
                <w:szCs w:val="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(308)</w:t>
            </w:r>
          </w:p>
        </w:tc>
        <w:tc>
          <w:tcPr>
            <w:tcW w:w="40" w:type="dxa"/>
            <w:vAlign w:val="bottom"/>
          </w:tcPr>
          <w:p>
            <w:pPr>
              <w:spacing w:after="0"/>
              <w:rPr>
                <w:sz w:val="8"/>
                <w:szCs w:val="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(308)</w:t>
            </w:r>
          </w:p>
        </w:tc>
        <w:tc>
          <w:tcPr>
            <w:tcW w:w="8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(7,446)</w:t>
            </w:r>
          </w:p>
        </w:tc>
      </w:tr>
      <w:tr>
        <w:trPr>
          <w:trHeight w:val="83"/>
        </w:trPr>
        <w:tc>
          <w:tcPr>
            <w:tcW w:w="2500" w:type="dxa"/>
            <w:vAlign w:val="bottom"/>
            <w:tcBorders>
              <w:top w:val="single" w:sz="8" w:color="CCEEFF"/>
              <w:bottom w:val="single" w:sz="8" w:color="CCEEFF"/>
            </w:tcBorders>
            <w:shd w:val="clear" w:color="auto" w:fill="CCEEFF"/>
          </w:tcPr>
          <w:p>
            <w:pPr>
              <w:spacing w:after="0" w:line="75" w:lineRule="exact"/>
              <w:rPr>
                <w:sz w:val="20"/>
                <w:szCs w:val="20"/>
                <w:color w:val="auto"/>
              </w:rPr>
            </w:pPr>
            <w:r>
              <w:rPr>
                <w:rFonts w:ascii="Times New Roman" w:cs="Times New Roman" w:eastAsia="Times New Roman" w:hAnsi="Times New Roman"/>
                <w:sz w:val="8"/>
                <w:szCs w:val="8"/>
                <w:b w:val="1"/>
                <w:bCs w:val="1"/>
                <w:color w:val="auto"/>
              </w:rPr>
              <w:t>Balance as of December 31, 2019</w:t>
            </w: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41,465</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1,434,420</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48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208,900,758</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top w:val="single" w:sz="8" w:color="auto"/>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2,073</w:t>
            </w:r>
          </w:p>
        </w:tc>
        <w:tc>
          <w:tcPr>
            <w:tcW w:w="60" w:type="dxa"/>
            <w:vAlign w:val="bottom"/>
            <w:tcBorders>
              <w:top w:val="single" w:sz="8" w:color="CCEEFF"/>
              <w:bottom w:val="single" w:sz="8" w:color="CCEEFF"/>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tcBorders>
              <w:top w:val="single" w:sz="8" w:color="auto"/>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11,577,320</w:t>
            </w:r>
          </w:p>
        </w:tc>
        <w:tc>
          <w:tcPr>
            <w:tcW w:w="6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(3,046,579)</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(87,922)</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9,879,312</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708,163</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20,625</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728,788</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10,608,100</w:t>
            </w:r>
          </w:p>
        </w:tc>
      </w:tr>
    </w:tbl>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6028055" cy="120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28055" cy="12065"/>
                    </a:xfrm>
                    <a:prstGeom prst="rect">
                      <a:avLst/>
                    </a:prstGeom>
                    <a:noFill/>
                  </pic:spPr>
                </pic:pic>
              </a:graphicData>
            </a:graphic>
          </wp:anchor>
        </w:drawing>
      </w:r>
    </w:p>
    <w:p>
      <w:pPr>
        <w:sectPr>
          <w:pgSz w:w="11900" w:h="16838" w:orient="portrait"/>
          <w:cols w:equalWidth="0" w:num="1">
            <w:col w:w="9480"/>
          </w:cols>
          <w:pgMar w:left="1200" w:top="402" w:right="1219" w:bottom="1440" w:gutter="0" w:footer="0" w:header="0"/>
        </w:sectPr>
      </w:pPr>
    </w:p>
    <w:bookmarkStart w:id="113" w:name="page114"/>
    <w:bookmarkEnd w:id="113"/>
    <w:p>
      <w:pPr>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EQUITY (continued)</w:t>
      </w:r>
    </w:p>
    <w:p>
      <w:pPr>
        <w:spacing w:after="0" w:line="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3"/>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6"/>
              </w:rPr>
              <w:t>Accumulated</w:t>
            </w:r>
          </w:p>
        </w:tc>
        <w:tc>
          <w:tcPr>
            <w:tcW w:w="40" w:type="dxa"/>
            <w:vAlign w:val="bottom"/>
          </w:tcPr>
          <w:p>
            <w:pPr>
              <w:spacing w:after="0"/>
              <w:rPr>
                <w:sz w:val="7"/>
                <w:szCs w:val="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6"/>
              </w:rPr>
              <w:t>Accumulated</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6"/>
              </w:rPr>
              <w:t>Noncontrolling</w:t>
            </w:r>
          </w:p>
        </w:tc>
        <w:tc>
          <w:tcPr>
            <w:tcW w:w="40" w:type="dxa"/>
            <w:vAlign w:val="bottom"/>
          </w:tcPr>
          <w:p>
            <w:pPr>
              <w:spacing w:after="0"/>
              <w:rPr>
                <w:sz w:val="7"/>
                <w:szCs w:val="7"/>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6"/>
              </w:rPr>
              <w:t>Noncontrolling</w:t>
            </w: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85"/>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tcPr>
          <w:p>
            <w:pPr>
              <w:jc w:val="center"/>
              <w:ind w:right="60"/>
              <w:spacing w:after="0" w:line="86" w:lineRule="exact"/>
              <w:rPr>
                <w:sz w:val="20"/>
                <w:szCs w:val="20"/>
                <w:color w:val="auto"/>
              </w:rPr>
            </w:pPr>
            <w:r>
              <w:rPr>
                <w:rFonts w:ascii="Times New Roman" w:cs="Times New Roman" w:eastAsia="Times New Roman" w:hAnsi="Times New Roman"/>
                <w:sz w:val="8"/>
                <w:szCs w:val="8"/>
                <w:b w:val="1"/>
                <w:bCs w:val="1"/>
                <w:color w:val="auto"/>
                <w:w w:val="91"/>
              </w:rPr>
              <w:t>Number of</w:t>
            </w: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8"/>
              </w:rPr>
              <w:t>Additional</w:t>
            </w:r>
          </w:p>
        </w:tc>
        <w:tc>
          <w:tcPr>
            <w:tcW w:w="40" w:type="dxa"/>
            <w:vAlign w:val="bottom"/>
          </w:tcPr>
          <w:p>
            <w:pPr>
              <w:spacing w:after="0"/>
              <w:rPr>
                <w:sz w:val="7"/>
                <w:szCs w:val="7"/>
                <w:color w:val="auto"/>
              </w:rPr>
            </w:pPr>
          </w:p>
        </w:tc>
        <w:tc>
          <w:tcPr>
            <w:tcW w:w="52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3"/>
              </w:rPr>
              <w:t>Dividends in</w:t>
            </w:r>
          </w:p>
        </w:tc>
        <w:tc>
          <w:tcPr>
            <w:tcW w:w="40" w:type="dxa"/>
            <w:vAlign w:val="bottom"/>
          </w:tcPr>
          <w:p>
            <w:pPr>
              <w:spacing w:after="0"/>
              <w:rPr>
                <w:sz w:val="7"/>
                <w:szCs w:val="7"/>
                <w:color w:val="auto"/>
              </w:rPr>
            </w:pPr>
          </w:p>
        </w:tc>
        <w:tc>
          <w:tcPr>
            <w:tcW w:w="740" w:type="dxa"/>
            <w:vAlign w:val="bottom"/>
            <w:gridSpan w:val="2"/>
          </w:tcPr>
          <w:p>
            <w:pPr>
              <w:jc w:val="center"/>
              <w:ind w:right="100"/>
              <w:spacing w:after="0" w:line="86" w:lineRule="exact"/>
              <w:rPr>
                <w:sz w:val="20"/>
                <w:szCs w:val="20"/>
                <w:color w:val="auto"/>
              </w:rPr>
            </w:pPr>
            <w:r>
              <w:rPr>
                <w:rFonts w:ascii="Times New Roman" w:cs="Times New Roman" w:eastAsia="Times New Roman" w:hAnsi="Times New Roman"/>
                <w:sz w:val="8"/>
                <w:szCs w:val="8"/>
                <w:b w:val="1"/>
                <w:bCs w:val="1"/>
                <w:color w:val="auto"/>
                <w:w w:val="97"/>
              </w:rPr>
              <w:t>Other</w:t>
            </w:r>
          </w:p>
        </w:tc>
        <w:tc>
          <w:tcPr>
            <w:tcW w:w="100" w:type="dxa"/>
            <w:vAlign w:val="bottom"/>
          </w:tcPr>
          <w:p>
            <w:pPr>
              <w:spacing w:after="0"/>
              <w:rPr>
                <w:sz w:val="7"/>
                <w:szCs w:val="7"/>
                <w:color w:val="auto"/>
              </w:rPr>
            </w:pPr>
          </w:p>
        </w:tc>
        <w:tc>
          <w:tcPr>
            <w:tcW w:w="480" w:type="dxa"/>
            <w:vAlign w:val="bottom"/>
            <w:gridSpan w:val="2"/>
          </w:tcPr>
          <w:p>
            <w:pPr>
              <w:jc w:val="center"/>
              <w:ind w:right="160"/>
              <w:spacing w:after="0" w:line="86" w:lineRule="exact"/>
              <w:rPr>
                <w:sz w:val="20"/>
                <w:szCs w:val="20"/>
                <w:color w:val="auto"/>
              </w:rPr>
            </w:pPr>
            <w:r>
              <w:rPr>
                <w:rFonts w:ascii="Times New Roman" w:cs="Times New Roman" w:eastAsia="Times New Roman" w:hAnsi="Times New Roman"/>
                <w:sz w:val="8"/>
                <w:szCs w:val="8"/>
                <w:b w:val="1"/>
                <w:bCs w:val="1"/>
                <w:color w:val="auto"/>
                <w:w w:val="87"/>
              </w:rPr>
              <w:t>Total</w:t>
            </w:r>
          </w:p>
        </w:tc>
        <w:tc>
          <w:tcPr>
            <w:tcW w:w="40" w:type="dxa"/>
            <w:vAlign w:val="bottom"/>
          </w:tcPr>
          <w:p>
            <w:pPr>
              <w:spacing w:after="0"/>
              <w:rPr>
                <w:sz w:val="7"/>
                <w:szCs w:val="7"/>
                <w:color w:val="auto"/>
              </w:rPr>
            </w:pPr>
          </w:p>
        </w:tc>
        <w:tc>
          <w:tcPr>
            <w:tcW w:w="600" w:type="dxa"/>
            <w:vAlign w:val="bottom"/>
            <w:gridSpan w:val="2"/>
          </w:tcPr>
          <w:p>
            <w:pPr>
              <w:jc w:val="center"/>
              <w:ind w:right="100"/>
              <w:spacing w:after="0" w:line="86" w:lineRule="exact"/>
              <w:rPr>
                <w:sz w:val="20"/>
                <w:szCs w:val="20"/>
                <w:color w:val="auto"/>
              </w:rPr>
            </w:pPr>
            <w:r>
              <w:rPr>
                <w:rFonts w:ascii="Times New Roman" w:cs="Times New Roman" w:eastAsia="Times New Roman" w:hAnsi="Times New Roman"/>
                <w:sz w:val="8"/>
                <w:szCs w:val="8"/>
                <w:b w:val="1"/>
                <w:bCs w:val="1"/>
                <w:color w:val="auto"/>
                <w:w w:val="98"/>
              </w:rPr>
              <w:t>Interests in</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3"/>
              </w:rPr>
              <w:t>Interests in</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87"/>
              </w:rPr>
              <w:t>Total</w:t>
            </w: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85"/>
        </w:trPr>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5"/>
              </w:rPr>
              <w:t>Redeemable</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b w:val="1"/>
                <w:bCs w:val="1"/>
                <w:color w:val="auto"/>
                <w:w w:val="89"/>
              </w:rPr>
              <w:t>Preferred</w:t>
            </w:r>
          </w:p>
        </w:tc>
        <w:tc>
          <w:tcPr>
            <w:tcW w:w="560" w:type="dxa"/>
            <w:vAlign w:val="bottom"/>
            <w:gridSpan w:val="2"/>
          </w:tcPr>
          <w:p>
            <w:pPr>
              <w:jc w:val="center"/>
              <w:ind w:right="60"/>
              <w:spacing w:after="0" w:line="86" w:lineRule="exact"/>
              <w:rPr>
                <w:sz w:val="20"/>
                <w:szCs w:val="20"/>
                <w:color w:val="auto"/>
              </w:rPr>
            </w:pPr>
            <w:r>
              <w:rPr>
                <w:rFonts w:ascii="Times New Roman" w:cs="Times New Roman" w:eastAsia="Times New Roman" w:hAnsi="Times New Roman"/>
                <w:sz w:val="8"/>
                <w:szCs w:val="8"/>
                <w:b w:val="1"/>
                <w:bCs w:val="1"/>
                <w:color w:val="auto"/>
                <w:w w:val="94"/>
              </w:rPr>
              <w:t>Common</w:t>
            </w:r>
          </w:p>
        </w:tc>
        <w:tc>
          <w:tcPr>
            <w:tcW w:w="420" w:type="dxa"/>
            <w:vAlign w:val="bottom"/>
            <w:gridSpan w:val="3"/>
          </w:tcPr>
          <w:p>
            <w:pPr>
              <w:jc w:val="center"/>
              <w:ind w:right="80"/>
              <w:spacing w:after="0" w:line="86" w:lineRule="exact"/>
              <w:rPr>
                <w:sz w:val="20"/>
                <w:szCs w:val="20"/>
                <w:color w:val="auto"/>
              </w:rPr>
            </w:pPr>
            <w:r>
              <w:rPr>
                <w:rFonts w:ascii="Times New Roman" w:cs="Times New Roman" w:eastAsia="Times New Roman" w:hAnsi="Times New Roman"/>
                <w:sz w:val="8"/>
                <w:szCs w:val="8"/>
                <w:b w:val="1"/>
                <w:bCs w:val="1"/>
                <w:color w:val="auto"/>
                <w:w w:val="94"/>
              </w:rPr>
              <w:t>Common</w:t>
            </w:r>
          </w:p>
        </w:tc>
        <w:tc>
          <w:tcPr>
            <w:tcW w:w="40" w:type="dxa"/>
            <w:vAlign w:val="bottom"/>
          </w:tcPr>
          <w:p>
            <w:pPr>
              <w:spacing w:after="0"/>
              <w:rPr>
                <w:sz w:val="7"/>
                <w:szCs w:val="7"/>
                <w:color w:val="auto"/>
              </w:rPr>
            </w:pPr>
          </w:p>
        </w:tc>
        <w:tc>
          <w:tcPr>
            <w:tcW w:w="52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6"/>
              </w:rPr>
              <w:t>Paid-in</w:t>
            </w:r>
          </w:p>
        </w:tc>
        <w:tc>
          <w:tcPr>
            <w:tcW w:w="40" w:type="dxa"/>
            <w:vAlign w:val="bottom"/>
          </w:tcPr>
          <w:p>
            <w:pPr>
              <w:spacing w:after="0"/>
              <w:rPr>
                <w:sz w:val="7"/>
                <w:szCs w:val="7"/>
                <w:color w:val="auto"/>
              </w:rPr>
            </w:pPr>
          </w:p>
        </w:tc>
        <w:tc>
          <w:tcPr>
            <w:tcW w:w="520" w:type="dxa"/>
            <w:vAlign w:val="bottom"/>
            <w:gridSpan w:val="2"/>
          </w:tcPr>
          <w:p>
            <w:pPr>
              <w:jc w:val="center"/>
              <w:ind w:right="100"/>
              <w:spacing w:after="0" w:line="86" w:lineRule="exact"/>
              <w:rPr>
                <w:sz w:val="20"/>
                <w:szCs w:val="20"/>
                <w:color w:val="auto"/>
              </w:rPr>
            </w:pPr>
            <w:r>
              <w:rPr>
                <w:rFonts w:ascii="Times New Roman" w:cs="Times New Roman" w:eastAsia="Times New Roman" w:hAnsi="Times New Roman"/>
                <w:sz w:val="8"/>
                <w:szCs w:val="8"/>
                <w:b w:val="1"/>
                <w:bCs w:val="1"/>
                <w:color w:val="auto"/>
                <w:w w:val="95"/>
              </w:rPr>
              <w:t>Excess of</w:t>
            </w:r>
          </w:p>
        </w:tc>
        <w:tc>
          <w:tcPr>
            <w:tcW w:w="40" w:type="dxa"/>
            <w:vAlign w:val="bottom"/>
          </w:tcPr>
          <w:p>
            <w:pPr>
              <w:spacing w:after="0"/>
              <w:rPr>
                <w:sz w:val="7"/>
                <w:szCs w:val="7"/>
                <w:color w:val="auto"/>
              </w:rPr>
            </w:pPr>
          </w:p>
        </w:tc>
        <w:tc>
          <w:tcPr>
            <w:tcW w:w="74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3"/>
              </w:rPr>
              <w:t>Comprehensive</w:t>
            </w:r>
          </w:p>
        </w:tc>
        <w:tc>
          <w:tcPr>
            <w:tcW w:w="580" w:type="dxa"/>
            <w:vAlign w:val="bottom"/>
            <w:gridSpan w:val="3"/>
          </w:tcPr>
          <w:p>
            <w:pPr>
              <w:jc w:val="center"/>
              <w:ind w:right="60"/>
              <w:spacing w:after="0" w:line="86" w:lineRule="exact"/>
              <w:rPr>
                <w:sz w:val="20"/>
                <w:szCs w:val="20"/>
                <w:color w:val="auto"/>
              </w:rPr>
            </w:pPr>
            <w:r>
              <w:rPr>
                <w:rFonts w:ascii="Times New Roman" w:cs="Times New Roman" w:eastAsia="Times New Roman" w:hAnsi="Times New Roman"/>
                <w:sz w:val="8"/>
                <w:szCs w:val="8"/>
                <w:b w:val="1"/>
                <w:bCs w:val="1"/>
                <w:color w:val="auto"/>
                <w:w w:val="93"/>
              </w:rPr>
              <w:t>Stockholders’</w:t>
            </w:r>
          </w:p>
        </w:tc>
        <w:tc>
          <w:tcPr>
            <w:tcW w:w="40" w:type="dxa"/>
            <w:vAlign w:val="bottom"/>
          </w:tcPr>
          <w:p>
            <w:pPr>
              <w:spacing w:after="0"/>
              <w:rPr>
                <w:sz w:val="7"/>
                <w:szCs w:val="7"/>
                <w:color w:val="auto"/>
              </w:rPr>
            </w:pPr>
          </w:p>
        </w:tc>
        <w:tc>
          <w:tcPr>
            <w:tcW w:w="600" w:type="dxa"/>
            <w:vAlign w:val="bottom"/>
            <w:gridSpan w:val="2"/>
          </w:tcPr>
          <w:p>
            <w:pPr>
              <w:jc w:val="center"/>
              <w:ind w:right="100"/>
              <w:spacing w:after="0" w:line="86" w:lineRule="exact"/>
              <w:rPr>
                <w:sz w:val="20"/>
                <w:szCs w:val="20"/>
                <w:color w:val="auto"/>
              </w:rPr>
            </w:pPr>
            <w:r>
              <w:rPr>
                <w:rFonts w:ascii="Times New Roman" w:cs="Times New Roman" w:eastAsia="Times New Roman" w:hAnsi="Times New Roman"/>
                <w:sz w:val="8"/>
                <w:szCs w:val="8"/>
                <w:b w:val="1"/>
                <w:bCs w:val="1"/>
                <w:color w:val="auto"/>
                <w:w w:val="96"/>
              </w:rPr>
              <w:t>Operating</w:t>
            </w:r>
          </w:p>
        </w:tc>
        <w:tc>
          <w:tcPr>
            <w:tcW w:w="40" w:type="dxa"/>
            <w:vAlign w:val="bottom"/>
          </w:tcPr>
          <w:p>
            <w:pPr>
              <w:spacing w:after="0"/>
              <w:rPr>
                <w:sz w:val="7"/>
                <w:szCs w:val="7"/>
                <w:color w:val="auto"/>
              </w:rPr>
            </w:pPr>
          </w:p>
        </w:tc>
        <w:tc>
          <w:tcPr>
            <w:tcW w:w="600" w:type="dxa"/>
            <w:vAlign w:val="bottom"/>
            <w:gridSpan w:val="2"/>
          </w:tcPr>
          <w:p>
            <w:pPr>
              <w:jc w:val="center"/>
              <w:ind w:right="100"/>
              <w:spacing w:after="0" w:line="86" w:lineRule="exact"/>
              <w:rPr>
                <w:sz w:val="20"/>
                <w:szCs w:val="20"/>
                <w:color w:val="auto"/>
              </w:rPr>
            </w:pPr>
            <w:r>
              <w:rPr>
                <w:rFonts w:ascii="Times New Roman" w:cs="Times New Roman" w:eastAsia="Times New Roman" w:hAnsi="Times New Roman"/>
                <w:sz w:val="8"/>
                <w:szCs w:val="8"/>
                <w:b w:val="1"/>
                <w:bCs w:val="1"/>
                <w:color w:val="auto"/>
                <w:w w:val="93"/>
              </w:rPr>
              <w:t>Consolidated</w:t>
            </w:r>
          </w:p>
        </w:tc>
        <w:tc>
          <w:tcPr>
            <w:tcW w:w="40" w:type="dxa"/>
            <w:vAlign w:val="bottom"/>
          </w:tcPr>
          <w:p>
            <w:pPr>
              <w:spacing w:after="0"/>
              <w:rPr>
                <w:sz w:val="7"/>
                <w:szCs w:val="7"/>
                <w:color w:val="auto"/>
              </w:rPr>
            </w:pPr>
          </w:p>
        </w:tc>
        <w:tc>
          <w:tcPr>
            <w:tcW w:w="600" w:type="dxa"/>
            <w:vAlign w:val="bottom"/>
            <w:gridSpan w:val="2"/>
          </w:tcPr>
          <w:p>
            <w:pPr>
              <w:jc w:val="center"/>
              <w:ind w:right="120"/>
              <w:spacing w:after="0" w:line="86" w:lineRule="exact"/>
              <w:rPr>
                <w:sz w:val="20"/>
                <w:szCs w:val="20"/>
                <w:color w:val="auto"/>
              </w:rPr>
            </w:pPr>
            <w:r>
              <w:rPr>
                <w:rFonts w:ascii="Times New Roman" w:cs="Times New Roman" w:eastAsia="Times New Roman" w:hAnsi="Times New Roman"/>
                <w:sz w:val="8"/>
                <w:szCs w:val="8"/>
                <w:b w:val="1"/>
                <w:bCs w:val="1"/>
                <w:color w:val="auto"/>
                <w:w w:val="92"/>
              </w:rPr>
              <w:t>Noncontrolling</w:t>
            </w: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97"/>
        </w:trPr>
        <w:tc>
          <w:tcPr>
            <w:tcW w:w="2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3"/>
              </w:rPr>
              <w:t>Noncontrolling Interests</w:t>
            </w:r>
          </w:p>
        </w:tc>
        <w:tc>
          <w:tcPr>
            <w:tcW w:w="40" w:type="dxa"/>
            <w:vAlign w:val="bottom"/>
          </w:tcPr>
          <w:p>
            <w:pPr>
              <w:spacing w:after="0"/>
              <w:rPr>
                <w:sz w:val="8"/>
                <w:szCs w:val="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Stock</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60" w:type="dxa"/>
            <w:vAlign w:val="bottom"/>
          </w:tcPr>
          <w:p>
            <w:pPr>
              <w:spacing w:after="0"/>
              <w:rPr>
                <w:sz w:val="8"/>
                <w:szCs w:val="8"/>
                <w:color w:val="auto"/>
              </w:rPr>
            </w:pPr>
          </w:p>
        </w:tc>
        <w:tc>
          <w:tcPr>
            <w:tcW w:w="36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40" w:type="dxa"/>
            <w:vAlign w:val="bottom"/>
          </w:tcPr>
          <w:p>
            <w:pPr>
              <w:spacing w:after="0"/>
              <w:rPr>
                <w:sz w:val="8"/>
                <w:szCs w:val="8"/>
                <w:color w:val="auto"/>
              </w:rPr>
            </w:pP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4"/>
              </w:rPr>
              <w:t>Capital</w:t>
            </w:r>
          </w:p>
        </w:tc>
        <w:tc>
          <w:tcPr>
            <w:tcW w:w="40" w:type="dxa"/>
            <w:vAlign w:val="bottom"/>
          </w:tcPr>
          <w:p>
            <w:pPr>
              <w:spacing w:after="0"/>
              <w:rPr>
                <w:sz w:val="8"/>
                <w:szCs w:val="8"/>
                <w:color w:val="auto"/>
              </w:rPr>
            </w:pP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89"/>
              </w:rPr>
              <w:t>Earnings</w:t>
            </w:r>
          </w:p>
        </w:tc>
        <w:tc>
          <w:tcPr>
            <w:tcW w:w="40" w:type="dxa"/>
            <w:vAlign w:val="bottom"/>
          </w:tcPr>
          <w:p>
            <w:pPr>
              <w:spacing w:after="0"/>
              <w:rPr>
                <w:sz w:val="8"/>
                <w:szCs w:val="8"/>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3"/>
              </w:rPr>
              <w:t>Income (Loss), Net</w:t>
            </w:r>
          </w:p>
        </w:tc>
        <w:tc>
          <w:tcPr>
            <w:tcW w:w="100" w:type="dxa"/>
            <w:vAlign w:val="bottom"/>
          </w:tcPr>
          <w:p>
            <w:pPr>
              <w:spacing w:after="0"/>
              <w:rPr>
                <w:sz w:val="8"/>
                <w:szCs w:val="8"/>
                <w:color w:val="auto"/>
              </w:rPr>
            </w:pPr>
          </w:p>
        </w:tc>
        <w:tc>
          <w:tcPr>
            <w:tcW w:w="48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4"/>
              </w:rPr>
              <w:t>Equity</w:t>
            </w:r>
          </w:p>
        </w:tc>
        <w:tc>
          <w:tcPr>
            <w:tcW w:w="40" w:type="dxa"/>
            <w:vAlign w:val="bottom"/>
          </w:tcPr>
          <w:p>
            <w:pPr>
              <w:spacing w:after="0"/>
              <w:rPr>
                <w:sz w:val="8"/>
                <w:szCs w:val="8"/>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2"/>
              </w:rPr>
              <w:t>Partnership</w:t>
            </w:r>
          </w:p>
        </w:tc>
        <w:tc>
          <w:tcPr>
            <w:tcW w:w="40" w:type="dxa"/>
            <w:vAlign w:val="bottom"/>
          </w:tcPr>
          <w:p>
            <w:pPr>
              <w:spacing w:after="0"/>
              <w:rPr>
                <w:sz w:val="8"/>
                <w:szCs w:val="8"/>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1"/>
              </w:rPr>
              <w:t>Joint Ventures</w:t>
            </w:r>
          </w:p>
        </w:tc>
        <w:tc>
          <w:tcPr>
            <w:tcW w:w="40" w:type="dxa"/>
            <w:vAlign w:val="bottom"/>
          </w:tcPr>
          <w:p>
            <w:pPr>
              <w:spacing w:after="0"/>
              <w:rPr>
                <w:sz w:val="8"/>
                <w:szCs w:val="8"/>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3"/>
              </w:rPr>
              <w:t>Interests</w:t>
            </w:r>
          </w:p>
        </w:tc>
        <w:tc>
          <w:tcPr>
            <w:tcW w:w="40" w:type="dxa"/>
            <w:vAlign w:val="bottom"/>
          </w:tcPr>
          <w:p>
            <w:pPr>
              <w:spacing w:after="0"/>
              <w:rPr>
                <w:sz w:val="8"/>
                <w:szCs w:val="8"/>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8"/>
                <w:szCs w:val="8"/>
                <w:b w:val="1"/>
                <w:bCs w:val="1"/>
                <w:color w:val="auto"/>
                <w:w w:val="92"/>
              </w:rPr>
              <w:t>Total Equity</w:t>
            </w:r>
          </w:p>
        </w:tc>
      </w:tr>
      <w:tr>
        <w:trPr>
          <w:trHeight w:val="75"/>
        </w:trPr>
        <w:tc>
          <w:tcPr>
            <w:tcW w:w="21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r>
      <w:tr>
        <w:trPr>
          <w:trHeight w:val="85"/>
        </w:trPr>
        <w:tc>
          <w:tcPr>
            <w:tcW w:w="212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b w:val="1"/>
                <w:bCs w:val="1"/>
                <w:color w:val="auto"/>
              </w:rPr>
              <w:t>Balance as of December 31, 2019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b w:val="1"/>
                <w:bCs w:val="1"/>
                <w:color w:val="auto"/>
              </w:rPr>
              <w:t>41,465</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b w:val="1"/>
                <w:bCs w:val="1"/>
                <w:color w:val="auto"/>
              </w:rPr>
              <w:t>1,434,420</w:t>
            </w: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b w:val="1"/>
                <w:bCs w:val="1"/>
                <w:color w:val="auto"/>
              </w:rPr>
              <w:t>208,900,758</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8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b w:val="1"/>
                <w:bCs w:val="1"/>
                <w:color w:val="auto"/>
              </w:rPr>
              <w:t>2,073</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b w:val="1"/>
                <w:bCs w:val="1"/>
                <w:color w:val="auto"/>
              </w:rPr>
              <w:t>11,577,320</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b w:val="1"/>
                <w:bCs w:val="1"/>
                <w:color w:val="auto"/>
              </w:rPr>
              <w:t>(3,046,579)</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b w:val="1"/>
                <w:bCs w:val="1"/>
                <w:color w:val="auto"/>
              </w:rPr>
              <w:t>(87,922)</w:t>
            </w:r>
          </w:p>
        </w:tc>
        <w:tc>
          <w:tcPr>
            <w:tcW w:w="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b w:val="1"/>
                <w:bCs w:val="1"/>
                <w:color w:val="auto"/>
              </w:rPr>
              <w:t>9,879,312</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b w:val="1"/>
                <w:bCs w:val="1"/>
                <w:color w:val="auto"/>
              </w:rPr>
              <w:t>708,163</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b w:val="1"/>
                <w:bCs w:val="1"/>
                <w:color w:val="auto"/>
              </w:rPr>
              <w:t>20,625</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b w:val="1"/>
                <w:bCs w:val="1"/>
                <w:color w:val="auto"/>
              </w:rPr>
              <w:t>728,788</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b w:val="1"/>
                <w:bCs w:val="1"/>
                <w:color w:val="auto"/>
              </w:rPr>
              <w:t>10,608,100</w:t>
            </w:r>
          </w:p>
        </w:tc>
      </w:tr>
      <w:tr>
        <w:trPr>
          <w:trHeight w:val="85"/>
        </w:trPr>
        <w:tc>
          <w:tcPr>
            <w:tcW w:w="212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Conversion of common units to common stock</w:t>
            </w:r>
          </w:p>
        </w:tc>
        <w:tc>
          <w:tcPr>
            <w:tcW w:w="60" w:type="dxa"/>
            <w:vAlign w:val="bottom"/>
          </w:tcPr>
          <w:p>
            <w:pPr>
              <w:spacing w:after="0"/>
              <w:rPr>
                <w:sz w:val="7"/>
                <w:szCs w:val="7"/>
                <w:color w:val="auto"/>
              </w:rPr>
            </w:pPr>
          </w:p>
        </w:tc>
        <w:tc>
          <w:tcPr>
            <w:tcW w:w="92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1,070,014</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10</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92,543</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74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4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92,553</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(92,553)</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(92,553)</w:t>
            </w:r>
          </w:p>
        </w:tc>
        <w:tc>
          <w:tcPr>
            <w:tcW w:w="40" w:type="dxa"/>
            <w:vAlign w:val="bottom"/>
          </w:tcPr>
          <w:p>
            <w:pPr>
              <w:spacing w:after="0"/>
              <w:rPr>
                <w:sz w:val="7"/>
                <w:szCs w:val="7"/>
                <w:color w:val="auto"/>
              </w:rPr>
            </w:pPr>
          </w:p>
        </w:tc>
        <w:tc>
          <w:tcPr>
            <w:tcW w:w="46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76"/>
        </w:trPr>
        <w:tc>
          <w:tcPr>
            <w:tcW w:w="2120" w:type="dxa"/>
            <w:vAlign w:val="bottom"/>
            <w:shd w:val="clear" w:color="auto" w:fill="CCEEFF"/>
          </w:tcPr>
          <w:p>
            <w:pPr>
              <w:spacing w:after="0" w:line="76" w:lineRule="exact"/>
              <w:rPr>
                <w:sz w:val="20"/>
                <w:szCs w:val="20"/>
                <w:color w:val="auto"/>
              </w:rPr>
            </w:pPr>
            <w:r>
              <w:rPr>
                <w:rFonts w:ascii="Times New Roman" w:cs="Times New Roman" w:eastAsia="Times New Roman" w:hAnsi="Times New Roman"/>
                <w:sz w:val="8"/>
                <w:szCs w:val="8"/>
                <w:color w:val="auto"/>
                <w:w w:val="99"/>
              </w:rPr>
              <w:t>Common stock and share-based awards issued in connection with</w:t>
            </w:r>
          </w:p>
        </w:tc>
        <w:tc>
          <w:tcPr>
            <w:tcW w:w="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r>
      <w:tr>
        <w:trPr>
          <w:trHeight w:val="9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business combinations</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54,487,997</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545</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7,012,675</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7,013,220</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7,013,220</w:t>
            </w:r>
          </w:p>
        </w:tc>
      </w:tr>
      <w:tr>
        <w:trPr>
          <w:trHeight w:val="85"/>
        </w:trPr>
        <w:tc>
          <w:tcPr>
            <w:tcW w:w="212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Issuance of common stock, net of costs</w:t>
            </w:r>
          </w:p>
        </w:tc>
        <w:tc>
          <w:tcPr>
            <w:tcW w:w="60" w:type="dxa"/>
            <w:vAlign w:val="bottom"/>
          </w:tcPr>
          <w:p>
            <w:pPr>
              <w:spacing w:after="0"/>
              <w:rPr>
                <w:sz w:val="7"/>
                <w:szCs w:val="7"/>
                <w:color w:val="auto"/>
              </w:rPr>
            </w:pPr>
          </w:p>
        </w:tc>
        <w:tc>
          <w:tcPr>
            <w:tcW w:w="92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15,920,893</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160</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1,888,366</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74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4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1,888,526</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1,888,526</w:t>
            </w:r>
          </w:p>
        </w:tc>
      </w:tr>
      <w:tr>
        <w:trPr>
          <w:trHeight w:val="85"/>
        </w:trPr>
        <w:tc>
          <w:tcPr>
            <w:tcW w:w="212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Shares issued under employee stock purchase plan</w:t>
            </w:r>
          </w:p>
        </w:tc>
        <w:tc>
          <w:tcPr>
            <w:tcW w:w="6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58,136</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6,503</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6,503</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6,503</w:t>
            </w:r>
          </w:p>
        </w:tc>
      </w:tr>
      <w:tr>
        <w:trPr>
          <w:trHeight w:val="76"/>
        </w:trPr>
        <w:tc>
          <w:tcPr>
            <w:tcW w:w="212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Shares repurchased and retired to satisfy tax withholding upon</w:t>
            </w: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r>
      <w:tr>
        <w:trPr>
          <w:trHeight w:val="95"/>
        </w:trPr>
        <w:tc>
          <w:tcPr>
            <w:tcW w:w="2120" w:type="dxa"/>
            <w:vAlign w:val="bottom"/>
          </w:tcPr>
          <w:p>
            <w:pPr>
              <w:spacing w:after="0"/>
              <w:rPr>
                <w:sz w:val="20"/>
                <w:szCs w:val="20"/>
                <w:color w:val="auto"/>
              </w:rPr>
            </w:pPr>
            <w:r>
              <w:rPr>
                <w:rFonts w:ascii="Times New Roman" w:cs="Times New Roman" w:eastAsia="Times New Roman" w:hAnsi="Times New Roman"/>
                <w:sz w:val="8"/>
                <w:szCs w:val="8"/>
                <w:color w:val="auto"/>
              </w:rPr>
              <w:t>vesting</w:t>
            </w:r>
          </w:p>
        </w:tc>
        <w:tc>
          <w:tcPr>
            <w:tcW w:w="60" w:type="dxa"/>
            <w:vAlign w:val="bottom"/>
          </w:tcPr>
          <w:p>
            <w:pPr>
              <w:spacing w:after="0"/>
              <w:rPr>
                <w:sz w:val="8"/>
                <w:szCs w:val="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(8,570)</w:t>
            </w:r>
          </w:p>
        </w:tc>
        <w:tc>
          <w:tcPr>
            <w:tcW w:w="40" w:type="dxa"/>
            <w:vAlign w:val="bottom"/>
          </w:tcPr>
          <w:p>
            <w:pPr>
              <w:spacing w:after="0"/>
              <w:rPr>
                <w:sz w:val="8"/>
                <w:szCs w:val="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(8,570)</w:t>
            </w:r>
          </w:p>
        </w:tc>
        <w:tc>
          <w:tcPr>
            <w:tcW w:w="40" w:type="dxa"/>
            <w:vAlign w:val="bottom"/>
          </w:tcPr>
          <w:p>
            <w:pPr>
              <w:spacing w:after="0"/>
              <w:rPr>
                <w:sz w:val="8"/>
                <w:szCs w:val="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(8,570)</w:t>
            </w:r>
          </w:p>
        </w:tc>
      </w:tr>
      <w:tr>
        <w:trPr>
          <w:trHeight w:val="85"/>
        </w:trPr>
        <w:tc>
          <w:tcPr>
            <w:tcW w:w="212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Amortization of share-based compensation</w:t>
            </w:r>
          </w:p>
        </w:tc>
        <w:tc>
          <w:tcPr>
            <w:tcW w:w="6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78,757</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78,757</w:t>
            </w: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78,757</w:t>
            </w:r>
          </w:p>
        </w:tc>
      </w:tr>
      <w:tr>
        <w:trPr>
          <w:trHeight w:val="85"/>
        </w:trPr>
        <w:tc>
          <w:tcPr>
            <w:tcW w:w="212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Vesting of restricted stock, net</w:t>
            </w:r>
          </w:p>
        </w:tc>
        <w:tc>
          <w:tcPr>
            <w:tcW w:w="60" w:type="dxa"/>
            <w:vAlign w:val="bottom"/>
          </w:tcPr>
          <w:p>
            <w:pPr>
              <w:spacing w:after="0"/>
              <w:rPr>
                <w:sz w:val="7"/>
                <w:szCs w:val="7"/>
                <w:color w:val="auto"/>
              </w:rPr>
            </w:pPr>
          </w:p>
        </w:tc>
        <w:tc>
          <w:tcPr>
            <w:tcW w:w="92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(148,072)</w:t>
            </w:r>
          </w:p>
        </w:tc>
        <w:tc>
          <w:tcPr>
            <w:tcW w:w="60" w:type="dxa"/>
            <w:vAlign w:val="bottom"/>
          </w:tcPr>
          <w:p>
            <w:pPr>
              <w:spacing w:after="0"/>
              <w:rPr>
                <w:sz w:val="7"/>
                <w:szCs w:val="7"/>
                <w:color w:val="auto"/>
              </w:rPr>
            </w:pPr>
          </w:p>
        </w:tc>
        <w:tc>
          <w:tcPr>
            <w:tcW w:w="3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74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48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212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Reclassification of vested share-based awards</w:t>
            </w:r>
          </w:p>
        </w:tc>
        <w:tc>
          <w:tcPr>
            <w:tcW w:w="6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(17,611)</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(17,611)</w:t>
            </w: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17,611</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17,611</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212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Redemption of series G preferred stock</w:t>
            </w:r>
          </w:p>
        </w:tc>
        <w:tc>
          <w:tcPr>
            <w:tcW w:w="60" w:type="dxa"/>
            <w:vAlign w:val="bottom"/>
          </w:tcPr>
          <w:p>
            <w:pPr>
              <w:spacing w:after="0"/>
              <w:rPr>
                <w:sz w:val="7"/>
                <w:szCs w:val="7"/>
                <w:color w:val="auto"/>
              </w:rPr>
            </w:pPr>
          </w:p>
        </w:tc>
        <w:tc>
          <w:tcPr>
            <w:tcW w:w="92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(241,468)</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3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2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(8,532)</w:t>
            </w:r>
          </w:p>
        </w:tc>
        <w:tc>
          <w:tcPr>
            <w:tcW w:w="40" w:type="dxa"/>
            <w:vAlign w:val="bottom"/>
          </w:tcPr>
          <w:p>
            <w:pPr>
              <w:spacing w:after="0"/>
              <w:rPr>
                <w:sz w:val="7"/>
                <w:szCs w:val="7"/>
                <w:color w:val="auto"/>
              </w:rPr>
            </w:pPr>
          </w:p>
        </w:tc>
        <w:tc>
          <w:tcPr>
            <w:tcW w:w="74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480" w:type="dxa"/>
            <w:vAlign w:val="bottom"/>
            <w:gridSpan w:val="2"/>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(250,000)</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(250,000)</w:t>
            </w:r>
          </w:p>
        </w:tc>
      </w:tr>
      <w:tr>
        <w:trPr>
          <w:trHeight w:val="85"/>
        </w:trPr>
        <w:tc>
          <w:tcPr>
            <w:tcW w:w="212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Redemption of series I preferred stock</w:t>
            </w:r>
          </w:p>
        </w:tc>
        <w:tc>
          <w:tcPr>
            <w:tcW w:w="6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(242,012)</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(7,988)</w:t>
            </w:r>
          </w:p>
        </w:tc>
        <w:tc>
          <w:tcPr>
            <w:tcW w:w="4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(250,000)</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(250,000)</w:t>
            </w:r>
          </w:p>
        </w:tc>
      </w:tr>
      <w:tr>
        <w:trPr>
          <w:trHeight w:val="85"/>
        </w:trPr>
        <w:tc>
          <w:tcPr>
            <w:tcW w:w="212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Adjustment to redeemable noncontrolling interests</w:t>
            </w:r>
          </w:p>
        </w:tc>
        <w:tc>
          <w:tcPr>
            <w:tcW w:w="60" w:type="dxa"/>
            <w:vAlign w:val="bottom"/>
          </w:tcPr>
          <w:p>
            <w:pPr>
              <w:spacing w:after="0"/>
              <w:rPr>
                <w:sz w:val="7"/>
                <w:szCs w:val="7"/>
                <w:color w:val="auto"/>
              </w:rPr>
            </w:pPr>
          </w:p>
        </w:tc>
        <w:tc>
          <w:tcPr>
            <w:tcW w:w="84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3,086</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3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2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(3,086)</w:t>
            </w:r>
          </w:p>
        </w:tc>
        <w:tc>
          <w:tcPr>
            <w:tcW w:w="4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74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480" w:type="dxa"/>
            <w:vAlign w:val="bottom"/>
            <w:gridSpan w:val="2"/>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(3,086)</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(3,086)</w:t>
            </w:r>
          </w:p>
        </w:tc>
      </w:tr>
      <w:tr>
        <w:trPr>
          <w:trHeight w:val="85"/>
        </w:trPr>
        <w:tc>
          <w:tcPr>
            <w:tcW w:w="212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Dividends declared on preferred stock</w:t>
            </w:r>
          </w:p>
        </w:tc>
        <w:tc>
          <w:tcPr>
            <w:tcW w:w="6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(76,536)</w:t>
            </w:r>
          </w:p>
        </w:tc>
        <w:tc>
          <w:tcPr>
            <w:tcW w:w="4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(76,536)</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(76,536)</w:t>
            </w:r>
          </w:p>
        </w:tc>
      </w:tr>
      <w:tr>
        <w:trPr>
          <w:trHeight w:val="76"/>
        </w:trPr>
        <w:tc>
          <w:tcPr>
            <w:tcW w:w="212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Dividends and distributions on common stock and common and</w:t>
            </w: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r>
      <w:tr>
        <w:trPr>
          <w:trHeight w:val="95"/>
        </w:trPr>
        <w:tc>
          <w:tcPr>
            <w:tcW w:w="2120" w:type="dxa"/>
            <w:vAlign w:val="bottom"/>
          </w:tcPr>
          <w:p>
            <w:pPr>
              <w:spacing w:after="0"/>
              <w:rPr>
                <w:sz w:val="20"/>
                <w:szCs w:val="20"/>
                <w:color w:val="auto"/>
              </w:rPr>
            </w:pPr>
            <w:r>
              <w:rPr>
                <w:rFonts w:ascii="Times New Roman" w:cs="Times New Roman" w:eastAsia="Times New Roman" w:hAnsi="Times New Roman"/>
                <w:sz w:val="8"/>
                <w:szCs w:val="8"/>
                <w:color w:val="auto"/>
              </w:rPr>
              <w:t>incentive units</w:t>
            </w:r>
          </w:p>
        </w:tc>
        <w:tc>
          <w:tcPr>
            <w:tcW w:w="60" w:type="dxa"/>
            <w:vAlign w:val="bottom"/>
          </w:tcPr>
          <w:p>
            <w:pPr>
              <w:spacing w:after="0"/>
              <w:rPr>
                <w:sz w:val="8"/>
                <w:szCs w:val="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(700)</w:t>
            </w:r>
          </w:p>
        </w:tc>
        <w:tc>
          <w:tcPr>
            <w:tcW w:w="40" w:type="dxa"/>
            <w:vAlign w:val="bottom"/>
          </w:tcPr>
          <w:p>
            <w:pPr>
              <w:spacing w:after="0"/>
              <w:rPr>
                <w:sz w:val="8"/>
                <w:szCs w:val="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(1,214,701)</w:t>
            </w:r>
          </w:p>
        </w:tc>
        <w:tc>
          <w:tcPr>
            <w:tcW w:w="40" w:type="dxa"/>
            <w:vAlign w:val="bottom"/>
          </w:tcPr>
          <w:p>
            <w:pPr>
              <w:spacing w:after="0"/>
              <w:rPr>
                <w:sz w:val="8"/>
                <w:szCs w:val="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(1,214,701)</w:t>
            </w:r>
          </w:p>
        </w:tc>
        <w:tc>
          <w:tcPr>
            <w:tcW w:w="40" w:type="dxa"/>
            <w:vAlign w:val="bottom"/>
          </w:tcPr>
          <w:p>
            <w:pPr>
              <w:spacing w:after="0"/>
              <w:rPr>
                <w:sz w:val="8"/>
                <w:szCs w:val="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(37,147)</w:t>
            </w:r>
          </w:p>
        </w:tc>
        <w:tc>
          <w:tcPr>
            <w:tcW w:w="40" w:type="dxa"/>
            <w:vAlign w:val="bottom"/>
          </w:tcPr>
          <w:p>
            <w:pPr>
              <w:spacing w:after="0"/>
              <w:rPr>
                <w:sz w:val="8"/>
                <w:szCs w:val="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(37,147)</w:t>
            </w: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(1,251,848)</w:t>
            </w:r>
          </w:p>
        </w:tc>
      </w:tr>
      <w:tr>
        <w:trPr>
          <w:trHeight w:val="85"/>
        </w:trPr>
        <w:tc>
          <w:tcPr>
            <w:tcW w:w="212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Contributions from noncontrolling interests</w:t>
            </w:r>
          </w:p>
        </w:tc>
        <w:tc>
          <w:tcPr>
            <w:tcW w:w="6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2,089</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97,914</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97,914</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97,914</w:t>
            </w:r>
          </w:p>
        </w:tc>
      </w:tr>
      <w:tr>
        <w:trPr>
          <w:trHeight w:val="85"/>
        </w:trPr>
        <w:tc>
          <w:tcPr>
            <w:tcW w:w="212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Net income (loss)</w:t>
            </w:r>
          </w:p>
        </w:tc>
        <w:tc>
          <w:tcPr>
            <w:tcW w:w="60" w:type="dxa"/>
            <w:vAlign w:val="bottom"/>
          </w:tcPr>
          <w:p>
            <w:pPr>
              <w:spacing w:after="0"/>
              <w:rPr>
                <w:sz w:val="7"/>
                <w:szCs w:val="7"/>
                <w:color w:val="auto"/>
              </w:rPr>
            </w:pPr>
          </w:p>
        </w:tc>
        <w:tc>
          <w:tcPr>
            <w:tcW w:w="92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(4,417)</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3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4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356,398</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4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356,398</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9,629</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1,120</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10,749</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367,147</w:t>
            </w:r>
          </w:p>
        </w:tc>
      </w:tr>
      <w:tr>
        <w:trPr>
          <w:trHeight w:val="76"/>
        </w:trPr>
        <w:tc>
          <w:tcPr>
            <w:tcW w:w="2120" w:type="dxa"/>
            <w:vAlign w:val="bottom"/>
            <w:shd w:val="clear" w:color="auto" w:fill="CCEEFF"/>
          </w:tcPr>
          <w:p>
            <w:pPr>
              <w:spacing w:after="0" w:line="76" w:lineRule="exact"/>
              <w:rPr>
                <w:sz w:val="20"/>
                <w:szCs w:val="20"/>
                <w:color w:val="auto"/>
              </w:rPr>
            </w:pPr>
            <w:r>
              <w:rPr>
                <w:rFonts w:ascii="Times New Roman" w:cs="Times New Roman" w:eastAsia="Times New Roman" w:hAnsi="Times New Roman"/>
                <w:sz w:val="8"/>
                <w:szCs w:val="8"/>
                <w:color w:val="auto"/>
              </w:rPr>
              <w:t>Other comprehensive income—foreign currency translation</w:t>
            </w:r>
          </w:p>
        </w:tc>
        <w:tc>
          <w:tcPr>
            <w:tcW w:w="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r>
      <w:tr>
        <w:trPr>
          <w:trHeight w:val="9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adjustments</w:t>
            </w:r>
          </w:p>
        </w:tc>
        <w:tc>
          <w:tcPr>
            <w:tcW w:w="6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488</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226,849</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226,849</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3,491</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3,491</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230,340</w:t>
            </w:r>
          </w:p>
        </w:tc>
      </w:tr>
      <w:tr>
        <w:trPr>
          <w:trHeight w:val="85"/>
        </w:trPr>
        <w:tc>
          <w:tcPr>
            <w:tcW w:w="212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Other comprehensive loss—fair value of interest rate swaps</w:t>
            </w:r>
          </w:p>
        </w:tc>
        <w:tc>
          <w:tcPr>
            <w:tcW w:w="60" w:type="dxa"/>
            <w:vAlign w:val="bottom"/>
          </w:tcPr>
          <w:p>
            <w:pPr>
              <w:spacing w:after="0"/>
              <w:rPr>
                <w:sz w:val="7"/>
                <w:szCs w:val="7"/>
                <w:color w:val="auto"/>
              </w:rPr>
            </w:pPr>
          </w:p>
        </w:tc>
        <w:tc>
          <w:tcPr>
            <w:tcW w:w="92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4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3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74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(11,980)</w:t>
            </w:r>
          </w:p>
        </w:tc>
        <w:tc>
          <w:tcPr>
            <w:tcW w:w="100" w:type="dxa"/>
            <w:vAlign w:val="bottom"/>
          </w:tcPr>
          <w:p>
            <w:pPr>
              <w:spacing w:after="0"/>
              <w:rPr>
                <w:sz w:val="7"/>
                <w:szCs w:val="7"/>
                <w:color w:val="auto"/>
              </w:rPr>
            </w:pPr>
          </w:p>
        </w:tc>
        <w:tc>
          <w:tcPr>
            <w:tcW w:w="480" w:type="dxa"/>
            <w:vAlign w:val="bottom"/>
            <w:gridSpan w:val="2"/>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(11,980)</w:t>
            </w:r>
          </w:p>
        </w:tc>
        <w:tc>
          <w:tcPr>
            <w:tcW w:w="40" w:type="dxa"/>
            <w:vAlign w:val="bottom"/>
          </w:tcPr>
          <w:p>
            <w:pPr>
              <w:spacing w:after="0"/>
              <w:rPr>
                <w:sz w:val="7"/>
                <w:szCs w:val="7"/>
                <w:color w:val="auto"/>
              </w:rPr>
            </w:pPr>
          </w:p>
        </w:tc>
        <w:tc>
          <w:tcPr>
            <w:tcW w:w="600" w:type="dxa"/>
            <w:vAlign w:val="bottom"/>
            <w:gridSpan w:val="2"/>
          </w:tcPr>
          <w:p>
            <w:pPr>
              <w:jc w:val="right"/>
              <w:ind w:right="60"/>
              <w:spacing w:after="0" w:line="86" w:lineRule="exact"/>
              <w:rPr>
                <w:sz w:val="20"/>
                <w:szCs w:val="20"/>
                <w:color w:val="auto"/>
              </w:rPr>
            </w:pPr>
            <w:r>
              <w:rPr>
                <w:rFonts w:ascii="Times New Roman" w:cs="Times New Roman" w:eastAsia="Times New Roman" w:hAnsi="Times New Roman"/>
                <w:sz w:val="8"/>
                <w:szCs w:val="8"/>
                <w:color w:val="auto"/>
              </w:rPr>
              <w:t>(445)</w:t>
            </w:r>
          </w:p>
        </w:tc>
        <w:tc>
          <w:tcPr>
            <w:tcW w:w="40" w:type="dxa"/>
            <w:vAlign w:val="bottom"/>
          </w:tcPr>
          <w:p>
            <w:pPr>
              <w:spacing w:after="0"/>
              <w:rPr>
                <w:sz w:val="7"/>
                <w:szCs w:val="7"/>
                <w:color w:val="auto"/>
              </w:rPr>
            </w:pPr>
          </w:p>
        </w:tc>
        <w:tc>
          <w:tcPr>
            <w:tcW w:w="60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7"/>
                <w:szCs w:val="7"/>
                <w:color w:val="auto"/>
              </w:rPr>
            </w:pPr>
          </w:p>
        </w:tc>
        <w:tc>
          <w:tcPr>
            <w:tcW w:w="600" w:type="dxa"/>
            <w:vAlign w:val="bottom"/>
            <w:gridSpan w:val="2"/>
          </w:tcPr>
          <w:p>
            <w:pPr>
              <w:jc w:val="right"/>
              <w:ind w:right="80"/>
              <w:spacing w:after="0" w:line="86" w:lineRule="exact"/>
              <w:rPr>
                <w:sz w:val="20"/>
                <w:szCs w:val="20"/>
                <w:color w:val="auto"/>
              </w:rPr>
            </w:pPr>
            <w:r>
              <w:rPr>
                <w:rFonts w:ascii="Times New Roman" w:cs="Times New Roman" w:eastAsia="Times New Roman" w:hAnsi="Times New Roman"/>
                <w:sz w:val="8"/>
                <w:szCs w:val="8"/>
                <w:color w:val="auto"/>
              </w:rPr>
              <w:t>(445)</w:t>
            </w:r>
          </w:p>
        </w:tc>
        <w:tc>
          <w:tcPr>
            <w:tcW w:w="40" w:type="dxa"/>
            <w:vAlign w:val="bottom"/>
          </w:tcPr>
          <w:p>
            <w:pPr>
              <w:spacing w:after="0"/>
              <w:rPr>
                <w:sz w:val="7"/>
                <w:szCs w:val="7"/>
                <w:color w:val="auto"/>
              </w:rPr>
            </w:pPr>
          </w:p>
        </w:tc>
        <w:tc>
          <w:tcPr>
            <w:tcW w:w="46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(12,425)</w:t>
            </w:r>
          </w:p>
        </w:tc>
      </w:tr>
      <w:tr>
        <w:trPr>
          <w:trHeight w:val="76"/>
        </w:trPr>
        <w:tc>
          <w:tcPr>
            <w:tcW w:w="2120" w:type="dxa"/>
            <w:vAlign w:val="bottom"/>
            <w:shd w:val="clear" w:color="auto" w:fill="CCEEFF"/>
          </w:tcPr>
          <w:p>
            <w:pPr>
              <w:spacing w:after="0" w:line="76" w:lineRule="exact"/>
              <w:rPr>
                <w:sz w:val="20"/>
                <w:szCs w:val="20"/>
                <w:color w:val="auto"/>
              </w:rPr>
            </w:pPr>
            <w:r>
              <w:rPr>
                <w:rFonts w:ascii="Times New Roman" w:cs="Times New Roman" w:eastAsia="Times New Roman" w:hAnsi="Times New Roman"/>
                <w:sz w:val="8"/>
                <w:szCs w:val="8"/>
                <w:color w:val="auto"/>
              </w:rPr>
              <w:t>Other comprehensive income— reclassification of accumulated</w:t>
            </w:r>
          </w:p>
        </w:tc>
        <w:tc>
          <w:tcPr>
            <w:tcW w:w="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r>
      <w:tr>
        <w:trPr>
          <w:trHeight w:val="9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other comprehensive loss to interest expense</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8,063</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8,063</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231</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231</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8,294</w:t>
            </w:r>
          </w:p>
        </w:tc>
      </w:tr>
      <w:tr>
        <w:trPr>
          <w:trHeight w:val="85"/>
        </w:trPr>
        <w:tc>
          <w:tcPr>
            <w:tcW w:w="212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r>
      <w:tr>
        <w:trPr>
          <w:trHeight w:val="83"/>
        </w:trPr>
        <w:tc>
          <w:tcPr>
            <w:tcW w:w="2120" w:type="dxa"/>
            <w:vAlign w:val="bottom"/>
            <w:tcBorders>
              <w:bottom w:val="single" w:sz="8" w:color="CCEEFF"/>
            </w:tcBorders>
            <w:shd w:val="clear" w:color="auto" w:fill="CCEEFF"/>
          </w:tcPr>
          <w:p>
            <w:pPr>
              <w:spacing w:after="0" w:line="75" w:lineRule="exact"/>
              <w:rPr>
                <w:sz w:val="20"/>
                <w:szCs w:val="20"/>
                <w:color w:val="auto"/>
              </w:rPr>
            </w:pPr>
            <w:r>
              <w:rPr>
                <w:rFonts w:ascii="Times New Roman" w:cs="Times New Roman" w:eastAsia="Times New Roman" w:hAnsi="Times New Roman"/>
                <w:sz w:val="8"/>
                <w:szCs w:val="8"/>
                <w:b w:val="1"/>
                <w:bCs w:val="1"/>
                <w:color w:val="auto"/>
              </w:rPr>
              <w:t>Balance as of December 31, 2020</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tcBorders>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42,011</w:t>
            </w:r>
          </w:p>
        </w:tc>
        <w:tc>
          <w:tcPr>
            <w:tcW w:w="8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950,940</w:t>
            </w:r>
          </w:p>
        </w:tc>
        <w:tc>
          <w:tcPr>
            <w:tcW w:w="8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280,289,726</w:t>
            </w:r>
          </w:p>
        </w:tc>
        <w:tc>
          <w:tcPr>
            <w:tcW w:w="8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80" w:type="dxa"/>
            <w:vAlign w:val="bottom"/>
            <w:tcBorders>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2,788</w:t>
            </w:r>
          </w:p>
        </w:tc>
        <w:tc>
          <w:tcPr>
            <w:tcW w:w="8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tcBorders>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20,626,897</w:t>
            </w:r>
          </w:p>
        </w:tc>
        <w:tc>
          <w:tcPr>
            <w:tcW w:w="8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tcBorders>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(3,997,938)</w:t>
            </w:r>
          </w:p>
        </w:tc>
        <w:tc>
          <w:tcPr>
            <w:tcW w:w="8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135,010</w:t>
            </w:r>
          </w:p>
        </w:tc>
        <w:tc>
          <w:tcPr>
            <w:tcW w:w="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w w:val="99"/>
              </w:rPr>
              <w:t>17,717,697</w:t>
            </w:r>
          </w:p>
        </w:tc>
        <w:tc>
          <w:tcPr>
            <w:tcW w:w="6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608,980</w:t>
            </w:r>
          </w:p>
        </w:tc>
        <w:tc>
          <w:tcPr>
            <w:tcW w:w="8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119,659</w:t>
            </w:r>
          </w:p>
        </w:tc>
        <w:tc>
          <w:tcPr>
            <w:tcW w:w="8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728,639</w:t>
            </w:r>
          </w:p>
        </w:tc>
        <w:tc>
          <w:tcPr>
            <w:tcW w:w="8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18,446,336</w:t>
            </w:r>
          </w:p>
        </w:tc>
      </w:tr>
    </w:tbl>
    <w:p>
      <w:pPr>
        <w:spacing w:after="0" w:line="3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6028055" cy="12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28055" cy="12065"/>
                    </a:xfrm>
                    <a:prstGeom prst="rect">
                      <a:avLst/>
                    </a:prstGeom>
                    <a:noFill/>
                  </pic:spPr>
                </pic:pic>
              </a:graphicData>
            </a:graphic>
          </wp:anchor>
        </w:drawing>
      </w:r>
    </w:p>
    <w:p>
      <w:pPr>
        <w:sectPr>
          <w:pgSz w:w="11900" w:h="16838" w:orient="portrait"/>
          <w:cols w:equalWidth="0" w:num="1">
            <w:col w:w="9480"/>
          </w:cols>
          <w:pgMar w:left="1200" w:top="402" w:right="1219" w:bottom="1440" w:gutter="0" w:footer="0" w:header="0"/>
        </w:sectPr>
      </w:pPr>
    </w:p>
    <w:bookmarkStart w:id="114" w:name="page115"/>
    <w:bookmarkEnd w:id="11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56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r>
        <w:trPr>
          <w:trHeight w:val="94"/>
        </w:trPr>
        <w:tc>
          <w:tcPr>
            <w:tcW w:w="568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17"/>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17"/>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37"/>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r>
      <w:tr>
        <w:trPr>
          <w:trHeight w:val="141"/>
        </w:trPr>
        <w:tc>
          <w:tcPr>
            <w:tcW w:w="56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362,730</w:t>
            </w:r>
          </w:p>
        </w:tc>
        <w:tc>
          <w:tcPr>
            <w:tcW w:w="4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599,221</w:t>
            </w:r>
          </w:p>
        </w:tc>
        <w:tc>
          <w:tcPr>
            <w:tcW w:w="140" w:type="dxa"/>
            <w:vAlign w:val="bottom"/>
          </w:tcPr>
          <w:p>
            <w:pPr>
              <w:spacing w:after="0"/>
              <w:rPr>
                <w:sz w:val="13"/>
                <w:szCs w:val="13"/>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341,115</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Gain on disposition of properties / deconsolidation, net</w:t>
            </w:r>
          </w:p>
        </w:tc>
        <w:tc>
          <w:tcPr>
            <w:tcW w:w="2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(316,894)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(335,148)</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(80,049)</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on sale of marketable equity security</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(17,883)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Unrealized gain on marketable equity security</w:t>
            </w:r>
          </w:p>
        </w:tc>
        <w:tc>
          <w:tcPr>
            <w:tcW w:w="2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(46,492)</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Impairment of investments in real estate</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5,351</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Equity in loss (earnings) of unconsolidated joint ventures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57,629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(8,067)</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(32,979)</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Distributions from unconsolidated joint ventures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39,878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44,293</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21,905</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Write-off due to early lease terminations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2,818</w:t>
            </w:r>
          </w:p>
        </w:tc>
      </w:tr>
      <w:tr>
        <w:trPr>
          <w:trHeight w:val="139"/>
        </w:trPr>
        <w:tc>
          <w:tcPr>
            <w:tcW w:w="56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Depreciation and amortization of buildings and improvements, tenant improvements and acquired ground</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1,010,538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809,472</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770,275</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customer relationship value, acquired in-place lease value and deferred leasing costs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355,841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354,302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416,621</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share-based compensation</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74,577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34,905</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27,159</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Non-cash amortization of terminated swaps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6,304</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15,286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13,362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11,537</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early extinguishment of debt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103,215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39,157</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debt discount/premium</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3,538</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acquired above-market leases and acquired below-market leases, net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12,686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17,097</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26,530</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Changes in assets and liabilities: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2"/>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Accounts and other receivables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(8,435)</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(21,318)</w:t>
            </w:r>
          </w:p>
        </w:tc>
      </w:tr>
      <w:tr>
        <w:trPr>
          <w:trHeight w:val="152"/>
        </w:trPr>
        <w:tc>
          <w:tcPr>
            <w:tcW w:w="5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rent</w:t>
            </w:r>
          </w:p>
        </w:tc>
        <w:tc>
          <w:tcPr>
            <w:tcW w:w="2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(30,430)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(47,858)</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(39,905)</w:t>
            </w:r>
          </w:p>
        </w:tc>
      </w:tr>
      <w:tr>
        <w:trPr>
          <w:trHeight w:val="152"/>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leasing costs</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(60,966)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(31,270)</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(72,104)</w:t>
            </w:r>
          </w:p>
        </w:tc>
      </w:tr>
      <w:tr>
        <w:trPr>
          <w:trHeight w:val="152"/>
        </w:trPr>
        <w:tc>
          <w:tcPr>
            <w:tcW w:w="5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(14,363)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(15,599)</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(9,145)</w:t>
            </w:r>
          </w:p>
        </w:tc>
      </w:tr>
      <w:tr>
        <w:trPr>
          <w:trHeight w:val="152"/>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Accounts payable, operating lease liabilities and other accrued liabilities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72,280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77,597</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63,476</w:t>
            </w:r>
          </w:p>
        </w:tc>
      </w:tr>
      <w:tr>
        <w:trPr>
          <w:trHeight w:val="152"/>
        </w:trPr>
        <w:tc>
          <w:tcPr>
            <w:tcW w:w="5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tax liability, net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(9,442)</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(24,284)</w:t>
            </w:r>
          </w:p>
        </w:tc>
      </w:tr>
      <w:tr>
        <w:trPr>
          <w:trHeight w:val="152"/>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Security deposits and prepaid rents</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4,505</w:t>
            </w:r>
          </w:p>
        </w:tc>
        <w:tc>
          <w:tcPr>
            <w:tcW w:w="1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(27,227)</w:t>
            </w:r>
          </w:p>
        </w:tc>
      </w:tr>
      <w:tr>
        <w:trPr>
          <w:trHeight w:val="141"/>
        </w:trPr>
        <w:tc>
          <w:tcPr>
            <w:tcW w:w="5680" w:type="dxa"/>
            <w:vAlign w:val="bottom"/>
            <w:tcBorders>
              <w:bottom w:val="single" w:sz="8" w:color="CCEEFF"/>
            </w:tcBorders>
          </w:tcPr>
          <w:p>
            <w:pPr>
              <w:spacing w:after="0" w:line="141"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1,706,541</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1,513,817</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1,385,324</w:t>
            </w:r>
          </w:p>
        </w:tc>
      </w:tr>
      <w:tr>
        <w:trPr>
          <w:trHeight w:val="141"/>
        </w:trPr>
        <w:tc>
          <w:tcPr>
            <w:tcW w:w="56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Improvements to investments in real estate</w:t>
            </w:r>
          </w:p>
        </w:tc>
        <w:tc>
          <w:tcPr>
            <w:tcW w:w="2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(2,064,066)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(1,436,902)</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(1,325,162)</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acquisitions</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(1,029,652)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(75,704)</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(2,090,542)</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Deconsolidation of Ascenty cash</w:t>
            </w:r>
          </w:p>
        </w:tc>
        <w:tc>
          <w:tcPr>
            <w:tcW w:w="2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(97,081)</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joint venture transactions</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1,494,881</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sale of marketable equity security</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70,019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assumed in acquisitions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121,085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116,000</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sale of assets, net of sales costs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564,615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286,204</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in unconsolidated joint ventures</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(144,323)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(101,101)</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w:t>
            </w:r>
          </w:p>
        </w:tc>
      </w:tr>
      <w:tr>
        <w:trPr>
          <w:trHeight w:val="165"/>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Prepaid construction costs and other investments</w:t>
            </w:r>
          </w:p>
        </w:tc>
        <w:tc>
          <w:tcPr>
            <w:tcW w:w="22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(86,887)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(20,672)</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(13,254)</w:t>
            </w:r>
          </w:p>
        </w:tc>
      </w:tr>
    </w:tbl>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15" w:name="page116"/>
    <w:bookmarkEnd w:id="11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56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r>
        <w:trPr>
          <w:trHeight w:val="94"/>
        </w:trPr>
        <w:tc>
          <w:tcPr>
            <w:tcW w:w="568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17"/>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17"/>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37"/>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r>
      <w:tr>
        <w:trPr>
          <w:trHeight w:val="141"/>
        </w:trPr>
        <w:tc>
          <w:tcPr>
            <w:tcW w:w="56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Improvement advances to tenants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(114,614)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(66,078)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(48,502)</w:t>
            </w:r>
          </w:p>
        </w:tc>
      </w:tr>
      <w:tr>
        <w:trPr>
          <w:trHeight w:val="152"/>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Collection of improvement advances to tenants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84,476</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27,665</w:t>
            </w: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39,936</w:t>
            </w:r>
          </w:p>
        </w:tc>
      </w:tr>
      <w:tr>
        <w:trPr>
          <w:trHeight w:val="141"/>
        </w:trPr>
        <w:tc>
          <w:tcPr>
            <w:tcW w:w="56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(2,599,347)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(274,992)</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(3,035,993)</w:t>
            </w:r>
          </w:p>
        </w:tc>
      </w:tr>
      <w:tr>
        <w:trPr>
          <w:trHeight w:val="141"/>
        </w:trPr>
        <w:tc>
          <w:tcPr>
            <w:tcW w:w="5680" w:type="dxa"/>
            <w:vAlign w:val="bottom"/>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Borrowings on global revolving credit facilities</w:t>
            </w: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3,638,932</w:t>
            </w: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3,099,685</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3,046,245</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Repayments on global revolving credit facilities</w:t>
            </w:r>
          </w:p>
        </w:tc>
        <w:tc>
          <w:tcPr>
            <w:tcW w:w="2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(3,476,821)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(4,512,073)</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(1,945,594)</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Borrowings on unsecured term loans</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467,922</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Repayments on unsecured term loans</w:t>
            </w:r>
          </w:p>
        </w:tc>
        <w:tc>
          <w:tcPr>
            <w:tcW w:w="2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(300,000)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(375,000)</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(674,332)</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Borrowings on unsecured senior notes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3,573,120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2,869,240</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1,169,006</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Repayments on unsecured senior notes</w:t>
            </w:r>
          </w:p>
        </w:tc>
        <w:tc>
          <w:tcPr>
            <w:tcW w:w="2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(2,623,383)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(1,539,613)</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Borrowings on secured debt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600,000</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Principal payments on secured debt</w:t>
            </w:r>
          </w:p>
        </w:tc>
        <w:tc>
          <w:tcPr>
            <w:tcW w:w="2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(5,541)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(688)</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 of loan fees and costs</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(23,921)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(20,944)</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(44,299)</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Premium paid for early extinguishment of debt</w:t>
            </w:r>
          </w:p>
        </w:tc>
        <w:tc>
          <w:tcPr>
            <w:tcW w:w="2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(96,124)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(35,067)</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contributions from noncontrolling interests in consolidated joint ventures, net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102,285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63,173</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66,124</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common and preferred stock offerings, net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1,879,957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535,620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(3,861)</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Redemption of preferred stock</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(500,000)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(365,050)</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equity plans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5,874</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forward swap contract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Payment of dividends to preferred stockholders</w:t>
            </w:r>
          </w:p>
        </w:tc>
        <w:tc>
          <w:tcPr>
            <w:tcW w:w="2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(76,536)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(74,990)</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(81,316)</w:t>
            </w:r>
          </w:p>
        </w:tc>
      </w:tr>
      <w:tr>
        <w:trPr>
          <w:trHeight w:val="139"/>
        </w:trPr>
        <w:tc>
          <w:tcPr>
            <w:tcW w:w="56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Payment of dividends to common stockholders and distributions to noncontrolling interests in operating</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partnership</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(1,162,782)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(921,776)</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(849,466)</w:t>
            </w:r>
          </w:p>
        </w:tc>
      </w:tr>
      <w:tr>
        <w:trPr>
          <w:trHeight w:val="141"/>
        </w:trPr>
        <w:tc>
          <w:tcPr>
            <w:tcW w:w="5680" w:type="dxa"/>
            <w:vAlign w:val="bottom"/>
            <w:tcBorders>
              <w:bottom w:val="single" w:sz="8" w:color="CCEEFF"/>
            </w:tcBorders>
          </w:tcPr>
          <w:p>
            <w:pPr>
              <w:spacing w:after="0" w:line="141"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935,689</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(1,272,021)</w:t>
            </w: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1,757,269</w:t>
            </w:r>
          </w:p>
        </w:tc>
      </w:tr>
      <w:tr>
        <w:trPr>
          <w:trHeight w:val="141"/>
        </w:trPr>
        <w:tc>
          <w:tcPr>
            <w:tcW w:w="56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42,883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(33,196)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106,600</w:t>
            </w:r>
          </w:p>
        </w:tc>
      </w:tr>
      <w:tr>
        <w:trPr>
          <w:trHeight w:val="152"/>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2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(16,484)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(4,773)</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15,441</w:t>
            </w:r>
          </w:p>
        </w:tc>
      </w:tr>
      <w:tr>
        <w:trPr>
          <w:trHeight w:val="15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year</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97,253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135,222</w:t>
            </w:r>
          </w:p>
        </w:tc>
        <w:tc>
          <w:tcPr>
            <w:tcW w:w="1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13,181</w:t>
            </w:r>
          </w:p>
        </w:tc>
      </w:tr>
      <w:tr>
        <w:trPr>
          <w:trHeight w:val="150"/>
        </w:trPr>
        <w:tc>
          <w:tcPr>
            <w:tcW w:w="56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Cash, cash equivalents and restricted cash at end of year</w:t>
            </w: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123,652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97,253</w:t>
            </w:r>
          </w:p>
        </w:tc>
        <w:tc>
          <w:tcPr>
            <w:tcW w:w="14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135,222</w:t>
            </w:r>
          </w:p>
        </w:tc>
      </w:tr>
    </w:tbl>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16" w:name="page117"/>
    <w:bookmarkEnd w:id="11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60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9"/>
                <w:szCs w:val="9"/>
                <w:b w:val="1"/>
                <w:bCs w:val="1"/>
                <w:color w:val="auto"/>
              </w:rPr>
              <w:t>Year Ended December 31,</w:t>
            </w: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604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276"/>
              <w:spacing w:after="0" w:line="85" w:lineRule="exact"/>
              <w:rPr>
                <w:sz w:val="20"/>
                <w:szCs w:val="20"/>
                <w:color w:val="auto"/>
              </w:rPr>
            </w:pPr>
            <w:r>
              <w:rPr>
                <w:rFonts w:ascii="Times New Roman" w:cs="Times New Roman" w:eastAsia="Times New Roman" w:hAnsi="Times New Roman"/>
                <w:sz w:val="9"/>
                <w:szCs w:val="9"/>
                <w:b w:val="1"/>
                <w:bCs w:val="1"/>
                <w:color w:val="auto"/>
              </w:rPr>
              <w:t>2020</w:t>
            </w:r>
          </w:p>
        </w:tc>
        <w:tc>
          <w:tcPr>
            <w:tcW w:w="6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96"/>
              <w:spacing w:after="0" w:line="85" w:lineRule="exact"/>
              <w:rPr>
                <w:sz w:val="20"/>
                <w:szCs w:val="20"/>
                <w:color w:val="auto"/>
              </w:rPr>
            </w:pPr>
            <w:r>
              <w:rPr>
                <w:rFonts w:ascii="Times New Roman" w:cs="Times New Roman" w:eastAsia="Times New Roman" w:hAnsi="Times New Roman"/>
                <w:sz w:val="9"/>
                <w:szCs w:val="9"/>
                <w:b w:val="1"/>
                <w:bCs w:val="1"/>
                <w:color w:val="auto"/>
              </w:rPr>
              <w:t>2019</w:t>
            </w:r>
          </w:p>
        </w:tc>
        <w:tc>
          <w:tcPr>
            <w:tcW w:w="18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ind w:right="296"/>
              <w:spacing w:after="0" w:line="85" w:lineRule="exact"/>
              <w:rPr>
                <w:sz w:val="20"/>
                <w:szCs w:val="20"/>
                <w:color w:val="auto"/>
              </w:rPr>
            </w:pPr>
            <w:r>
              <w:rPr>
                <w:rFonts w:ascii="Times New Roman" w:cs="Times New Roman" w:eastAsia="Times New Roman" w:hAnsi="Times New Roman"/>
                <w:sz w:val="9"/>
                <w:szCs w:val="9"/>
                <w:b w:val="1"/>
                <w:bCs w:val="1"/>
                <w:color w:val="auto"/>
              </w:rPr>
              <w:t>2018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0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b w:val="1"/>
                <w:bCs w:val="1"/>
                <w:color w:val="auto"/>
              </w:rPr>
              <w:t>Supplemental disclosure of cash flow information:</w:t>
            </w: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04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Cash paid for interest, net of amounts capitalized</w:t>
            </w:r>
          </w:p>
        </w:tc>
        <w:tc>
          <w:tcPr>
            <w:tcW w:w="200" w:type="dxa"/>
            <w:vAlign w:val="bottom"/>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301,938</w:t>
            </w:r>
          </w:p>
        </w:tc>
        <w:tc>
          <w:tcPr>
            <w:tcW w:w="60" w:type="dxa"/>
            <w:vAlign w:val="bottom"/>
          </w:tcPr>
          <w:p>
            <w:pPr>
              <w:spacing w:after="0"/>
              <w:rPr>
                <w:sz w:val="8"/>
                <w:szCs w:val="8"/>
                <w:color w:val="auto"/>
              </w:rPr>
            </w:pPr>
          </w:p>
        </w:tc>
        <w:tc>
          <w:tcPr>
            <w:tcW w:w="320" w:type="dxa"/>
            <w:vAlign w:val="bottom"/>
            <w:gridSpan w:val="2"/>
          </w:tcPr>
          <w:p>
            <w:pPr>
              <w:jc w:val="right"/>
              <w:ind w:right="96"/>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312,848</w:t>
            </w:r>
          </w:p>
        </w:tc>
        <w:tc>
          <w:tcPr>
            <w:tcW w:w="180" w:type="dxa"/>
            <w:vAlign w:val="bottom"/>
          </w:tcPr>
          <w:p>
            <w:pPr>
              <w:spacing w:after="0"/>
              <w:rPr>
                <w:sz w:val="8"/>
                <w:szCs w:val="8"/>
                <w:color w:val="auto"/>
              </w:rPr>
            </w:pP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288,643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Cash paid for income taxes</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20,055</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14,607</w:t>
            </w: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11,224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line="95" w:lineRule="exact"/>
              <w:rPr>
                <w:sz w:val="20"/>
                <w:szCs w:val="20"/>
                <w:color w:val="auto"/>
              </w:rPr>
            </w:pPr>
            <w:r>
              <w:rPr>
                <w:rFonts w:ascii="Times New Roman" w:cs="Times New Roman" w:eastAsia="Times New Roman" w:hAnsi="Times New Roman"/>
                <w:sz w:val="9"/>
                <w:szCs w:val="9"/>
                <w:b w:val="1"/>
                <w:bCs w:val="1"/>
                <w:color w:val="auto"/>
              </w:rPr>
              <w:t>Supplementary disclosure of noncash investing and financing activities:</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Change in net assets related to foreign currency translation adjustments</w:t>
            </w:r>
          </w:p>
        </w:tc>
        <w:tc>
          <w:tcPr>
            <w:tcW w:w="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230,340</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96"/>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45,662</w:t>
            </w: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(11,736)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(Decrease) increase in other assets related to change in fair value of interest rate swaps</w:t>
            </w:r>
          </w:p>
        </w:tc>
        <w:tc>
          <w:tcPr>
            <w:tcW w:w="200" w:type="dxa"/>
            <w:vAlign w:val="bottom"/>
          </w:tcPr>
          <w:p>
            <w:pPr>
              <w:spacing w:after="0"/>
              <w:rPr>
                <w:sz w:val="8"/>
                <w:szCs w:val="8"/>
                <w:color w:val="auto"/>
              </w:rPr>
            </w:pPr>
          </w:p>
        </w:tc>
        <w:tc>
          <w:tcPr>
            <w:tcW w:w="70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(12,425)</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(9,232)</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8,197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Noncontrolling interests in operating partnership converted to shares of common stock</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92,553</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190,514</w:t>
            </w: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149,547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Accrual for additions to investments in real estate and tenant improvement advances included in accounts payable and other accrued liabilities</w:t>
            </w:r>
          </w:p>
        </w:tc>
        <w:tc>
          <w:tcPr>
            <w:tcW w:w="20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358,694</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197,665</w:t>
            </w: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189,508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Assumption of capital lease obligations upon acquisition</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75,030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Non-cash derecognition of capital lease obligation</w:t>
            </w:r>
          </w:p>
        </w:tc>
        <w:tc>
          <w:tcPr>
            <w:tcW w:w="200" w:type="dxa"/>
            <w:vAlign w:val="bottom"/>
          </w:tcPr>
          <w:p>
            <w:pPr>
              <w:spacing w:after="0"/>
              <w:rPr>
                <w:sz w:val="8"/>
                <w:szCs w:val="8"/>
                <w:color w:val="auto"/>
              </w:rPr>
            </w:pPr>
          </w:p>
        </w:tc>
        <w:tc>
          <w:tcPr>
            <w:tcW w:w="700" w:type="dxa"/>
            <w:vAlign w:val="bottom"/>
            <w:gridSpan w:val="2"/>
          </w:tcPr>
          <w:p>
            <w:pPr>
              <w:jc w:val="right"/>
              <w:ind w:right="100"/>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17,294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Decrease to goodwill and deferred tax liability</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(9,436)</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line="95" w:lineRule="exact"/>
              <w:rPr>
                <w:sz w:val="20"/>
                <w:szCs w:val="20"/>
                <w:color w:val="auto"/>
              </w:rPr>
            </w:pPr>
            <w:r>
              <w:rPr>
                <w:rFonts w:ascii="Times New Roman" w:cs="Times New Roman" w:eastAsia="Times New Roman" w:hAnsi="Times New Roman"/>
                <w:sz w:val="9"/>
                <w:szCs w:val="9"/>
                <w:b w:val="1"/>
                <w:bCs w:val="1"/>
                <w:color w:val="auto"/>
              </w:rPr>
              <w:t>Allocation of purchase price of other business combinations and asset acquisitions:</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Investment in real estate</w:t>
            </w:r>
          </w:p>
        </w:tc>
        <w:tc>
          <w:tcPr>
            <w:tcW w:w="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945,144</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96"/>
              <w:spacing w:after="0" w:line="95"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74,903</w:t>
            </w: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410,712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Cash and cash equivalents</w:t>
            </w:r>
          </w:p>
        </w:tc>
        <w:tc>
          <w:tcPr>
            <w:tcW w:w="20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12,537</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Account receivables</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8,509</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76</w:t>
            </w: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Operating lease right-of-use assets</w:t>
            </w:r>
          </w:p>
        </w:tc>
        <w:tc>
          <w:tcPr>
            <w:tcW w:w="20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1,332</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Goodwill</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188,654</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Customer relationship value and other intangibles</w:t>
            </w:r>
          </w:p>
        </w:tc>
        <w:tc>
          <w:tcPr>
            <w:tcW w:w="20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68,406</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725</w:t>
            </w: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Other assets</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1,326</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Secured debt</w:t>
            </w:r>
          </w:p>
        </w:tc>
        <w:tc>
          <w:tcPr>
            <w:tcW w:w="200" w:type="dxa"/>
            <w:vAlign w:val="bottom"/>
          </w:tcPr>
          <w:p>
            <w:pPr>
              <w:spacing w:after="0"/>
              <w:rPr>
                <w:sz w:val="8"/>
                <w:szCs w:val="8"/>
                <w:color w:val="auto"/>
              </w:rPr>
            </w:pPr>
          </w:p>
        </w:tc>
        <w:tc>
          <w:tcPr>
            <w:tcW w:w="70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(139,569)</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Accounts payable and other accrued liabilities</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(20,717)</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Operating lease liabilities</w:t>
            </w:r>
          </w:p>
        </w:tc>
        <w:tc>
          <w:tcPr>
            <w:tcW w:w="200" w:type="dxa"/>
            <w:vAlign w:val="bottom"/>
          </w:tcPr>
          <w:p>
            <w:pPr>
              <w:spacing w:after="0"/>
              <w:rPr>
                <w:sz w:val="8"/>
                <w:szCs w:val="8"/>
                <w:color w:val="auto"/>
              </w:rPr>
            </w:pPr>
          </w:p>
        </w:tc>
        <w:tc>
          <w:tcPr>
            <w:tcW w:w="70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(1,384)</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Security deposits and prepaid rents</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(703)</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Common stock issued</w:t>
            </w:r>
          </w:p>
        </w:tc>
        <w:tc>
          <w:tcPr>
            <w:tcW w:w="200" w:type="dxa"/>
            <w:vAlign w:val="bottom"/>
          </w:tcPr>
          <w:p>
            <w:pPr>
              <w:spacing w:after="0"/>
              <w:rPr>
                <w:sz w:val="8"/>
                <w:szCs w:val="8"/>
                <w:color w:val="auto"/>
              </w:rPr>
            </w:pPr>
          </w:p>
        </w:tc>
        <w:tc>
          <w:tcPr>
            <w:tcW w:w="70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(28,168)</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Noncontrolling interests in consolidated joint venture</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(5,715)</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6040" w:type="dxa"/>
            <w:vAlign w:val="bottom"/>
            <w:tcBorders>
              <w:bottom w:val="single" w:sz="8" w:color="CCEEFF"/>
            </w:tcBorders>
          </w:tcPr>
          <w:p>
            <w:pPr>
              <w:spacing w:after="0" w:line="85" w:lineRule="exact"/>
              <w:rPr>
                <w:sz w:val="20"/>
                <w:szCs w:val="20"/>
                <w:color w:val="auto"/>
              </w:rPr>
            </w:pPr>
            <w:r>
              <w:rPr>
                <w:rFonts w:ascii="Times New Roman" w:cs="Times New Roman" w:eastAsia="Times New Roman" w:hAnsi="Times New Roman"/>
                <w:sz w:val="9"/>
                <w:szCs w:val="9"/>
                <w:color w:val="auto"/>
              </w:rPr>
              <w:t>Cash paid for acquisition of real estate</w:t>
            </w:r>
          </w:p>
        </w:tc>
        <w:tc>
          <w:tcPr>
            <w:tcW w:w="2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1,029,652</w:t>
            </w:r>
          </w:p>
        </w:tc>
        <w:tc>
          <w:tcPr>
            <w:tcW w:w="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0" w:type="dxa"/>
            <w:vAlign w:val="bottom"/>
            <w:tcBorders>
              <w:top w:val="single" w:sz="8" w:color="auto"/>
              <w:bottom w:val="single" w:sz="8" w:color="auto"/>
            </w:tcBorders>
          </w:tcPr>
          <w:p>
            <w:pPr>
              <w:jc w:val="right"/>
              <w:ind w:right="96"/>
              <w:spacing w:after="0" w:line="85"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75,704</w:t>
            </w:r>
          </w:p>
        </w:tc>
        <w:tc>
          <w:tcPr>
            <w:tcW w:w="180" w:type="dxa"/>
            <w:vAlign w:val="bottom"/>
            <w:tcBorders>
              <w:bottom w:val="single" w:sz="8" w:color="CCEEFF"/>
            </w:tcBorders>
          </w:tcPr>
          <w:p>
            <w:pPr>
              <w:spacing w:after="0"/>
              <w:rPr>
                <w:sz w:val="8"/>
                <w:szCs w:val="8"/>
                <w:color w:val="auto"/>
              </w:rPr>
            </w:pPr>
          </w:p>
        </w:tc>
        <w:tc>
          <w:tcPr>
            <w:tcW w:w="1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410,712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line="95" w:lineRule="exact"/>
              <w:rPr>
                <w:sz w:val="20"/>
                <w:szCs w:val="20"/>
                <w:color w:val="auto"/>
              </w:rPr>
            </w:pPr>
            <w:r>
              <w:rPr>
                <w:rFonts w:ascii="Times New Roman" w:cs="Times New Roman" w:eastAsia="Times New Roman" w:hAnsi="Times New Roman"/>
                <w:sz w:val="9"/>
                <w:szCs w:val="9"/>
                <w:b w:val="1"/>
                <w:bCs w:val="1"/>
                <w:color w:val="auto"/>
              </w:rPr>
              <w:t>Allocation of purchase price to business combinations:</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Land</w:t>
            </w:r>
          </w:p>
        </w:tc>
        <w:tc>
          <w:tcPr>
            <w:tcW w:w="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190,970</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96"/>
              <w:spacing w:after="0" w:line="95" w:lineRule="exact"/>
              <w:rPr>
                <w:sz w:val="20"/>
                <w:szCs w:val="20"/>
                <w:color w:val="auto"/>
              </w:rPr>
            </w:pPr>
            <w:r>
              <w:rPr>
                <w:rFonts w:ascii="Times New Roman" w:cs="Times New Roman" w:eastAsia="Times New Roman" w:hAnsi="Times New Roman"/>
                <w:sz w:val="9"/>
                <w:szCs w:val="9"/>
                <w:color w:val="auto"/>
              </w:rPr>
              <w:t>$</w:t>
            </w: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Building and improvements</w:t>
            </w:r>
          </w:p>
        </w:tc>
        <w:tc>
          <w:tcPr>
            <w:tcW w:w="20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3,166,988</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425,000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Construction in progress and space held for development</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397,825</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Operating lease right-of-use assets</w:t>
            </w:r>
          </w:p>
        </w:tc>
        <w:tc>
          <w:tcPr>
            <w:tcW w:w="20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553,987</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Goodwill</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4,338,711</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982,667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Customer relationship value and other intangibles</w:t>
            </w:r>
          </w:p>
        </w:tc>
        <w:tc>
          <w:tcPr>
            <w:tcW w:w="20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1,052,811</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495,000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Debt assumed</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(1,662,276)</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Operating lease liabilities</w:t>
            </w:r>
          </w:p>
        </w:tc>
        <w:tc>
          <w:tcPr>
            <w:tcW w:w="200" w:type="dxa"/>
            <w:vAlign w:val="bottom"/>
          </w:tcPr>
          <w:p>
            <w:pPr>
              <w:spacing w:after="0"/>
              <w:rPr>
                <w:sz w:val="8"/>
                <w:szCs w:val="8"/>
                <w:color w:val="auto"/>
              </w:rPr>
            </w:pPr>
          </w:p>
        </w:tc>
        <w:tc>
          <w:tcPr>
            <w:tcW w:w="70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(47,797)</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Finance lease obligations</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(553,987)</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Other working capital liabilities, net</w:t>
            </w:r>
          </w:p>
        </w:tc>
        <w:tc>
          <w:tcPr>
            <w:tcW w:w="200" w:type="dxa"/>
            <w:vAlign w:val="bottom"/>
          </w:tcPr>
          <w:p>
            <w:pPr>
              <w:spacing w:after="0"/>
              <w:rPr>
                <w:sz w:val="8"/>
                <w:szCs w:val="8"/>
                <w:color w:val="auto"/>
              </w:rPr>
            </w:pPr>
          </w:p>
        </w:tc>
        <w:tc>
          <w:tcPr>
            <w:tcW w:w="700" w:type="dxa"/>
            <w:vAlign w:val="bottom"/>
            <w:gridSpan w:val="2"/>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(24,738)</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(60,000)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Deferred tax liability</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95" w:lineRule="exact"/>
              <w:rPr>
                <w:sz w:val="20"/>
                <w:szCs w:val="20"/>
                <w:color w:val="auto"/>
              </w:rPr>
            </w:pPr>
            <w:r>
              <w:rPr>
                <w:rFonts w:ascii="Times New Roman" w:cs="Times New Roman" w:eastAsia="Times New Roman" w:hAnsi="Times New Roman"/>
                <w:sz w:val="9"/>
                <w:szCs w:val="9"/>
                <w:color w:val="auto"/>
              </w:rPr>
              <w:t>(535,990)</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Noncontrolling interests in operating partnership</w:t>
            </w:r>
          </w:p>
        </w:tc>
        <w:tc>
          <w:tcPr>
            <w:tcW w:w="200" w:type="dxa"/>
            <w:vAlign w:val="bottom"/>
          </w:tcPr>
          <w:p>
            <w:pPr>
              <w:spacing w:after="0"/>
              <w:rPr>
                <w:sz w:val="8"/>
                <w:szCs w:val="8"/>
                <w:color w:val="auto"/>
              </w:rPr>
            </w:pPr>
          </w:p>
        </w:tc>
        <w:tc>
          <w:tcPr>
            <w:tcW w:w="700" w:type="dxa"/>
            <w:vAlign w:val="bottom"/>
            <w:gridSpan w:val="2"/>
          </w:tcPr>
          <w:p>
            <w:pPr>
              <w:jc w:val="right"/>
              <w:ind w:right="100"/>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(253,837)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Noncontrolling interests in consolidated joint venture</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(25,000)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6040" w:type="dxa"/>
            <w:vAlign w:val="bottom"/>
          </w:tcPr>
          <w:p>
            <w:pPr>
              <w:ind w:left="80"/>
              <w:spacing w:after="0" w:line="85" w:lineRule="exact"/>
              <w:rPr>
                <w:sz w:val="20"/>
                <w:szCs w:val="20"/>
                <w:color w:val="auto"/>
              </w:rPr>
            </w:pPr>
            <w:r>
              <w:rPr>
                <w:rFonts w:ascii="Times New Roman" w:cs="Times New Roman" w:eastAsia="Times New Roman" w:hAnsi="Times New Roman"/>
                <w:sz w:val="9"/>
                <w:szCs w:val="9"/>
                <w:color w:val="auto"/>
              </w:rPr>
              <w:t>Total purchase consideration</w:t>
            </w:r>
          </w:p>
        </w:tc>
        <w:tc>
          <w:tcPr>
            <w:tcW w:w="2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6,876,504</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1,563,830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Assumed cash and cash equivalents</w:t>
            </w:r>
          </w:p>
        </w:tc>
        <w:tc>
          <w:tcPr>
            <w:tcW w:w="20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108,548</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116,000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6040" w:type="dxa"/>
            <w:vAlign w:val="bottom"/>
            <w:tcBorders>
              <w:bottom w:val="single" w:sz="8" w:color="CCEEFF"/>
            </w:tcBorders>
          </w:tcPr>
          <w:p>
            <w:pPr>
              <w:ind w:left="80"/>
              <w:spacing w:after="0" w:line="85" w:lineRule="exact"/>
              <w:rPr>
                <w:sz w:val="20"/>
                <w:szCs w:val="20"/>
                <w:color w:val="auto"/>
              </w:rPr>
            </w:pPr>
            <w:r>
              <w:rPr>
                <w:rFonts w:ascii="Times New Roman" w:cs="Times New Roman" w:eastAsia="Times New Roman" w:hAnsi="Times New Roman"/>
                <w:sz w:val="9"/>
                <w:szCs w:val="9"/>
                <w:color w:val="auto"/>
              </w:rPr>
              <w:t>Total equity consideration (2020) or cash paid (2018)</w:t>
            </w:r>
          </w:p>
        </w:tc>
        <w:tc>
          <w:tcPr>
            <w:tcW w:w="2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Borders>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6,985,052</w:t>
            </w:r>
          </w:p>
        </w:tc>
        <w:tc>
          <w:tcPr>
            <w:tcW w:w="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jc w:val="right"/>
              <w:ind w:right="96"/>
              <w:spacing w:after="0" w:line="85"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tcBorders>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1,679,830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line="95" w:lineRule="exact"/>
              <w:rPr>
                <w:sz w:val="20"/>
                <w:szCs w:val="20"/>
                <w:color w:val="auto"/>
              </w:rPr>
            </w:pPr>
            <w:r>
              <w:rPr>
                <w:rFonts w:ascii="Times New Roman" w:cs="Times New Roman" w:eastAsia="Times New Roman" w:hAnsi="Times New Roman"/>
                <w:sz w:val="9"/>
                <w:szCs w:val="9"/>
                <w:b w:val="1"/>
                <w:bCs w:val="1"/>
                <w:color w:val="auto"/>
              </w:rPr>
              <w:t>Deconsolidation of Ascenty:</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ind w:left="40"/>
              <w:spacing w:after="0" w:line="95" w:lineRule="exact"/>
              <w:rPr>
                <w:sz w:val="20"/>
                <w:szCs w:val="20"/>
                <w:color w:val="auto"/>
              </w:rPr>
            </w:pPr>
            <w:r>
              <w:rPr>
                <w:rFonts w:ascii="Times New Roman" w:cs="Times New Roman" w:eastAsia="Times New Roman" w:hAnsi="Times New Roman"/>
                <w:sz w:val="9"/>
                <w:szCs w:val="9"/>
                <w:color w:val="auto"/>
              </w:rPr>
              <w:t>Investment in real estate</w:t>
            </w:r>
          </w:p>
        </w:tc>
        <w:tc>
          <w:tcPr>
            <w:tcW w:w="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gridSpan w:val="2"/>
            <w:shd w:val="clear" w:color="auto" w:fill="CCEEFF"/>
          </w:tcPr>
          <w:p>
            <w:pPr>
              <w:jc w:val="right"/>
              <w:ind w:right="100"/>
              <w:spacing w:after="0" w:line="95"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gridSpan w:val="2"/>
            <w:shd w:val="clear" w:color="auto" w:fill="CCEEFF"/>
          </w:tcPr>
          <w:p>
            <w:pPr>
              <w:jc w:val="right"/>
              <w:ind w:right="96"/>
              <w:spacing w:after="0" w:line="95" w:lineRule="exact"/>
              <w:rPr>
                <w:sz w:val="20"/>
                <w:szCs w:val="20"/>
                <w:color w:val="auto"/>
              </w:rPr>
            </w:pPr>
            <w:r>
              <w:rPr>
                <w:rFonts w:ascii="Times New Roman" w:cs="Times New Roman" w:eastAsia="Times New Roman" w:hAnsi="Times New Roman"/>
                <w:sz w:val="9"/>
                <w:szCs w:val="9"/>
                <w:color w:val="auto"/>
              </w:rPr>
              <w:t>$</w:t>
            </w:r>
          </w:p>
        </w:tc>
        <w:tc>
          <w:tcPr>
            <w:tcW w:w="840" w:type="dxa"/>
            <w:vAlign w:val="bottom"/>
            <w:gridSpan w:val="2"/>
            <w:shd w:val="clear" w:color="auto" w:fill="CCEEFF"/>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(362,951)</w:t>
            </w:r>
          </w:p>
        </w:tc>
        <w:tc>
          <w:tcPr>
            <w:tcW w:w="1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ind w:left="40"/>
              <w:spacing w:after="0" w:line="95" w:lineRule="exact"/>
              <w:rPr>
                <w:sz w:val="20"/>
                <w:szCs w:val="20"/>
                <w:color w:val="auto"/>
              </w:rPr>
            </w:pPr>
            <w:r>
              <w:rPr>
                <w:rFonts w:ascii="Times New Roman" w:cs="Times New Roman" w:eastAsia="Times New Roman" w:hAnsi="Times New Roman"/>
                <w:sz w:val="9"/>
                <w:szCs w:val="9"/>
                <w:color w:val="auto"/>
              </w:rPr>
              <w:t>Account receivables</w:t>
            </w:r>
          </w:p>
        </w:tc>
        <w:tc>
          <w:tcPr>
            <w:tcW w:w="200" w:type="dxa"/>
            <w:vAlign w:val="bottom"/>
          </w:tcPr>
          <w:p>
            <w:pPr>
              <w:spacing w:after="0"/>
              <w:rPr>
                <w:sz w:val="8"/>
                <w:szCs w:val="8"/>
                <w:color w:val="auto"/>
              </w:rPr>
            </w:pPr>
          </w:p>
        </w:tc>
        <w:tc>
          <w:tcPr>
            <w:tcW w:w="700" w:type="dxa"/>
            <w:vAlign w:val="bottom"/>
            <w:gridSpan w:val="2"/>
          </w:tcPr>
          <w:p>
            <w:pPr>
              <w:jc w:val="right"/>
              <w:ind w:right="100"/>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(24,977)</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ind w:left="40"/>
              <w:spacing w:after="0" w:line="95" w:lineRule="exact"/>
              <w:rPr>
                <w:sz w:val="20"/>
                <w:szCs w:val="20"/>
                <w:color w:val="auto"/>
              </w:rPr>
            </w:pPr>
            <w:r>
              <w:rPr>
                <w:rFonts w:ascii="Times New Roman" w:cs="Times New Roman" w:eastAsia="Times New Roman" w:hAnsi="Times New Roman"/>
                <w:sz w:val="9"/>
                <w:szCs w:val="9"/>
                <w:color w:val="auto"/>
              </w:rPr>
              <w:t>Acquired in-place lease value, deferred leasing costs and intangibles</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(480,128)</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ind w:left="40"/>
              <w:spacing w:after="0" w:line="95" w:lineRule="exact"/>
              <w:rPr>
                <w:sz w:val="20"/>
                <w:szCs w:val="20"/>
                <w:color w:val="auto"/>
              </w:rPr>
            </w:pPr>
            <w:r>
              <w:rPr>
                <w:rFonts w:ascii="Times New Roman" w:cs="Times New Roman" w:eastAsia="Times New Roman" w:hAnsi="Times New Roman"/>
                <w:sz w:val="9"/>
                <w:szCs w:val="9"/>
                <w:color w:val="auto"/>
              </w:rPr>
              <w:t>Goodwill</w:t>
            </w:r>
          </w:p>
        </w:tc>
        <w:tc>
          <w:tcPr>
            <w:tcW w:w="200" w:type="dxa"/>
            <w:vAlign w:val="bottom"/>
          </w:tcPr>
          <w:p>
            <w:pPr>
              <w:spacing w:after="0"/>
              <w:rPr>
                <w:sz w:val="8"/>
                <w:szCs w:val="8"/>
                <w:color w:val="auto"/>
              </w:rPr>
            </w:pPr>
          </w:p>
        </w:tc>
        <w:tc>
          <w:tcPr>
            <w:tcW w:w="700" w:type="dxa"/>
            <w:vAlign w:val="bottom"/>
            <w:gridSpan w:val="2"/>
          </w:tcPr>
          <w:p>
            <w:pPr>
              <w:jc w:val="right"/>
              <w:ind w:right="100"/>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(967,189)</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ind w:left="40"/>
              <w:spacing w:after="0" w:line="95" w:lineRule="exact"/>
              <w:rPr>
                <w:sz w:val="20"/>
                <w:szCs w:val="20"/>
                <w:color w:val="auto"/>
              </w:rPr>
            </w:pPr>
            <w:r>
              <w:rPr>
                <w:rFonts w:ascii="Times New Roman" w:cs="Times New Roman" w:eastAsia="Times New Roman" w:hAnsi="Times New Roman"/>
                <w:sz w:val="9"/>
                <w:szCs w:val="9"/>
                <w:color w:val="auto"/>
              </w:rPr>
              <w:t>Other assets</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(31,099)</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ind w:left="40"/>
              <w:spacing w:after="0" w:line="95" w:lineRule="exact"/>
              <w:rPr>
                <w:sz w:val="20"/>
                <w:szCs w:val="20"/>
                <w:color w:val="auto"/>
              </w:rPr>
            </w:pPr>
            <w:r>
              <w:rPr>
                <w:rFonts w:ascii="Times New Roman" w:cs="Times New Roman" w:eastAsia="Times New Roman" w:hAnsi="Times New Roman"/>
                <w:sz w:val="9"/>
                <w:szCs w:val="9"/>
                <w:color w:val="auto"/>
              </w:rPr>
              <w:t>Secured debt</w:t>
            </w:r>
          </w:p>
        </w:tc>
        <w:tc>
          <w:tcPr>
            <w:tcW w:w="200" w:type="dxa"/>
            <w:vAlign w:val="bottom"/>
          </w:tcPr>
          <w:p>
            <w:pPr>
              <w:spacing w:after="0"/>
              <w:rPr>
                <w:sz w:val="8"/>
                <w:szCs w:val="8"/>
                <w:color w:val="auto"/>
              </w:rPr>
            </w:pPr>
          </w:p>
        </w:tc>
        <w:tc>
          <w:tcPr>
            <w:tcW w:w="700" w:type="dxa"/>
            <w:vAlign w:val="bottom"/>
            <w:gridSpan w:val="2"/>
          </w:tcPr>
          <w:p>
            <w:pPr>
              <w:jc w:val="right"/>
              <w:ind w:right="100"/>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571,873</w:t>
            </w: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ind w:left="40"/>
              <w:spacing w:after="0" w:line="95" w:lineRule="exact"/>
              <w:rPr>
                <w:sz w:val="20"/>
                <w:szCs w:val="20"/>
                <w:color w:val="auto"/>
              </w:rPr>
            </w:pPr>
            <w:r>
              <w:rPr>
                <w:rFonts w:ascii="Times New Roman" w:cs="Times New Roman" w:eastAsia="Times New Roman" w:hAnsi="Times New Roman"/>
                <w:sz w:val="9"/>
                <w:szCs w:val="9"/>
                <w:color w:val="auto"/>
              </w:rPr>
              <w:t>Accounts payable and other accrued liabilities</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72,449</w:t>
            </w: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tcPr>
          <w:p>
            <w:pPr>
              <w:ind w:left="40"/>
              <w:spacing w:after="0" w:line="95" w:lineRule="exact"/>
              <w:rPr>
                <w:sz w:val="20"/>
                <w:szCs w:val="20"/>
                <w:color w:val="auto"/>
              </w:rPr>
            </w:pPr>
            <w:r>
              <w:rPr>
                <w:rFonts w:ascii="Times New Roman" w:cs="Times New Roman" w:eastAsia="Times New Roman" w:hAnsi="Times New Roman"/>
                <w:sz w:val="9"/>
                <w:szCs w:val="9"/>
                <w:color w:val="auto"/>
              </w:rPr>
              <w:t>Accumulated other comprehensive loss</w:t>
            </w:r>
          </w:p>
        </w:tc>
        <w:tc>
          <w:tcPr>
            <w:tcW w:w="200" w:type="dxa"/>
            <w:vAlign w:val="bottom"/>
          </w:tcPr>
          <w:p>
            <w:pPr>
              <w:spacing w:after="0"/>
              <w:rPr>
                <w:sz w:val="8"/>
                <w:szCs w:val="8"/>
                <w:color w:val="auto"/>
              </w:rPr>
            </w:pPr>
          </w:p>
        </w:tc>
        <w:tc>
          <w:tcPr>
            <w:tcW w:w="700" w:type="dxa"/>
            <w:vAlign w:val="bottom"/>
            <w:gridSpan w:val="2"/>
          </w:tcPr>
          <w:p>
            <w:pPr>
              <w:jc w:val="right"/>
              <w:ind w:right="100"/>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(21,687)</w:t>
            </w:r>
          </w:p>
        </w:tc>
        <w:tc>
          <w:tcPr>
            <w:tcW w:w="18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ind w:left="40"/>
              <w:spacing w:after="0" w:line="95" w:lineRule="exact"/>
              <w:rPr>
                <w:sz w:val="20"/>
                <w:szCs w:val="20"/>
                <w:color w:val="auto"/>
              </w:rPr>
            </w:pPr>
            <w:r>
              <w:rPr>
                <w:rFonts w:ascii="Times New Roman" w:cs="Times New Roman" w:eastAsia="Times New Roman" w:hAnsi="Times New Roman"/>
                <w:sz w:val="9"/>
                <w:szCs w:val="9"/>
                <w:color w:val="auto"/>
              </w:rPr>
              <w:t>Deconsolidation of Ascenty cash</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(97,081)</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6040" w:type="dxa"/>
            <w:vAlign w:val="bottom"/>
            <w:tcBorders>
              <w:bottom w:val="single" w:sz="8" w:color="CCEEFF"/>
            </w:tcBorders>
          </w:tcPr>
          <w:p>
            <w:pPr>
              <w:ind w:left="160"/>
              <w:spacing w:after="0" w:line="85" w:lineRule="exact"/>
              <w:rPr>
                <w:sz w:val="20"/>
                <w:szCs w:val="20"/>
                <w:color w:val="auto"/>
              </w:rPr>
            </w:pPr>
            <w:r>
              <w:rPr>
                <w:rFonts w:ascii="Times New Roman" w:cs="Times New Roman" w:eastAsia="Times New Roman" w:hAnsi="Times New Roman"/>
                <w:sz w:val="9"/>
                <w:szCs w:val="9"/>
                <w:color w:val="auto"/>
              </w:rPr>
              <w:t>Net carrying value of Ascenty assets and liabilities deconsolidated</w:t>
            </w:r>
          </w:p>
        </w:tc>
        <w:tc>
          <w:tcPr>
            <w:tcW w:w="2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0" w:type="dxa"/>
            <w:vAlign w:val="bottom"/>
            <w:tcBorders>
              <w:top w:val="single" w:sz="8" w:color="auto"/>
              <w:bottom w:val="single" w:sz="8" w:color="auto"/>
            </w:tcBorders>
          </w:tcPr>
          <w:p>
            <w:pPr>
              <w:jc w:val="right"/>
              <w:ind w:right="96"/>
              <w:spacing w:after="0" w:line="85"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(1,340,790)</w:t>
            </w:r>
          </w:p>
        </w:tc>
        <w:tc>
          <w:tcPr>
            <w:tcW w:w="180" w:type="dxa"/>
            <w:vAlign w:val="bottom"/>
            <w:tcBorders>
              <w:bottom w:val="single" w:sz="8" w:color="CCEEFF"/>
            </w:tcBorders>
          </w:tcPr>
          <w:p>
            <w:pPr>
              <w:spacing w:after="0"/>
              <w:rPr>
                <w:sz w:val="8"/>
                <w:szCs w:val="8"/>
                <w:color w:val="auto"/>
              </w:rPr>
            </w:pPr>
          </w:p>
        </w:tc>
        <w:tc>
          <w:tcPr>
            <w:tcW w:w="1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60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Recognition of retained investment in unconsolidated Ascenty joint venture</w:t>
            </w:r>
          </w:p>
        </w:tc>
        <w:tc>
          <w:tcPr>
            <w:tcW w:w="2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jc w:val="right"/>
              <w:ind w:right="96"/>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727,439</w:t>
            </w:r>
          </w:p>
        </w:tc>
        <w:tc>
          <w:tcPr>
            <w:tcW w:w="180" w:type="dxa"/>
            <w:vAlign w:val="bottom"/>
          </w:tcPr>
          <w:p>
            <w:pPr>
              <w:spacing w:after="0"/>
              <w:rPr>
                <w:sz w:val="8"/>
                <w:szCs w:val="8"/>
                <w:color w:val="auto"/>
              </w:rPr>
            </w:pPr>
          </w:p>
        </w:tc>
        <w:tc>
          <w:tcPr>
            <w:tcW w:w="1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17" w:name="page118"/>
    <w:bookmarkEnd w:id="11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unit and per unit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6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12"/>
                <w:szCs w:val="12"/>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1"/>
        </w:trPr>
        <w:tc>
          <w:tcPr>
            <w:tcW w:w="68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3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2"/>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Investments in real estate: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2"/>
        </w:trPr>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Investments in properties, net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20,582,954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14,230,575</w:t>
            </w:r>
          </w:p>
        </w:tc>
      </w:tr>
      <w:tr>
        <w:trPr>
          <w:trHeight w:val="142"/>
        </w:trPr>
        <w:tc>
          <w:tcPr>
            <w:tcW w:w="68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Investments in unconsolidated joint ventures</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1,148,158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1,287,109</w:t>
            </w:r>
          </w:p>
        </w:tc>
      </w:tr>
      <w:tr>
        <w:trPr>
          <w:trHeight w:val="13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Net investments in real estate</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21,731,112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15,517,684</w:t>
            </w:r>
          </w:p>
        </w:tc>
      </w:tr>
      <w:tr>
        <w:trPr>
          <w:trHeight w:val="142"/>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Operating lease right-of-use assets, net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1,386,959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628,681</w:t>
            </w:r>
          </w:p>
        </w:tc>
      </w:tr>
      <w:tr>
        <w:trPr>
          <w:trHeight w:val="14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108,501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89,817</w:t>
            </w:r>
          </w:p>
        </w:tc>
      </w:tr>
      <w:tr>
        <w:trPr>
          <w:trHeight w:val="142"/>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Accounts and other receivables, net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603,111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305,501</w:t>
            </w:r>
          </w:p>
        </w:tc>
      </w:tr>
      <w:tr>
        <w:trPr>
          <w:trHeight w:val="14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rent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528,180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478,744</w:t>
            </w:r>
          </w:p>
        </w:tc>
      </w:tr>
      <w:tr>
        <w:trPr>
          <w:trHeight w:val="142"/>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Goodwill</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8,330,996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3,363,070</w:t>
            </w:r>
          </w:p>
        </w:tc>
      </w:tr>
      <w:tr>
        <w:trPr>
          <w:trHeight w:val="14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Customer relationship value, deferred leasing costs and other intangibles, net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3,122,904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2,195,324</w:t>
            </w:r>
          </w:p>
        </w:tc>
      </w:tr>
      <w:tr>
        <w:trPr>
          <w:trHeight w:val="142"/>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Assets held for sale</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229,934</w:t>
            </w:r>
          </w:p>
        </w:tc>
      </w:tr>
      <w:tr>
        <w:trPr>
          <w:trHeight w:val="14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264,528</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259,376</w:t>
            </w:r>
          </w:p>
        </w:tc>
      </w:tr>
      <w:tr>
        <w:trPr>
          <w:trHeight w:val="140"/>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36,076,291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23,068,131</w:t>
            </w:r>
          </w:p>
        </w:tc>
      </w:tr>
      <w:tr>
        <w:trPr>
          <w:trHeight w:val="14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LIABILITIES AND CAPITAL</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2"/>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Global revolving credit facilities, net</w:t>
            </w:r>
          </w:p>
        </w:tc>
        <w:tc>
          <w:tcPr>
            <w:tcW w:w="100" w:type="dxa"/>
            <w:vAlign w:val="bottom"/>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531,905</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234,105</w:t>
            </w:r>
          </w:p>
        </w:tc>
      </w:tr>
      <w:tr>
        <w:trPr>
          <w:trHeight w:val="14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Unsecured term loans, net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536,580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810,219</w:t>
            </w:r>
          </w:p>
        </w:tc>
      </w:tr>
      <w:tr>
        <w:trPr>
          <w:trHeight w:val="142"/>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Unsecured senior notes, net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11,997,010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8,973,190</w:t>
            </w:r>
          </w:p>
        </w:tc>
      </w:tr>
      <w:tr>
        <w:trPr>
          <w:trHeight w:val="14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Secured debt, including premiums</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239,222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104,934</w:t>
            </w:r>
          </w:p>
        </w:tc>
      </w:tr>
      <w:tr>
        <w:trPr>
          <w:trHeight w:val="142"/>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1,468,712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693,539</w:t>
            </w:r>
          </w:p>
        </w:tc>
      </w:tr>
      <w:tr>
        <w:trPr>
          <w:trHeight w:val="14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Accounts payable and other accrued liabilities</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1,420,162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1,009,154</w:t>
            </w:r>
          </w:p>
        </w:tc>
      </w:tr>
      <w:tr>
        <w:trPr>
          <w:trHeight w:val="142"/>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Deferred tax liabilities, net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698,308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147,381</w:t>
            </w:r>
          </w:p>
        </w:tc>
      </w:tr>
      <w:tr>
        <w:trPr>
          <w:trHeight w:val="14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Accrued dividends and distributions</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324,386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234,620</w:t>
            </w:r>
          </w:p>
        </w:tc>
      </w:tr>
      <w:tr>
        <w:trPr>
          <w:trHeight w:val="142"/>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Security deposits and prepaid rents</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371,659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208,724</w:t>
            </w:r>
          </w:p>
        </w:tc>
      </w:tr>
      <w:tr>
        <w:trPr>
          <w:trHeight w:val="14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Obligations associated with assets held for sale</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2,700</w:t>
            </w:r>
          </w:p>
        </w:tc>
      </w:tr>
      <w:tr>
        <w:trPr>
          <w:trHeight w:val="132"/>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Total liabilities</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17,587,944</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12,418,566</w:t>
            </w:r>
          </w:p>
        </w:tc>
      </w:tr>
      <w:tr>
        <w:trPr>
          <w:trHeight w:val="142"/>
        </w:trPr>
        <w:tc>
          <w:tcPr>
            <w:tcW w:w="6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2"/>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Redeemable noncontrolling interests</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41,465</w:t>
            </w:r>
          </w:p>
        </w:tc>
      </w:tr>
      <w:tr>
        <w:trPr>
          <w:trHeight w:val="14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Commitments and contingencies</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2"/>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Capital: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2"/>
        </w:trPr>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Partners’ capital:</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2"/>
        </w:trPr>
        <w:tc>
          <w:tcPr>
            <w:tcW w:w="6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General Partner:</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3"/>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Preferred units, $956,250 and $1,456,250 liquidation preference ($25.00 per unit), 38,250,000 and 58,250,000 units issued and outstanding</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1"/>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as of December 31, 2020 and December 31, 2019, respectively</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950,940</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1,434,420</w:t>
            </w:r>
          </w:p>
        </w:tc>
      </w:tr>
      <w:tr>
        <w:trPr>
          <w:trHeight w:val="142"/>
        </w:trPr>
        <w:tc>
          <w:tcPr>
            <w:tcW w:w="6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Common units, 280,289,726 and 208,900,758 units issued and outstanding as of December 31, 2020 and December 31, 2019, respectively</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16,631,747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8,532,814</w:t>
            </w:r>
          </w:p>
        </w:tc>
      </w:tr>
      <w:tr>
        <w:trPr>
          <w:trHeight w:val="142"/>
        </w:trPr>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Limited Partners, 8,046,267 and 8,843,155 units issued and outstanding as of December 31, 2020 and December 31, 2019, respectively</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609,190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711,650</w:t>
            </w:r>
          </w:p>
        </w:tc>
      </w:tr>
      <w:tr>
        <w:trPr>
          <w:trHeight w:val="142"/>
        </w:trPr>
        <w:tc>
          <w:tcPr>
            <w:tcW w:w="68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Accumulated other comprehensive income (loss)</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134,800</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(91,409)</w:t>
            </w:r>
          </w:p>
        </w:tc>
      </w:tr>
      <w:tr>
        <w:trPr>
          <w:trHeight w:val="132"/>
        </w:trPr>
        <w:tc>
          <w:tcPr>
            <w:tcW w:w="6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partners’ capital</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18,326,677</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10,587,475</w:t>
            </w:r>
          </w:p>
        </w:tc>
      </w:tr>
      <w:tr>
        <w:trPr>
          <w:trHeight w:val="142"/>
        </w:trPr>
        <w:tc>
          <w:tcPr>
            <w:tcW w:w="68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Noncontrolling interests in consolidated joint ventures</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119,659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20,625</w:t>
            </w:r>
          </w:p>
        </w:tc>
      </w:tr>
      <w:tr>
        <w:trPr>
          <w:trHeight w:val="13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capital</w:t>
            </w:r>
          </w:p>
        </w:tc>
        <w:tc>
          <w:tcPr>
            <w:tcW w:w="1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18,446,336</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10,608,100</w:t>
            </w:r>
          </w:p>
        </w:tc>
      </w:tr>
      <w:tr>
        <w:trPr>
          <w:trHeight w:val="140"/>
        </w:trPr>
        <w:tc>
          <w:tcPr>
            <w:tcW w:w="6800" w:type="dxa"/>
            <w:vAlign w:val="bottom"/>
          </w:tcPr>
          <w:p>
            <w:pPr>
              <w:spacing w:after="0"/>
              <w:rPr>
                <w:sz w:val="20"/>
                <w:szCs w:val="20"/>
                <w:color w:val="auto"/>
              </w:rPr>
            </w:pPr>
            <w:r>
              <w:rPr>
                <w:rFonts w:ascii="Times New Roman" w:cs="Times New Roman" w:eastAsia="Times New Roman" w:hAnsi="Times New Roman"/>
                <w:sz w:val="11"/>
                <w:szCs w:val="11"/>
                <w:color w:val="auto"/>
              </w:rPr>
              <w:t>Total liabilities and capital</w:t>
            </w:r>
          </w:p>
        </w:tc>
        <w:tc>
          <w:tcPr>
            <w:tcW w:w="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36,076,291</w:t>
            </w:r>
          </w:p>
        </w:tc>
        <w:tc>
          <w:tcPr>
            <w:tcW w:w="1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23,068,131</w:t>
            </w:r>
          </w:p>
        </w:tc>
      </w:tr>
    </w:tbl>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18" w:name="page119"/>
    <w:bookmarkEnd w:id="11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1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3"/>
          <w:szCs w:val="13"/>
          <w:b w:val="1"/>
          <w:bCs w:val="1"/>
          <w:color w:val="auto"/>
        </w:rPr>
        <w:t>CONSOLIDATED INCOME STATEMENTS</w:t>
      </w:r>
    </w:p>
    <w:p>
      <w:pPr>
        <w:spacing w:after="0" w:line="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3"/>
          <w:szCs w:val="13"/>
          <w:b w:val="1"/>
          <w:bCs w:val="1"/>
          <w:color w:val="auto"/>
        </w:rPr>
        <w:t>(in thousands, except unit and per unit data)</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53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r>
        <w:trPr>
          <w:trHeight w:val="94"/>
        </w:trPr>
        <w:tc>
          <w:tcPr>
            <w:tcW w:w="534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77"/>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97"/>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97"/>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r>
      <w:tr>
        <w:trPr>
          <w:trHeight w:val="141"/>
        </w:trPr>
        <w:tc>
          <w:tcPr>
            <w:tcW w:w="53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Operating Revenues:</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2"/>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Rental and other services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3,886,546</w:t>
            </w:r>
          </w:p>
        </w:tc>
        <w:tc>
          <w:tcPr>
            <w:tcW w:w="60" w:type="dxa"/>
            <w:vAlign w:val="bottom"/>
          </w:tcPr>
          <w:p>
            <w:pPr>
              <w:spacing w:after="0"/>
              <w:rPr>
                <w:sz w:val="13"/>
                <w:szCs w:val="13"/>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3,196,356</w:t>
            </w:r>
          </w:p>
        </w:tc>
        <w:tc>
          <w:tcPr>
            <w:tcW w:w="140" w:type="dxa"/>
            <w:vAlign w:val="bottom"/>
          </w:tcPr>
          <w:p>
            <w:pPr>
              <w:spacing w:after="0"/>
              <w:rPr>
                <w:sz w:val="13"/>
                <w:szCs w:val="13"/>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2,412,076</w:t>
            </w:r>
          </w:p>
        </w:tc>
      </w:tr>
      <w:tr>
        <w:trPr>
          <w:trHeight w:val="15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Tenant reimbursements</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624,637</w:t>
            </w:r>
          </w:p>
        </w:tc>
      </w:tr>
      <w:tr>
        <w:trPr>
          <w:trHeight w:val="152"/>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Fee income and other</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17,063</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12,885</w:t>
            </w: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9,765</w:t>
            </w:r>
          </w:p>
        </w:tc>
      </w:tr>
      <w:tr>
        <w:trPr>
          <w:trHeight w:val="141"/>
        </w:trPr>
        <w:tc>
          <w:tcPr>
            <w:tcW w:w="53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Total operating revenues</w:t>
            </w: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3,903,609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3,209,241</w:t>
            </w:r>
          </w:p>
        </w:tc>
        <w:tc>
          <w:tcPr>
            <w:tcW w:w="1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3,046,478</w:t>
            </w:r>
          </w:p>
        </w:tc>
      </w:tr>
      <w:tr>
        <w:trPr>
          <w:trHeight w:val="141"/>
        </w:trPr>
        <w:tc>
          <w:tcPr>
            <w:tcW w:w="5340" w:type="dxa"/>
            <w:vAlign w:val="bottom"/>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Rental property operating and maintenance</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1,331,493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1,020,578</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957,065</w:t>
            </w:r>
          </w:p>
        </w:tc>
      </w:tr>
      <w:tr>
        <w:trPr>
          <w:trHeight w:val="152"/>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Property taxes and insurance</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172,183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140,918</w:t>
            </w:r>
          </w:p>
        </w:tc>
      </w:tr>
      <w:tr>
        <w:trPr>
          <w:trHeight w:val="15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1,366,379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1,163,774</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1,186,896</w:t>
            </w:r>
          </w:p>
        </w:tc>
      </w:tr>
      <w:tr>
        <w:trPr>
          <w:trHeight w:val="152"/>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351,369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211,097</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163,667</w:t>
            </w:r>
          </w:p>
        </w:tc>
      </w:tr>
      <w:tr>
        <w:trPr>
          <w:trHeight w:val="15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Transactions and integration</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106,662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27,925</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45,327</w:t>
            </w:r>
          </w:p>
        </w:tc>
      </w:tr>
      <w:tr>
        <w:trPr>
          <w:trHeight w:val="152"/>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Impairment of investments in real estate</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14,118</w:t>
            </w:r>
          </w:p>
        </w:tc>
        <w:tc>
          <w:tcPr>
            <w:tcW w:w="14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2,818</w:t>
            </w:r>
          </w:p>
        </w:tc>
      </w:tr>
      <w:tr>
        <w:trPr>
          <w:trHeight w:val="141"/>
        </w:trPr>
        <w:tc>
          <w:tcPr>
            <w:tcW w:w="5340" w:type="dxa"/>
            <w:vAlign w:val="bottom"/>
            <w:tcBorders>
              <w:bottom w:val="single" w:sz="8" w:color="CCEEFF"/>
            </w:tcBorders>
          </w:tcPr>
          <w:p>
            <w:pPr>
              <w:spacing w:after="0" w:line="141" w:lineRule="exact"/>
              <w:rPr>
                <w:sz w:val="20"/>
                <w:szCs w:val="20"/>
                <w:color w:val="auto"/>
              </w:rPr>
            </w:pPr>
            <w:r>
              <w:rPr>
                <w:rFonts w:ascii="Times New Roman" w:cs="Times New Roman" w:eastAsia="Times New Roman" w:hAnsi="Times New Roman"/>
                <w:sz w:val="13"/>
                <w:szCs w:val="13"/>
                <w:color w:val="auto"/>
              </w:rPr>
              <w:t>Total operating expenses</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3,346,083</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2,615,026</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2,496,691</w:t>
            </w:r>
          </w:p>
        </w:tc>
      </w:tr>
      <w:tr>
        <w:trPr>
          <w:trHeight w:val="141"/>
        </w:trPr>
        <w:tc>
          <w:tcPr>
            <w:tcW w:w="53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Operating income</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557,526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594,215</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549,787</w:t>
            </w:r>
          </w:p>
        </w:tc>
      </w:tr>
      <w:tr>
        <w:trPr>
          <w:trHeight w:val="152"/>
        </w:trPr>
        <w:tc>
          <w:tcPr>
            <w:tcW w:w="5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Income (Expenses):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 (loss) earnings of unconsolidated joint ventures</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(57,629)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8,067</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32,979</w:t>
            </w:r>
          </w:p>
        </w:tc>
      </w:tr>
      <w:tr>
        <w:trPr>
          <w:trHeight w:val="152"/>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Gain on disposition of properties, net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316,894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267,651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80,049</w:t>
            </w:r>
          </w:p>
        </w:tc>
      </w:tr>
      <w:tr>
        <w:trPr>
          <w:trHeight w:val="15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on deconsolidation, net</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67,497</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other income, net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66,000</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3,481</w:t>
            </w:r>
          </w:p>
        </w:tc>
      </w:tr>
      <w:tr>
        <w:trPr>
          <w:trHeight w:val="15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(333,021)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(353,057)</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(321,529)</w:t>
            </w:r>
          </w:p>
        </w:tc>
      </w:tr>
      <w:tr>
        <w:trPr>
          <w:trHeight w:val="152"/>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Loss from early extinguishment of debt</w:t>
            </w:r>
          </w:p>
        </w:tc>
        <w:tc>
          <w:tcPr>
            <w:tcW w:w="24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(103,215)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(39,157)</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(1,568)</w:t>
            </w:r>
          </w:p>
        </w:tc>
      </w:tr>
      <w:tr>
        <w:trPr>
          <w:trHeight w:val="15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(38,047)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(11,995)</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(2,084)</w:t>
            </w:r>
          </w:p>
        </w:tc>
      </w:tr>
      <w:tr>
        <w:trPr>
          <w:trHeight w:val="141"/>
        </w:trPr>
        <w:tc>
          <w:tcPr>
            <w:tcW w:w="53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362,730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599,221</w:t>
            </w: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341,115</w:t>
            </w:r>
          </w:p>
        </w:tc>
      </w:tr>
      <w:tr>
        <w:trPr>
          <w:trHeight w:val="15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w:t>
            </w:r>
          </w:p>
        </w:tc>
        <w:tc>
          <w:tcPr>
            <w:tcW w:w="14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r>
      <w:tr>
        <w:trPr>
          <w:trHeight w:val="141"/>
        </w:trPr>
        <w:tc>
          <w:tcPr>
            <w:tcW w:w="53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Net income attributable to Digital Realty Trust, L.P.</w:t>
            </w:r>
          </w:p>
        </w:tc>
        <w:tc>
          <w:tcPr>
            <w:tcW w:w="24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365,898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600,861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341,426</w:t>
            </w:r>
          </w:p>
        </w:tc>
      </w:tr>
      <w:tr>
        <w:trPr>
          <w:trHeight w:val="15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units distributions, including undeclared distributions</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(76,536)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(74,990)</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(81,316)</w:t>
            </w:r>
          </w:p>
        </w:tc>
      </w:tr>
      <w:tr>
        <w:trPr>
          <w:trHeight w:val="152"/>
        </w:trPr>
        <w:tc>
          <w:tcPr>
            <w:tcW w:w="5340" w:type="dxa"/>
            <w:vAlign w:val="bottom"/>
          </w:tcPr>
          <w:p>
            <w:pPr>
              <w:spacing w:after="0"/>
              <w:rPr>
                <w:sz w:val="20"/>
                <w:szCs w:val="20"/>
                <w:color w:val="auto"/>
              </w:rPr>
            </w:pPr>
            <w:r>
              <w:rPr>
                <w:rFonts w:ascii="Times New Roman" w:cs="Times New Roman" w:eastAsia="Times New Roman" w:hAnsi="Times New Roman"/>
                <w:sz w:val="13"/>
                <w:szCs w:val="13"/>
                <w:color w:val="auto"/>
              </w:rPr>
              <w:t>Issuance costs associated with redeemed preferred units</w:t>
            </w:r>
          </w:p>
        </w:tc>
        <w:tc>
          <w:tcPr>
            <w:tcW w:w="24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(16,520)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(11,760)</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534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income available to common unitholders</w:t>
            </w: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272,842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514,111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260,110</w:t>
            </w:r>
          </w:p>
        </w:tc>
      </w:tr>
      <w:tr>
        <w:trPr>
          <w:trHeight w:val="140"/>
        </w:trPr>
        <w:tc>
          <w:tcPr>
            <w:tcW w:w="53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Net income per unit available to common unitholders: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2"/>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60"/>
        </w:trPr>
        <w:tc>
          <w:tcPr>
            <w:tcW w:w="5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60" w:type="dxa"/>
            <w:vAlign w:val="bottom"/>
          </w:tcPr>
          <w:p>
            <w:pPr>
              <w:spacing w:after="0"/>
              <w:rPr>
                <w:sz w:val="13"/>
                <w:szCs w:val="13"/>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40" w:type="dxa"/>
            <w:vAlign w:val="bottom"/>
          </w:tcPr>
          <w:p>
            <w:pPr>
              <w:spacing w:after="0"/>
              <w:rPr>
                <w:sz w:val="13"/>
                <w:szCs w:val="13"/>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52"/>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common units outstanding:</w:t>
            </w: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52"/>
        </w:trPr>
        <w:tc>
          <w:tcPr>
            <w:tcW w:w="5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268,072,983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217,284,755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214,312,871</w:t>
            </w:r>
          </w:p>
        </w:tc>
      </w:tr>
      <w:tr>
        <w:trPr>
          <w:trHeight w:val="152"/>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270,496,513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218,421,179</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214,950,934</w:t>
            </w:r>
          </w:p>
        </w:tc>
      </w:tr>
    </w:tbl>
    <w:p>
      <w:pPr>
        <w:spacing w:after="0" w:line="13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19" w:name="page120"/>
    <w:bookmarkEnd w:id="11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INCOME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60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94"/>
        </w:trPr>
        <w:tc>
          <w:tcPr>
            <w:tcW w:w="606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58"/>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58"/>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8"/>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r>
      <w:tr>
        <w:trPr>
          <w:trHeight w:val="141"/>
        </w:trPr>
        <w:tc>
          <w:tcPr>
            <w:tcW w:w="60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income</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362,730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599,221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341,115</w:t>
            </w:r>
          </w:p>
        </w:tc>
      </w:tr>
      <w:tr>
        <w:trPr>
          <w:trHeight w:val="152"/>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2"/>
        </w:trPr>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230,340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23,975</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(11,736)</w:t>
            </w:r>
          </w:p>
        </w:tc>
      </w:tr>
      <w:tr>
        <w:trPr>
          <w:trHeight w:val="139"/>
        </w:trPr>
        <w:tc>
          <w:tcPr>
            <w:tcW w:w="606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auto"/>
              </w:rPr>
              <w:t>Reclassification of foreign currency translation adjustment</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5"/>
        </w:trPr>
        <w:tc>
          <w:tcPr>
            <w:tcW w:w="6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due to deconsolidation of Ascenty</w:t>
            </w:r>
          </w:p>
        </w:tc>
        <w:tc>
          <w:tcPr>
            <w:tcW w:w="1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21,687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(Decrease) increase in fair value of interest rate swaps</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(12,425)</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(9,232)</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8,197</w:t>
            </w:r>
          </w:p>
        </w:tc>
      </w:tr>
      <w:tr>
        <w:trPr>
          <w:trHeight w:val="152"/>
        </w:trPr>
        <w:tc>
          <w:tcPr>
            <w:tcW w:w="6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Reclassification to interest expense from interest rate swaps</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(7,446)</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(3,969)</w:t>
            </w:r>
          </w:p>
        </w:tc>
      </w:tr>
      <w:tr>
        <w:trPr>
          <w:trHeight w:val="141"/>
        </w:trPr>
        <w:tc>
          <w:tcPr>
            <w:tcW w:w="6060" w:type="dxa"/>
            <w:vAlign w:val="bottom"/>
            <w:tcBorders>
              <w:top w:val="single" w:sz="8" w:color="CCEEFF"/>
            </w:tcBorders>
            <w:shd w:val="clear" w:color="auto" w:fill="CCEEFF"/>
          </w:tcPr>
          <w:p>
            <w:pPr>
              <w:ind w:left="240"/>
              <w:spacing w:after="0" w:line="141"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226,209</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28,984</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(7,508)</w:t>
            </w:r>
          </w:p>
        </w:tc>
      </w:tr>
      <w:tr>
        <w:trPr>
          <w:trHeight w:val="141"/>
        </w:trPr>
        <w:tc>
          <w:tcPr>
            <w:tcW w:w="606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Comprehensive income</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588,939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628,205</w:t>
            </w:r>
          </w:p>
        </w:tc>
        <w:tc>
          <w:tcPr>
            <w:tcW w:w="180" w:type="dxa"/>
            <w:vAlign w:val="bottom"/>
          </w:tcPr>
          <w:p>
            <w:pPr>
              <w:spacing w:after="0"/>
              <w:rPr>
                <w:sz w:val="12"/>
                <w:szCs w:val="12"/>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333,607</w:t>
            </w:r>
          </w:p>
        </w:tc>
      </w:tr>
      <w:tr>
        <w:trPr>
          <w:trHeight w:val="152"/>
        </w:trPr>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Comprehensive loss attributable to noncontrolling interests</w:t>
            </w: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r>
      <w:tr>
        <w:trPr>
          <w:trHeight w:val="150"/>
        </w:trPr>
        <w:tc>
          <w:tcPr>
            <w:tcW w:w="60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auto"/>
              </w:rPr>
              <w:t>Comprehensive income attributable to Digital Realty Trust, L.P.</w:t>
            </w: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592,107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629,845</w:t>
            </w:r>
          </w:p>
        </w:tc>
        <w:tc>
          <w:tcPr>
            <w:tcW w:w="180" w:type="dxa"/>
            <w:vAlign w:val="bottom"/>
          </w:tcPr>
          <w:p>
            <w:pPr>
              <w:spacing w:after="0"/>
              <w:rPr>
                <w:sz w:val="13"/>
                <w:szCs w:val="13"/>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333,918</w:t>
            </w:r>
          </w:p>
        </w:tc>
      </w:tr>
    </w:tbl>
    <w:p>
      <w:pPr>
        <w:spacing w:after="0" w:line="13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20" w:name="page121"/>
    <w:bookmarkEnd w:id="12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CAPITAL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unit data)</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17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2"/>
              </w:rPr>
              <w:t>Accumulated</w:t>
            </w:r>
          </w:p>
        </w:tc>
        <w:tc>
          <w:tcPr>
            <w:tcW w:w="80" w:type="dxa"/>
            <w:vAlign w:val="bottom"/>
          </w:tcPr>
          <w:p>
            <w:pPr>
              <w:spacing w:after="0"/>
              <w:rPr>
                <w:sz w:val="7"/>
                <w:szCs w:val="7"/>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6"/>
              </w:rPr>
              <w:t>Noncontrolling</w:t>
            </w: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97"/>
        </w:trPr>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5"/>
              </w:rPr>
              <w:t>Redeemable</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4"/>
          </w:tcPr>
          <w:p>
            <w:pPr>
              <w:jc w:val="right"/>
              <w:ind w:right="500"/>
              <w:spacing w:after="0"/>
              <w:rPr>
                <w:sz w:val="20"/>
                <w:szCs w:val="20"/>
                <w:color w:val="auto"/>
              </w:rPr>
            </w:pPr>
            <w:r>
              <w:rPr>
                <w:rFonts w:ascii="Times New Roman" w:cs="Times New Roman" w:eastAsia="Times New Roman" w:hAnsi="Times New Roman"/>
                <w:sz w:val="8"/>
                <w:szCs w:val="8"/>
                <w:b w:val="1"/>
                <w:bCs w:val="1"/>
                <w:color w:val="auto"/>
              </w:rPr>
              <w:t>General Partner</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5"/>
          </w:tcPr>
          <w:p>
            <w:pPr>
              <w:ind w:left="300"/>
              <w:spacing w:after="0"/>
              <w:rPr>
                <w:sz w:val="20"/>
                <w:szCs w:val="20"/>
                <w:color w:val="auto"/>
              </w:rPr>
            </w:pPr>
            <w:r>
              <w:rPr>
                <w:rFonts w:ascii="Times New Roman" w:cs="Times New Roman" w:eastAsia="Times New Roman" w:hAnsi="Times New Roman"/>
                <w:sz w:val="8"/>
                <w:szCs w:val="8"/>
                <w:b w:val="1"/>
                <w:bCs w:val="1"/>
                <w:color w:val="auto"/>
              </w:rPr>
              <w:t>Limited Partners</w:t>
            </w:r>
          </w:p>
        </w:tc>
        <w:tc>
          <w:tcPr>
            <w:tcW w:w="80" w:type="dxa"/>
            <w:vAlign w:val="bottom"/>
          </w:tcPr>
          <w:p>
            <w:pPr>
              <w:spacing w:after="0"/>
              <w:rPr>
                <w:sz w:val="8"/>
                <w:szCs w:val="8"/>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87"/>
              </w:rPr>
              <w:t>Other</w:t>
            </w:r>
          </w:p>
        </w:tc>
        <w:tc>
          <w:tcPr>
            <w:tcW w:w="80" w:type="dxa"/>
            <w:vAlign w:val="bottom"/>
          </w:tcPr>
          <w:p>
            <w:pPr>
              <w:spacing w:after="0"/>
              <w:rPr>
                <w:sz w:val="8"/>
                <w:szCs w:val="8"/>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3"/>
              </w:rPr>
              <w:t>Interests in</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75"/>
        </w:trPr>
        <w:tc>
          <w:tcPr>
            <w:tcW w:w="17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8"/>
                <w:szCs w:val="8"/>
                <w:b w:val="1"/>
                <w:bCs w:val="1"/>
                <w:color w:val="auto"/>
                <w:w w:val="92"/>
              </w:rPr>
              <w:t>Noncontrolling</w:t>
            </w:r>
          </w:p>
        </w:tc>
        <w:tc>
          <w:tcPr>
            <w:tcW w:w="1340" w:type="dxa"/>
            <w:vAlign w:val="bottom"/>
            <w:tcBorders>
              <w:top w:val="single" w:sz="8" w:color="auto"/>
            </w:tcBorders>
            <w:gridSpan w:val="5"/>
          </w:tcPr>
          <w:p>
            <w:pPr>
              <w:jc w:val="right"/>
              <w:ind w:right="460"/>
              <w:spacing w:after="0" w:line="75" w:lineRule="exact"/>
              <w:rPr>
                <w:sz w:val="20"/>
                <w:szCs w:val="20"/>
                <w:color w:val="auto"/>
              </w:rPr>
            </w:pPr>
            <w:r>
              <w:rPr>
                <w:rFonts w:ascii="Times New Roman" w:cs="Times New Roman" w:eastAsia="Times New Roman" w:hAnsi="Times New Roman"/>
                <w:sz w:val="8"/>
                <w:szCs w:val="8"/>
                <w:b w:val="1"/>
                <w:bCs w:val="1"/>
                <w:color w:val="auto"/>
              </w:rPr>
              <w:t>Preferred Units</w:t>
            </w:r>
          </w:p>
        </w:tc>
        <w:tc>
          <w:tcPr>
            <w:tcW w:w="1300" w:type="dxa"/>
            <w:vAlign w:val="bottom"/>
            <w:tcBorders>
              <w:top w:val="single" w:sz="8" w:color="auto"/>
            </w:tcBorders>
            <w:gridSpan w:val="4"/>
          </w:tcPr>
          <w:p>
            <w:pPr>
              <w:jc w:val="right"/>
              <w:ind w:right="362"/>
              <w:spacing w:after="0" w:line="75" w:lineRule="exact"/>
              <w:rPr>
                <w:sz w:val="20"/>
                <w:szCs w:val="20"/>
                <w:color w:val="auto"/>
              </w:rPr>
            </w:pPr>
            <w:r>
              <w:rPr>
                <w:rFonts w:ascii="Times New Roman" w:cs="Times New Roman" w:eastAsia="Times New Roman" w:hAnsi="Times New Roman"/>
                <w:sz w:val="8"/>
                <w:szCs w:val="8"/>
                <w:b w:val="1"/>
                <w:bCs w:val="1"/>
                <w:color w:val="auto"/>
              </w:rPr>
              <w:t>Common Units</w:t>
            </w:r>
          </w:p>
        </w:tc>
        <w:tc>
          <w:tcPr>
            <w:tcW w:w="100" w:type="dxa"/>
            <w:vAlign w:val="bottom"/>
          </w:tcPr>
          <w:p>
            <w:pPr>
              <w:spacing w:after="0"/>
              <w:rPr>
                <w:sz w:val="6"/>
                <w:szCs w:val="6"/>
                <w:color w:val="auto"/>
              </w:rPr>
            </w:pPr>
          </w:p>
        </w:tc>
        <w:tc>
          <w:tcPr>
            <w:tcW w:w="1160" w:type="dxa"/>
            <w:vAlign w:val="bottom"/>
            <w:tcBorders>
              <w:top w:val="single" w:sz="8" w:color="auto"/>
            </w:tcBorders>
            <w:gridSpan w:val="4"/>
          </w:tcPr>
          <w:p>
            <w:pPr>
              <w:jc w:val="right"/>
              <w:ind w:right="302"/>
              <w:spacing w:after="0" w:line="75" w:lineRule="exact"/>
              <w:rPr>
                <w:sz w:val="20"/>
                <w:szCs w:val="20"/>
                <w:color w:val="auto"/>
              </w:rPr>
            </w:pPr>
            <w:r>
              <w:rPr>
                <w:rFonts w:ascii="Times New Roman" w:cs="Times New Roman" w:eastAsia="Times New Roman" w:hAnsi="Times New Roman"/>
                <w:sz w:val="8"/>
                <w:szCs w:val="8"/>
                <w:b w:val="1"/>
                <w:bCs w:val="1"/>
                <w:color w:val="auto"/>
              </w:rPr>
              <w:t>Common Units</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8"/>
                <w:szCs w:val="8"/>
                <w:b w:val="1"/>
                <w:bCs w:val="1"/>
                <w:color w:val="auto"/>
                <w:w w:val="93"/>
              </w:rPr>
              <w:t>Comprehensive</w:t>
            </w:r>
          </w:p>
        </w:tc>
        <w:tc>
          <w:tcPr>
            <w:tcW w:w="80" w:type="dxa"/>
            <w:vAlign w:val="bottom"/>
          </w:tcPr>
          <w:p>
            <w:pPr>
              <w:spacing w:after="0"/>
              <w:rPr>
                <w:sz w:val="6"/>
                <w:szCs w:val="6"/>
                <w:color w:val="auto"/>
              </w:rPr>
            </w:pPr>
          </w:p>
        </w:tc>
        <w:tc>
          <w:tcPr>
            <w:tcW w:w="76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8"/>
                <w:szCs w:val="8"/>
                <w:b w:val="1"/>
                <w:bCs w:val="1"/>
                <w:color w:val="auto"/>
                <w:w w:val="93"/>
              </w:rPr>
              <w:t>Consolidated</w:t>
            </w: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75"/>
        </w:trPr>
        <w:tc>
          <w:tcPr>
            <w:tcW w:w="17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8"/>
                <w:szCs w:val="8"/>
                <w:b w:val="1"/>
                <w:bCs w:val="1"/>
                <w:color w:val="auto"/>
                <w:w w:val="93"/>
              </w:rPr>
              <w:t>Interests</w:t>
            </w:r>
          </w:p>
        </w:tc>
        <w:tc>
          <w:tcPr>
            <w:tcW w:w="680" w:type="dxa"/>
            <w:vAlign w:val="bottom"/>
            <w:tcBorders>
              <w:top w:val="single" w:sz="8" w:color="auto"/>
            </w:tcBorders>
            <w:gridSpan w:val="2"/>
          </w:tcPr>
          <w:p>
            <w:pPr>
              <w:ind w:left="200"/>
              <w:spacing w:after="0" w:line="75" w:lineRule="exact"/>
              <w:rPr>
                <w:sz w:val="20"/>
                <w:szCs w:val="20"/>
                <w:color w:val="auto"/>
              </w:rPr>
            </w:pPr>
            <w:r>
              <w:rPr>
                <w:rFonts w:ascii="Times New Roman" w:cs="Times New Roman" w:eastAsia="Times New Roman" w:hAnsi="Times New Roman"/>
                <w:sz w:val="8"/>
                <w:szCs w:val="8"/>
                <w:b w:val="1"/>
                <w:bCs w:val="1"/>
                <w:color w:val="auto"/>
              </w:rPr>
              <w:t>Units</w:t>
            </w: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jc w:val="right"/>
              <w:ind w:right="102"/>
              <w:spacing w:after="0" w:line="75" w:lineRule="exact"/>
              <w:rPr>
                <w:sz w:val="20"/>
                <w:szCs w:val="20"/>
                <w:color w:val="auto"/>
              </w:rPr>
            </w:pPr>
            <w:r>
              <w:rPr>
                <w:rFonts w:ascii="Times New Roman" w:cs="Times New Roman" w:eastAsia="Times New Roman" w:hAnsi="Times New Roman"/>
                <w:sz w:val="8"/>
                <w:szCs w:val="8"/>
                <w:b w:val="1"/>
                <w:bCs w:val="1"/>
                <w:color w:val="auto"/>
              </w:rPr>
              <w:t>Amount</w:t>
            </w:r>
          </w:p>
        </w:tc>
        <w:tc>
          <w:tcPr>
            <w:tcW w:w="100" w:type="dxa"/>
            <w:vAlign w:val="bottom"/>
          </w:tcPr>
          <w:p>
            <w:pPr>
              <w:spacing w:after="0"/>
              <w:rPr>
                <w:sz w:val="6"/>
                <w:szCs w:val="6"/>
                <w:color w:val="auto"/>
              </w:rPr>
            </w:pPr>
          </w:p>
        </w:tc>
        <w:tc>
          <w:tcPr>
            <w:tcW w:w="740" w:type="dxa"/>
            <w:vAlign w:val="bottom"/>
            <w:tcBorders>
              <w:top w:val="single" w:sz="8" w:color="auto"/>
            </w:tcBorders>
            <w:gridSpan w:val="2"/>
          </w:tcPr>
          <w:p>
            <w:pPr>
              <w:jc w:val="right"/>
              <w:ind w:right="340"/>
              <w:spacing w:after="0" w:line="75" w:lineRule="exact"/>
              <w:rPr>
                <w:sz w:val="20"/>
                <w:szCs w:val="20"/>
                <w:color w:val="auto"/>
              </w:rPr>
            </w:pPr>
            <w:r>
              <w:rPr>
                <w:rFonts w:ascii="Times New Roman" w:cs="Times New Roman" w:eastAsia="Times New Roman" w:hAnsi="Times New Roman"/>
                <w:sz w:val="8"/>
                <w:szCs w:val="8"/>
                <w:b w:val="1"/>
                <w:bCs w:val="1"/>
                <w:color w:val="auto"/>
              </w:rPr>
              <w:t>Units</w:t>
            </w: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jc w:val="right"/>
              <w:ind w:right="122"/>
              <w:spacing w:after="0" w:line="75" w:lineRule="exact"/>
              <w:rPr>
                <w:sz w:val="20"/>
                <w:szCs w:val="20"/>
                <w:color w:val="auto"/>
              </w:rPr>
            </w:pPr>
            <w:r>
              <w:rPr>
                <w:rFonts w:ascii="Times New Roman" w:cs="Times New Roman" w:eastAsia="Times New Roman" w:hAnsi="Times New Roman"/>
                <w:sz w:val="8"/>
                <w:szCs w:val="8"/>
                <w:b w:val="1"/>
                <w:bCs w:val="1"/>
                <w:color w:val="auto"/>
              </w:rPr>
              <w:t>Amount</w:t>
            </w:r>
          </w:p>
        </w:tc>
        <w:tc>
          <w:tcPr>
            <w:tcW w:w="100" w:type="dxa"/>
            <w:vAlign w:val="bottom"/>
          </w:tcPr>
          <w:p>
            <w:pPr>
              <w:spacing w:after="0"/>
              <w:rPr>
                <w:sz w:val="6"/>
                <w:szCs w:val="6"/>
                <w:color w:val="auto"/>
              </w:rPr>
            </w:pPr>
          </w:p>
        </w:tc>
        <w:tc>
          <w:tcPr>
            <w:tcW w:w="680" w:type="dxa"/>
            <w:vAlign w:val="bottom"/>
            <w:tcBorders>
              <w:top w:val="single" w:sz="8" w:color="auto"/>
            </w:tcBorders>
            <w:gridSpan w:val="2"/>
          </w:tcPr>
          <w:p>
            <w:pPr>
              <w:jc w:val="right"/>
              <w:ind w:right="300"/>
              <w:spacing w:after="0" w:line="75" w:lineRule="exact"/>
              <w:rPr>
                <w:sz w:val="20"/>
                <w:szCs w:val="20"/>
                <w:color w:val="auto"/>
              </w:rPr>
            </w:pPr>
            <w:r>
              <w:rPr>
                <w:rFonts w:ascii="Times New Roman" w:cs="Times New Roman" w:eastAsia="Times New Roman" w:hAnsi="Times New Roman"/>
                <w:sz w:val="8"/>
                <w:szCs w:val="8"/>
                <w:b w:val="1"/>
                <w:bCs w:val="1"/>
                <w:color w:val="auto"/>
              </w:rPr>
              <w:t>Units</w:t>
            </w: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jc w:val="right"/>
              <w:ind w:right="82"/>
              <w:spacing w:after="0" w:line="75" w:lineRule="exact"/>
              <w:rPr>
                <w:sz w:val="20"/>
                <w:szCs w:val="20"/>
                <w:color w:val="auto"/>
              </w:rPr>
            </w:pPr>
            <w:r>
              <w:rPr>
                <w:rFonts w:ascii="Times New Roman" w:cs="Times New Roman" w:eastAsia="Times New Roman" w:hAnsi="Times New Roman"/>
                <w:sz w:val="8"/>
                <w:szCs w:val="8"/>
                <w:b w:val="1"/>
                <w:bCs w:val="1"/>
                <w:color w:val="auto"/>
                <w:w w:val="99"/>
              </w:rPr>
              <w:t>Amount</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8"/>
                <w:szCs w:val="8"/>
                <w:b w:val="1"/>
                <w:bCs w:val="1"/>
                <w:color w:val="auto"/>
                <w:w w:val="95"/>
              </w:rPr>
              <w:t>Income (Loss)</w:t>
            </w:r>
          </w:p>
        </w:tc>
        <w:tc>
          <w:tcPr>
            <w:tcW w:w="80" w:type="dxa"/>
            <w:vAlign w:val="bottom"/>
          </w:tcPr>
          <w:p>
            <w:pPr>
              <w:spacing w:after="0"/>
              <w:rPr>
                <w:sz w:val="6"/>
                <w:szCs w:val="6"/>
                <w:color w:val="auto"/>
              </w:rPr>
            </w:pPr>
          </w:p>
        </w:tc>
        <w:tc>
          <w:tcPr>
            <w:tcW w:w="76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8"/>
                <w:szCs w:val="8"/>
                <w:b w:val="1"/>
                <w:bCs w:val="1"/>
                <w:color w:val="auto"/>
                <w:w w:val="91"/>
              </w:rPr>
              <w:t>Joint Ventures</w:t>
            </w:r>
          </w:p>
        </w:tc>
        <w:tc>
          <w:tcPr>
            <w:tcW w:w="80" w:type="dxa"/>
            <w:vAlign w:val="bottom"/>
          </w:tcPr>
          <w:p>
            <w:pPr>
              <w:spacing w:after="0"/>
              <w:rPr>
                <w:sz w:val="6"/>
                <w:szCs w:val="6"/>
                <w:color w:val="auto"/>
              </w:rPr>
            </w:pPr>
          </w:p>
        </w:tc>
        <w:tc>
          <w:tcPr>
            <w:tcW w:w="600" w:type="dxa"/>
            <w:vAlign w:val="bottom"/>
          </w:tcPr>
          <w:p>
            <w:pPr>
              <w:jc w:val="right"/>
              <w:ind w:right="82"/>
              <w:spacing w:after="0" w:line="75" w:lineRule="exact"/>
              <w:rPr>
                <w:sz w:val="20"/>
                <w:szCs w:val="20"/>
                <w:color w:val="auto"/>
              </w:rPr>
            </w:pPr>
            <w:r>
              <w:rPr>
                <w:rFonts w:ascii="Times New Roman" w:cs="Times New Roman" w:eastAsia="Times New Roman" w:hAnsi="Times New Roman"/>
                <w:sz w:val="8"/>
                <w:szCs w:val="8"/>
                <w:b w:val="1"/>
                <w:bCs w:val="1"/>
                <w:color w:val="auto"/>
              </w:rPr>
              <w:t>Total Capital</w:t>
            </w:r>
          </w:p>
        </w:tc>
      </w:tr>
      <w:tr>
        <w:trPr>
          <w:trHeight w:val="75"/>
        </w:trPr>
        <w:tc>
          <w:tcPr>
            <w:tcW w:w="1780" w:type="dxa"/>
            <w:vAlign w:val="bottom"/>
            <w:tcBorders>
              <w:top w:val="single" w:sz="8" w:color="CCEEFF"/>
            </w:tcBorders>
            <w:shd w:val="clear" w:color="auto" w:fill="CCEEFF"/>
          </w:tcPr>
          <w:p>
            <w:pPr>
              <w:spacing w:after="0" w:line="75" w:lineRule="exact"/>
              <w:rPr>
                <w:sz w:val="20"/>
                <w:szCs w:val="20"/>
                <w:color w:val="auto"/>
              </w:rPr>
            </w:pPr>
            <w:r>
              <w:rPr>
                <w:rFonts w:ascii="Times New Roman" w:cs="Times New Roman" w:eastAsia="Times New Roman" w:hAnsi="Times New Roman"/>
                <w:sz w:val="8"/>
                <w:szCs w:val="8"/>
                <w:b w:val="1"/>
                <w:bCs w:val="1"/>
                <w:color w:val="auto"/>
              </w:rPr>
              <w:t>Balance as of December 31, 2017</w:t>
            </w: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53,902</w:t>
            </w:r>
          </w:p>
        </w:tc>
        <w:tc>
          <w:tcPr>
            <w:tcW w:w="1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50,650,000</w:t>
            </w: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1,249,560</w:t>
            </w:r>
          </w:p>
        </w:tc>
        <w:tc>
          <w:tcPr>
            <w:tcW w:w="10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205,470,300</w:t>
            </w: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9,207,953</w:t>
            </w:r>
          </w:p>
        </w:tc>
        <w:tc>
          <w:tcPr>
            <w:tcW w:w="10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8,489,095</w:t>
            </w: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702,579</w:t>
            </w: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(112,885)</w:t>
            </w: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2,243</w:t>
            </w: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11,049,450</w:t>
            </w:r>
          </w:p>
        </w:tc>
      </w:tr>
      <w:tr>
        <w:trPr>
          <w:trHeight w:val="76"/>
        </w:trPr>
        <w:tc>
          <w:tcPr>
            <w:tcW w:w="17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w w:val="99"/>
              </w:rPr>
              <w:t>Conversion of limited partner common units to general</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95"/>
        </w:trPr>
        <w:tc>
          <w:tcPr>
            <w:tcW w:w="1780" w:type="dxa"/>
            <w:vAlign w:val="bottom"/>
          </w:tcPr>
          <w:p>
            <w:pPr>
              <w:spacing w:after="0"/>
              <w:rPr>
                <w:sz w:val="20"/>
                <w:szCs w:val="20"/>
                <w:color w:val="auto"/>
              </w:rPr>
            </w:pPr>
            <w:r>
              <w:rPr>
                <w:rFonts w:ascii="Times New Roman" w:cs="Times New Roman" w:eastAsia="Times New Roman" w:hAnsi="Times New Roman"/>
                <w:sz w:val="8"/>
                <w:szCs w:val="8"/>
                <w:color w:val="auto"/>
              </w:rPr>
              <w:t>partner common units</w:t>
            </w:r>
          </w:p>
        </w:tc>
        <w:tc>
          <w:tcPr>
            <w:tcW w:w="80" w:type="dxa"/>
            <w:vAlign w:val="bottom"/>
          </w:tcPr>
          <w:p>
            <w:pPr>
              <w:spacing w:after="0"/>
              <w:rPr>
                <w:sz w:val="8"/>
                <w:szCs w:val="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711,892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62,004</w:t>
            </w:r>
          </w:p>
        </w:tc>
        <w:tc>
          <w:tcPr>
            <w:tcW w:w="100" w:type="dxa"/>
            <w:vAlign w:val="bottom"/>
          </w:tcPr>
          <w:p>
            <w:pPr>
              <w:spacing w:after="0"/>
              <w:rPr>
                <w:sz w:val="8"/>
                <w:szCs w:val="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(711,892)</w:t>
            </w:r>
          </w:p>
        </w:tc>
        <w:tc>
          <w:tcPr>
            <w:tcW w:w="60" w:type="dxa"/>
            <w:vAlign w:val="bottom"/>
          </w:tcPr>
          <w:p>
            <w:pPr>
              <w:spacing w:after="0"/>
              <w:rPr>
                <w:sz w:val="8"/>
                <w:szCs w:val="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(62,004)</w:t>
            </w:r>
          </w:p>
        </w:tc>
        <w:tc>
          <w:tcPr>
            <w:tcW w:w="80" w:type="dxa"/>
            <w:vAlign w:val="bottom"/>
          </w:tcPr>
          <w:p>
            <w:pPr>
              <w:spacing w:after="0"/>
              <w:rPr>
                <w:sz w:val="8"/>
                <w:szCs w:val="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w:t>
            </w:r>
          </w:p>
        </w:tc>
      </w:tr>
      <w:tr>
        <w:trPr>
          <w:trHeight w:val="76"/>
        </w:trPr>
        <w:tc>
          <w:tcPr>
            <w:tcW w:w="1780" w:type="dxa"/>
            <w:vAlign w:val="bottom"/>
            <w:shd w:val="clear" w:color="auto" w:fill="CCEEFF"/>
          </w:tcPr>
          <w:p>
            <w:pPr>
              <w:spacing w:after="0" w:line="76" w:lineRule="exact"/>
              <w:rPr>
                <w:sz w:val="20"/>
                <w:szCs w:val="20"/>
                <w:color w:val="auto"/>
              </w:rPr>
            </w:pPr>
            <w:r>
              <w:rPr>
                <w:rFonts w:ascii="Times New Roman" w:cs="Times New Roman" w:eastAsia="Times New Roman" w:hAnsi="Times New Roman"/>
                <w:sz w:val="8"/>
                <w:szCs w:val="8"/>
                <w:color w:val="auto"/>
              </w:rPr>
              <w:t>Issuance of unvested restricted common units, net of</w:t>
            </w: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95"/>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forfeitures</w:t>
            </w:r>
          </w:p>
        </w:tc>
        <w:tc>
          <w:tcPr>
            <w:tcW w:w="8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220,765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w:t>
            </w:r>
          </w:p>
        </w:tc>
      </w:tr>
      <w:tr>
        <w:trPr>
          <w:trHeight w:val="85"/>
        </w:trPr>
        <w:tc>
          <w:tcPr>
            <w:tcW w:w="178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Common unit offering costs</w:t>
            </w:r>
          </w:p>
        </w:tc>
        <w:tc>
          <w:tcPr>
            <w:tcW w:w="80" w:type="dxa"/>
            <w:vAlign w:val="bottom"/>
          </w:tcPr>
          <w:p>
            <w:pPr>
              <w:spacing w:after="0"/>
              <w:rPr>
                <w:sz w:val="7"/>
                <w:szCs w:val="7"/>
                <w:color w:val="auto"/>
              </w:rPr>
            </w:pPr>
          </w:p>
        </w:tc>
        <w:tc>
          <w:tcPr>
            <w:tcW w:w="74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6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48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1,194</w:t>
            </w:r>
          </w:p>
        </w:tc>
        <w:tc>
          <w:tcPr>
            <w:tcW w:w="100" w:type="dxa"/>
            <w:vAlign w:val="bottom"/>
          </w:tcPr>
          <w:p>
            <w:pPr>
              <w:spacing w:after="0"/>
              <w:rPr>
                <w:sz w:val="7"/>
                <w:szCs w:val="7"/>
                <w:color w:val="auto"/>
              </w:rPr>
            </w:pPr>
          </w:p>
        </w:tc>
        <w:tc>
          <w:tcPr>
            <w:tcW w:w="68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2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76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76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60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1,194</w:t>
            </w:r>
          </w:p>
        </w:tc>
      </w:tr>
      <w:tr>
        <w:trPr>
          <w:trHeight w:val="76"/>
        </w:trPr>
        <w:tc>
          <w:tcPr>
            <w:tcW w:w="1780" w:type="dxa"/>
            <w:vAlign w:val="bottom"/>
            <w:shd w:val="clear" w:color="auto" w:fill="CCEEFF"/>
          </w:tcPr>
          <w:p>
            <w:pPr>
              <w:spacing w:after="0" w:line="76" w:lineRule="exact"/>
              <w:rPr>
                <w:sz w:val="20"/>
                <w:szCs w:val="20"/>
                <w:color w:val="auto"/>
              </w:rPr>
            </w:pPr>
            <w:r>
              <w:rPr>
                <w:rFonts w:ascii="Times New Roman" w:cs="Times New Roman" w:eastAsia="Times New Roman" w:hAnsi="Times New Roman"/>
                <w:sz w:val="8"/>
                <w:szCs w:val="8"/>
                <w:color w:val="auto"/>
              </w:rPr>
              <w:t>Issuance of units in connection with Ascenty</w:t>
            </w: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95"/>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Acquisition</w:t>
            </w:r>
          </w:p>
        </w:tc>
        <w:tc>
          <w:tcPr>
            <w:tcW w:w="8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2,338,874</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253,837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25,000</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278,837</w:t>
            </w:r>
          </w:p>
        </w:tc>
      </w:tr>
      <w:tr>
        <w:trPr>
          <w:trHeight w:val="85"/>
        </w:trPr>
        <w:tc>
          <w:tcPr>
            <w:tcW w:w="178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Issuance of common units, net of forfeitures</w:t>
            </w:r>
          </w:p>
        </w:tc>
        <w:tc>
          <w:tcPr>
            <w:tcW w:w="80" w:type="dxa"/>
            <w:vAlign w:val="bottom"/>
          </w:tcPr>
          <w:p>
            <w:pPr>
              <w:spacing w:after="0"/>
              <w:rPr>
                <w:sz w:val="7"/>
                <w:szCs w:val="7"/>
                <w:color w:val="auto"/>
              </w:rPr>
            </w:pPr>
          </w:p>
        </w:tc>
        <w:tc>
          <w:tcPr>
            <w:tcW w:w="74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6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464,807</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76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76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60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76"/>
        </w:trPr>
        <w:tc>
          <w:tcPr>
            <w:tcW w:w="1780" w:type="dxa"/>
            <w:vAlign w:val="bottom"/>
            <w:shd w:val="clear" w:color="auto" w:fill="CCEEFF"/>
          </w:tcPr>
          <w:p>
            <w:pPr>
              <w:spacing w:after="0" w:line="76" w:lineRule="exact"/>
              <w:rPr>
                <w:sz w:val="20"/>
                <w:szCs w:val="20"/>
                <w:color w:val="auto"/>
              </w:rPr>
            </w:pPr>
            <w:r>
              <w:rPr>
                <w:rFonts w:ascii="Times New Roman" w:cs="Times New Roman" w:eastAsia="Times New Roman" w:hAnsi="Times New Roman"/>
                <w:sz w:val="8"/>
                <w:szCs w:val="8"/>
                <w:color w:val="auto"/>
              </w:rPr>
              <w:t>Units issued in connection with employee stock</w:t>
            </w: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95"/>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purchase plan</w:t>
            </w:r>
          </w:p>
        </w:tc>
        <w:tc>
          <w:tcPr>
            <w:tcW w:w="8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69,532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5,874</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5,874</w:t>
            </w:r>
          </w:p>
        </w:tc>
      </w:tr>
      <w:tr>
        <w:trPr>
          <w:trHeight w:val="76"/>
        </w:trPr>
        <w:tc>
          <w:tcPr>
            <w:tcW w:w="17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Units repurchased and retired to satisfy tax</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95"/>
        </w:trPr>
        <w:tc>
          <w:tcPr>
            <w:tcW w:w="1780" w:type="dxa"/>
            <w:vAlign w:val="bottom"/>
          </w:tcPr>
          <w:p>
            <w:pPr>
              <w:spacing w:after="0"/>
              <w:rPr>
                <w:sz w:val="20"/>
                <w:szCs w:val="20"/>
                <w:color w:val="auto"/>
              </w:rPr>
            </w:pPr>
            <w:r>
              <w:rPr>
                <w:rFonts w:ascii="Times New Roman" w:cs="Times New Roman" w:eastAsia="Times New Roman" w:hAnsi="Times New Roman"/>
                <w:sz w:val="8"/>
                <w:szCs w:val="8"/>
                <w:color w:val="auto"/>
              </w:rPr>
              <w:t>withholding upon vesting</w:t>
            </w:r>
          </w:p>
        </w:tc>
        <w:tc>
          <w:tcPr>
            <w:tcW w:w="80" w:type="dxa"/>
            <w:vAlign w:val="bottom"/>
          </w:tcPr>
          <w:p>
            <w:pPr>
              <w:spacing w:after="0"/>
              <w:rPr>
                <w:sz w:val="8"/>
                <w:szCs w:val="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(46,833)</w:t>
            </w:r>
          </w:p>
        </w:tc>
        <w:tc>
          <w:tcPr>
            <w:tcW w:w="80" w:type="dxa"/>
            <w:vAlign w:val="bottom"/>
          </w:tcPr>
          <w:p>
            <w:pPr>
              <w:spacing w:after="0"/>
              <w:rPr>
                <w:sz w:val="8"/>
                <w:szCs w:val="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(5,055)</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(5,055)</w:t>
            </w:r>
          </w:p>
        </w:tc>
      </w:tr>
      <w:tr>
        <w:trPr>
          <w:trHeight w:val="76"/>
        </w:trPr>
        <w:tc>
          <w:tcPr>
            <w:tcW w:w="1780" w:type="dxa"/>
            <w:vAlign w:val="bottom"/>
            <w:shd w:val="clear" w:color="auto" w:fill="CCEEFF"/>
          </w:tcPr>
          <w:p>
            <w:pPr>
              <w:spacing w:after="0" w:line="76" w:lineRule="exact"/>
              <w:rPr>
                <w:sz w:val="20"/>
                <w:szCs w:val="20"/>
                <w:color w:val="auto"/>
              </w:rPr>
            </w:pPr>
            <w:r>
              <w:rPr>
                <w:rFonts w:ascii="Times New Roman" w:cs="Times New Roman" w:eastAsia="Times New Roman" w:hAnsi="Times New Roman"/>
                <w:sz w:val="8"/>
                <w:szCs w:val="8"/>
                <w:color w:val="auto"/>
              </w:rPr>
              <w:t>Amortization of unearned compensation on share-</w:t>
            </w: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95"/>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based awards</w:t>
            </w:r>
          </w:p>
        </w:tc>
        <w:tc>
          <w:tcPr>
            <w:tcW w:w="8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32,456</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32,456</w:t>
            </w:r>
          </w:p>
        </w:tc>
      </w:tr>
      <w:tr>
        <w:trPr>
          <w:trHeight w:val="85"/>
        </w:trPr>
        <w:tc>
          <w:tcPr>
            <w:tcW w:w="178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Reclassification of vested share-based awards</w:t>
            </w:r>
          </w:p>
        </w:tc>
        <w:tc>
          <w:tcPr>
            <w:tcW w:w="80" w:type="dxa"/>
            <w:vAlign w:val="bottom"/>
          </w:tcPr>
          <w:p>
            <w:pPr>
              <w:spacing w:after="0"/>
              <w:rPr>
                <w:sz w:val="7"/>
                <w:szCs w:val="7"/>
                <w:color w:val="auto"/>
              </w:rPr>
            </w:pPr>
          </w:p>
        </w:tc>
        <w:tc>
          <w:tcPr>
            <w:tcW w:w="74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6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(3,772)</w:t>
            </w:r>
          </w:p>
        </w:tc>
        <w:tc>
          <w:tcPr>
            <w:tcW w:w="68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42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3,772</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76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600" w:type="dxa"/>
            <w:vAlign w:val="bottom"/>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178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Adjustment to redeemable noncontrolling interests</w:t>
            </w:r>
          </w:p>
        </w:tc>
        <w:tc>
          <w:tcPr>
            <w:tcW w:w="8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(37,274)</w:t>
            </w:r>
          </w:p>
        </w:tc>
        <w:tc>
          <w:tcPr>
            <w:tcW w:w="6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1,596</w:t>
            </w:r>
          </w:p>
        </w:tc>
        <w:tc>
          <w:tcPr>
            <w:tcW w:w="10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35,678</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37,274</w:t>
            </w:r>
          </w:p>
        </w:tc>
      </w:tr>
      <w:tr>
        <w:trPr>
          <w:trHeight w:val="85"/>
        </w:trPr>
        <w:tc>
          <w:tcPr>
            <w:tcW w:w="178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Distributions</w:t>
            </w:r>
          </w:p>
        </w:tc>
        <w:tc>
          <w:tcPr>
            <w:tcW w:w="80" w:type="dxa"/>
            <w:vAlign w:val="bottom"/>
          </w:tcPr>
          <w:p>
            <w:pPr>
              <w:spacing w:after="0"/>
              <w:rPr>
                <w:sz w:val="7"/>
                <w:szCs w:val="7"/>
                <w:color w:val="auto"/>
              </w:rPr>
            </w:pPr>
          </w:p>
        </w:tc>
        <w:tc>
          <w:tcPr>
            <w:tcW w:w="74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(1,271)</w:t>
            </w:r>
          </w:p>
        </w:tc>
        <w:tc>
          <w:tcPr>
            <w:tcW w:w="68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6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(81,316)</w:t>
            </w:r>
          </w:p>
        </w:tc>
        <w:tc>
          <w:tcPr>
            <w:tcW w:w="74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(833,364)</w:t>
            </w:r>
          </w:p>
        </w:tc>
        <w:tc>
          <w:tcPr>
            <w:tcW w:w="68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2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(32,311)</w:t>
            </w:r>
          </w:p>
        </w:tc>
        <w:tc>
          <w:tcPr>
            <w:tcW w:w="80" w:type="dxa"/>
            <w:vAlign w:val="bottom"/>
          </w:tcPr>
          <w:p>
            <w:pPr>
              <w:spacing w:after="0"/>
              <w:rPr>
                <w:sz w:val="7"/>
                <w:szCs w:val="7"/>
                <w:color w:val="auto"/>
              </w:rPr>
            </w:pPr>
          </w:p>
        </w:tc>
        <w:tc>
          <w:tcPr>
            <w:tcW w:w="76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76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60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(946,991)</w:t>
            </w:r>
          </w:p>
        </w:tc>
      </w:tr>
      <w:tr>
        <w:trPr>
          <w:trHeight w:val="76"/>
        </w:trPr>
        <w:tc>
          <w:tcPr>
            <w:tcW w:w="1780" w:type="dxa"/>
            <w:vAlign w:val="bottom"/>
            <w:shd w:val="clear" w:color="auto" w:fill="CCEEFF"/>
          </w:tcPr>
          <w:p>
            <w:pPr>
              <w:spacing w:after="0" w:line="76" w:lineRule="exact"/>
              <w:rPr>
                <w:sz w:val="20"/>
                <w:szCs w:val="20"/>
                <w:color w:val="auto"/>
              </w:rPr>
            </w:pPr>
            <w:r>
              <w:rPr>
                <w:rFonts w:ascii="Times New Roman" w:cs="Times New Roman" w:eastAsia="Times New Roman" w:hAnsi="Times New Roman"/>
                <w:sz w:val="8"/>
                <w:szCs w:val="8"/>
                <w:color w:val="auto"/>
              </w:rPr>
              <w:t>Contributions from noncontrolling interests in</w:t>
            </w: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95"/>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consolidated joint ventures, net of distributions</w:t>
            </w:r>
          </w:p>
        </w:tc>
        <w:tc>
          <w:tcPr>
            <w:tcW w:w="8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66,124</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66,124</w:t>
            </w:r>
          </w:p>
        </w:tc>
      </w:tr>
      <w:tr>
        <w:trPr>
          <w:trHeight w:val="76"/>
        </w:trPr>
        <w:tc>
          <w:tcPr>
            <w:tcW w:w="17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Cumulative effect adjustment from adoption of new</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95"/>
        </w:trPr>
        <w:tc>
          <w:tcPr>
            <w:tcW w:w="1780" w:type="dxa"/>
            <w:vAlign w:val="bottom"/>
          </w:tcPr>
          <w:p>
            <w:pPr>
              <w:spacing w:after="0"/>
              <w:rPr>
                <w:sz w:val="20"/>
                <w:szCs w:val="20"/>
                <w:color w:val="auto"/>
              </w:rPr>
            </w:pPr>
            <w:r>
              <w:rPr>
                <w:rFonts w:ascii="Times New Roman" w:cs="Times New Roman" w:eastAsia="Times New Roman" w:hAnsi="Times New Roman"/>
                <w:sz w:val="8"/>
                <w:szCs w:val="8"/>
                <w:color w:val="auto"/>
              </w:rPr>
              <w:t>accounting standard</w:t>
            </w:r>
          </w:p>
        </w:tc>
        <w:tc>
          <w:tcPr>
            <w:tcW w:w="80" w:type="dxa"/>
            <w:vAlign w:val="bottom"/>
          </w:tcPr>
          <w:p>
            <w:pPr>
              <w:spacing w:after="0"/>
              <w:rPr>
                <w:sz w:val="8"/>
                <w:szCs w:val="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5,915</w:t>
            </w:r>
          </w:p>
        </w:tc>
        <w:tc>
          <w:tcPr>
            <w:tcW w:w="100" w:type="dxa"/>
            <w:vAlign w:val="bottom"/>
          </w:tcPr>
          <w:p>
            <w:pPr>
              <w:spacing w:after="0"/>
              <w:rPr>
                <w:sz w:val="8"/>
                <w:szCs w:val="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5,915</w:t>
            </w:r>
          </w:p>
        </w:tc>
      </w:tr>
      <w:tr>
        <w:trPr>
          <w:trHeight w:val="85"/>
        </w:trPr>
        <w:tc>
          <w:tcPr>
            <w:tcW w:w="178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Net income</w:t>
            </w: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475</w:t>
            </w:r>
          </w:p>
        </w:tc>
        <w:tc>
          <w:tcPr>
            <w:tcW w:w="10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81,316</w:t>
            </w:r>
          </w:p>
        </w:tc>
        <w:tc>
          <w:tcPr>
            <w:tcW w:w="10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249,930</w:t>
            </w:r>
          </w:p>
        </w:tc>
        <w:tc>
          <w:tcPr>
            <w:tcW w:w="10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9,705</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(311)</w:t>
            </w: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340,640</w:t>
            </w:r>
          </w:p>
        </w:tc>
      </w:tr>
      <w:tr>
        <w:trPr>
          <w:trHeight w:val="76"/>
        </w:trPr>
        <w:tc>
          <w:tcPr>
            <w:tcW w:w="17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Other comprehensive income - foreign currency</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95"/>
        </w:trPr>
        <w:tc>
          <w:tcPr>
            <w:tcW w:w="1780" w:type="dxa"/>
            <w:vAlign w:val="bottom"/>
          </w:tcPr>
          <w:p>
            <w:pPr>
              <w:spacing w:after="0"/>
              <w:rPr>
                <w:sz w:val="20"/>
                <w:szCs w:val="20"/>
                <w:color w:val="auto"/>
              </w:rPr>
            </w:pPr>
            <w:r>
              <w:rPr>
                <w:rFonts w:ascii="Times New Roman" w:cs="Times New Roman" w:eastAsia="Times New Roman" w:hAnsi="Times New Roman"/>
                <w:sz w:val="8"/>
                <w:szCs w:val="8"/>
                <w:color w:val="auto"/>
              </w:rPr>
              <w:t>translation adjustments</w:t>
            </w:r>
          </w:p>
        </w:tc>
        <w:tc>
          <w:tcPr>
            <w:tcW w:w="80" w:type="dxa"/>
            <w:vAlign w:val="bottom"/>
          </w:tcPr>
          <w:p>
            <w:pPr>
              <w:spacing w:after="0"/>
              <w:rPr>
                <w:sz w:val="8"/>
                <w:szCs w:val="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(11,736)</w:t>
            </w:r>
          </w:p>
        </w:tc>
        <w:tc>
          <w:tcPr>
            <w:tcW w:w="80" w:type="dxa"/>
            <w:vAlign w:val="bottom"/>
          </w:tcPr>
          <w:p>
            <w:pPr>
              <w:spacing w:after="0"/>
              <w:rPr>
                <w:sz w:val="8"/>
                <w:szCs w:val="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(11,736)</w:t>
            </w:r>
          </w:p>
        </w:tc>
      </w:tr>
      <w:tr>
        <w:trPr>
          <w:trHeight w:val="76"/>
        </w:trPr>
        <w:tc>
          <w:tcPr>
            <w:tcW w:w="1780" w:type="dxa"/>
            <w:vAlign w:val="bottom"/>
            <w:shd w:val="clear" w:color="auto" w:fill="CCEEFF"/>
          </w:tcPr>
          <w:p>
            <w:pPr>
              <w:spacing w:after="0" w:line="76" w:lineRule="exact"/>
              <w:rPr>
                <w:sz w:val="20"/>
                <w:szCs w:val="20"/>
                <w:color w:val="auto"/>
              </w:rPr>
            </w:pPr>
            <w:r>
              <w:rPr>
                <w:rFonts w:ascii="Times New Roman" w:cs="Times New Roman" w:eastAsia="Times New Roman" w:hAnsi="Times New Roman"/>
                <w:sz w:val="8"/>
                <w:szCs w:val="8"/>
                <w:color w:val="auto"/>
              </w:rPr>
              <w:t>Other comprehensive loss - fair value of interest rate</w:t>
            </w: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95"/>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swaps</w:t>
            </w:r>
          </w:p>
        </w:tc>
        <w:tc>
          <w:tcPr>
            <w:tcW w:w="8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8,197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8,197</w:t>
            </w:r>
          </w:p>
        </w:tc>
      </w:tr>
      <w:tr>
        <w:trPr>
          <w:trHeight w:val="76"/>
        </w:trPr>
        <w:tc>
          <w:tcPr>
            <w:tcW w:w="17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Other comprehensive income – reclassification of</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85"/>
        </w:trPr>
        <w:tc>
          <w:tcPr>
            <w:tcW w:w="178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accumulated other comprehensive income to interest</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95"/>
        </w:trPr>
        <w:tc>
          <w:tcPr>
            <w:tcW w:w="1780" w:type="dxa"/>
            <w:vAlign w:val="bottom"/>
          </w:tcPr>
          <w:p>
            <w:pPr>
              <w:spacing w:after="0"/>
              <w:rPr>
                <w:sz w:val="20"/>
                <w:szCs w:val="20"/>
                <w:color w:val="auto"/>
              </w:rPr>
            </w:pPr>
            <w:r>
              <w:rPr>
                <w:rFonts w:ascii="Times New Roman" w:cs="Times New Roman" w:eastAsia="Times New Roman" w:hAnsi="Times New Roman"/>
                <w:sz w:val="8"/>
                <w:szCs w:val="8"/>
                <w:color w:val="auto"/>
              </w:rPr>
              <w:t>expense</w:t>
            </w:r>
          </w:p>
        </w:tc>
        <w:tc>
          <w:tcPr>
            <w:tcW w:w="80" w:type="dxa"/>
            <w:vAlign w:val="bottom"/>
          </w:tcPr>
          <w:p>
            <w:pPr>
              <w:spacing w:after="0"/>
              <w:rPr>
                <w:sz w:val="8"/>
                <w:szCs w:val="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(3,969)</w:t>
            </w:r>
          </w:p>
        </w:tc>
        <w:tc>
          <w:tcPr>
            <w:tcW w:w="80" w:type="dxa"/>
            <w:vAlign w:val="bottom"/>
          </w:tcPr>
          <w:p>
            <w:pPr>
              <w:spacing w:after="0"/>
              <w:rPr>
                <w:sz w:val="8"/>
                <w:szCs w:val="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(3,969)</w:t>
            </w:r>
          </w:p>
        </w:tc>
      </w:tr>
      <w:tr>
        <w:trPr>
          <w:trHeight w:val="83"/>
        </w:trPr>
        <w:tc>
          <w:tcPr>
            <w:tcW w:w="1780" w:type="dxa"/>
            <w:vAlign w:val="bottom"/>
            <w:tcBorders>
              <w:top w:val="single" w:sz="8" w:color="CCEEFF"/>
              <w:bottom w:val="single" w:sz="8" w:color="CCEEFF"/>
            </w:tcBorders>
            <w:shd w:val="clear" w:color="auto" w:fill="CCEEFF"/>
          </w:tcPr>
          <w:p>
            <w:pPr>
              <w:spacing w:after="0" w:line="75" w:lineRule="exact"/>
              <w:rPr>
                <w:sz w:val="20"/>
                <w:szCs w:val="20"/>
                <w:color w:val="auto"/>
              </w:rPr>
            </w:pPr>
            <w:r>
              <w:rPr>
                <w:rFonts w:ascii="Times New Roman" w:cs="Times New Roman" w:eastAsia="Times New Roman" w:hAnsi="Times New Roman"/>
                <w:sz w:val="8"/>
                <w:szCs w:val="8"/>
                <w:b w:val="1"/>
                <w:bCs w:val="1"/>
                <w:color w:val="auto"/>
              </w:rPr>
              <w:t>Balance as of December 31, 2018</w:t>
            </w: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15,832</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580" w:type="dxa"/>
            <w:vAlign w:val="bottom"/>
            <w:tcBorders>
              <w:top w:val="single" w:sz="8" w:color="auto"/>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50,650,000</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1,249,560</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206,425,656</w:t>
            </w: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tcBorders>
              <w:top w:val="single" w:sz="8" w:color="auto"/>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8,724,731</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56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10,580,884</w:t>
            </w: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911,256</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(120,393)</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93,056</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top w:val="single" w:sz="8" w:color="auto"/>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10,858,210</w:t>
            </w:r>
          </w:p>
        </w:tc>
      </w:tr>
    </w:tbl>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21" w:name="page122"/>
    <w:bookmarkEnd w:id="12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CAPITAL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unit data)</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1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6"/>
              </w:rPr>
              <w:t>Accumulated</w:t>
            </w:r>
          </w:p>
        </w:tc>
        <w:tc>
          <w:tcPr>
            <w:tcW w:w="80" w:type="dxa"/>
            <w:vAlign w:val="bottom"/>
          </w:tcPr>
          <w:p>
            <w:pPr>
              <w:spacing w:after="0"/>
              <w:rPr>
                <w:sz w:val="7"/>
                <w:szCs w:val="7"/>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2"/>
              </w:rPr>
              <w:t>Noncontrolling</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97"/>
        </w:trPr>
        <w:tc>
          <w:tcPr>
            <w:tcW w:w="1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0"/>
              </w:rPr>
              <w:t>Redeemable</w:t>
            </w: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4"/>
          </w:tcPr>
          <w:p>
            <w:pPr>
              <w:ind w:left="260"/>
              <w:spacing w:after="0"/>
              <w:rPr>
                <w:sz w:val="20"/>
                <w:szCs w:val="20"/>
                <w:color w:val="auto"/>
              </w:rPr>
            </w:pPr>
            <w:r>
              <w:rPr>
                <w:rFonts w:ascii="Times New Roman" w:cs="Times New Roman" w:eastAsia="Times New Roman" w:hAnsi="Times New Roman"/>
                <w:sz w:val="8"/>
                <w:szCs w:val="8"/>
                <w:b w:val="1"/>
                <w:bCs w:val="1"/>
                <w:color w:val="auto"/>
              </w:rPr>
              <w:t>General Partner</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5"/>
          </w:tcPr>
          <w:p>
            <w:pPr>
              <w:jc w:val="right"/>
              <w:ind w:right="420"/>
              <w:spacing w:after="0"/>
              <w:rPr>
                <w:sz w:val="20"/>
                <w:szCs w:val="20"/>
                <w:color w:val="auto"/>
              </w:rPr>
            </w:pPr>
            <w:r>
              <w:rPr>
                <w:rFonts w:ascii="Times New Roman" w:cs="Times New Roman" w:eastAsia="Times New Roman" w:hAnsi="Times New Roman"/>
                <w:sz w:val="8"/>
                <w:szCs w:val="8"/>
                <w:b w:val="1"/>
                <w:bCs w:val="1"/>
                <w:color w:val="auto"/>
              </w:rPr>
              <w:t>Limited Partners</w:t>
            </w:r>
          </w:p>
        </w:tc>
        <w:tc>
          <w:tcPr>
            <w:tcW w:w="60" w:type="dxa"/>
            <w:vAlign w:val="bottom"/>
          </w:tcPr>
          <w:p>
            <w:pPr>
              <w:spacing w:after="0"/>
              <w:rPr>
                <w:sz w:val="8"/>
                <w:szCs w:val="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7"/>
              </w:rPr>
              <w:t>Other</w:t>
            </w:r>
          </w:p>
        </w:tc>
        <w:tc>
          <w:tcPr>
            <w:tcW w:w="80" w:type="dxa"/>
            <w:vAlign w:val="bottom"/>
          </w:tcPr>
          <w:p>
            <w:pPr>
              <w:spacing w:after="0"/>
              <w:rPr>
                <w:sz w:val="8"/>
                <w:szCs w:val="8"/>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3"/>
              </w:rPr>
              <w:t>Interests in</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75"/>
        </w:trPr>
        <w:tc>
          <w:tcPr>
            <w:tcW w:w="1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tcPr>
          <w:p>
            <w:pPr>
              <w:jc w:val="center"/>
              <w:ind w:right="160"/>
              <w:spacing w:after="0" w:line="75" w:lineRule="exact"/>
              <w:rPr>
                <w:sz w:val="20"/>
                <w:szCs w:val="20"/>
                <w:color w:val="auto"/>
              </w:rPr>
            </w:pPr>
            <w:r>
              <w:rPr>
                <w:rFonts w:ascii="Times New Roman" w:cs="Times New Roman" w:eastAsia="Times New Roman" w:hAnsi="Times New Roman"/>
                <w:sz w:val="8"/>
                <w:szCs w:val="8"/>
                <w:b w:val="1"/>
                <w:bCs w:val="1"/>
                <w:color w:val="auto"/>
                <w:w w:val="96"/>
              </w:rPr>
              <w:t>Noncontrolling</w:t>
            </w:r>
          </w:p>
        </w:tc>
        <w:tc>
          <w:tcPr>
            <w:tcW w:w="1380" w:type="dxa"/>
            <w:vAlign w:val="bottom"/>
            <w:tcBorders>
              <w:top w:val="single" w:sz="8" w:color="auto"/>
            </w:tcBorders>
            <w:gridSpan w:val="5"/>
          </w:tcPr>
          <w:p>
            <w:pPr>
              <w:jc w:val="right"/>
              <w:ind w:right="480"/>
              <w:spacing w:after="0" w:line="75" w:lineRule="exact"/>
              <w:rPr>
                <w:sz w:val="20"/>
                <w:szCs w:val="20"/>
                <w:color w:val="auto"/>
              </w:rPr>
            </w:pPr>
            <w:r>
              <w:rPr>
                <w:rFonts w:ascii="Times New Roman" w:cs="Times New Roman" w:eastAsia="Times New Roman" w:hAnsi="Times New Roman"/>
                <w:sz w:val="8"/>
                <w:szCs w:val="8"/>
                <w:b w:val="1"/>
                <w:bCs w:val="1"/>
                <w:color w:val="auto"/>
              </w:rPr>
              <w:t>Preferred Units</w:t>
            </w:r>
          </w:p>
        </w:tc>
        <w:tc>
          <w:tcPr>
            <w:tcW w:w="1300" w:type="dxa"/>
            <w:vAlign w:val="bottom"/>
            <w:tcBorders>
              <w:top w:val="single" w:sz="8" w:color="auto"/>
            </w:tcBorders>
            <w:gridSpan w:val="4"/>
          </w:tcPr>
          <w:p>
            <w:pPr>
              <w:jc w:val="right"/>
              <w:ind w:right="362"/>
              <w:spacing w:after="0" w:line="75" w:lineRule="exact"/>
              <w:rPr>
                <w:sz w:val="20"/>
                <w:szCs w:val="20"/>
                <w:color w:val="auto"/>
              </w:rPr>
            </w:pPr>
            <w:r>
              <w:rPr>
                <w:rFonts w:ascii="Times New Roman" w:cs="Times New Roman" w:eastAsia="Times New Roman" w:hAnsi="Times New Roman"/>
                <w:sz w:val="8"/>
                <w:szCs w:val="8"/>
                <w:b w:val="1"/>
                <w:bCs w:val="1"/>
                <w:color w:val="auto"/>
              </w:rPr>
              <w:t>Common Units</w:t>
            </w:r>
          </w:p>
        </w:tc>
        <w:tc>
          <w:tcPr>
            <w:tcW w:w="100" w:type="dxa"/>
            <w:vAlign w:val="bottom"/>
          </w:tcPr>
          <w:p>
            <w:pPr>
              <w:spacing w:after="0"/>
              <w:rPr>
                <w:sz w:val="6"/>
                <w:szCs w:val="6"/>
                <w:color w:val="auto"/>
              </w:rPr>
            </w:pPr>
          </w:p>
        </w:tc>
        <w:tc>
          <w:tcPr>
            <w:tcW w:w="1180" w:type="dxa"/>
            <w:vAlign w:val="bottom"/>
            <w:tcBorders>
              <w:top w:val="single" w:sz="8" w:color="auto"/>
            </w:tcBorders>
            <w:gridSpan w:val="4"/>
          </w:tcPr>
          <w:p>
            <w:pPr>
              <w:jc w:val="right"/>
              <w:ind w:right="302"/>
              <w:spacing w:after="0" w:line="75" w:lineRule="exact"/>
              <w:rPr>
                <w:sz w:val="20"/>
                <w:szCs w:val="20"/>
                <w:color w:val="auto"/>
              </w:rPr>
            </w:pPr>
            <w:r>
              <w:rPr>
                <w:rFonts w:ascii="Times New Roman" w:cs="Times New Roman" w:eastAsia="Times New Roman" w:hAnsi="Times New Roman"/>
                <w:sz w:val="8"/>
                <w:szCs w:val="8"/>
                <w:b w:val="1"/>
                <w:bCs w:val="1"/>
                <w:color w:val="auto"/>
              </w:rPr>
              <w:t>Common Units</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8"/>
                <w:szCs w:val="8"/>
                <w:b w:val="1"/>
                <w:bCs w:val="1"/>
                <w:color w:val="auto"/>
                <w:w w:val="97"/>
              </w:rPr>
              <w:t>Comprehensive</w:t>
            </w:r>
          </w:p>
        </w:tc>
        <w:tc>
          <w:tcPr>
            <w:tcW w:w="80" w:type="dxa"/>
            <w:vAlign w:val="bottom"/>
          </w:tcPr>
          <w:p>
            <w:pPr>
              <w:spacing w:after="0"/>
              <w:rPr>
                <w:sz w:val="6"/>
                <w:szCs w:val="6"/>
                <w:color w:val="auto"/>
              </w:rPr>
            </w:pPr>
          </w:p>
        </w:tc>
        <w:tc>
          <w:tcPr>
            <w:tcW w:w="760" w:type="dxa"/>
            <w:vAlign w:val="bottom"/>
            <w:gridSpan w:val="2"/>
          </w:tcPr>
          <w:p>
            <w:pPr>
              <w:jc w:val="center"/>
              <w:ind w:right="200"/>
              <w:spacing w:after="0" w:line="75" w:lineRule="exact"/>
              <w:rPr>
                <w:sz w:val="20"/>
                <w:szCs w:val="20"/>
                <w:color w:val="auto"/>
              </w:rPr>
            </w:pPr>
            <w:r>
              <w:rPr>
                <w:rFonts w:ascii="Times New Roman" w:cs="Times New Roman" w:eastAsia="Times New Roman" w:hAnsi="Times New Roman"/>
                <w:sz w:val="8"/>
                <w:szCs w:val="8"/>
                <w:b w:val="1"/>
                <w:bCs w:val="1"/>
                <w:color w:val="auto"/>
                <w:w w:val="97"/>
              </w:rPr>
              <w:t>Consolidated</w:t>
            </w: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75"/>
        </w:trPr>
        <w:tc>
          <w:tcPr>
            <w:tcW w:w="1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8"/>
                <w:szCs w:val="8"/>
                <w:b w:val="1"/>
                <w:bCs w:val="1"/>
                <w:color w:val="auto"/>
                <w:w w:val="93"/>
              </w:rPr>
              <w:t>Interests</w:t>
            </w:r>
          </w:p>
        </w:tc>
        <w:tc>
          <w:tcPr>
            <w:tcW w:w="720" w:type="dxa"/>
            <w:vAlign w:val="bottom"/>
            <w:tcBorders>
              <w:top w:val="single" w:sz="8" w:color="auto"/>
            </w:tcBorders>
            <w:gridSpan w:val="2"/>
          </w:tcPr>
          <w:p>
            <w:pPr>
              <w:ind w:left="220"/>
              <w:spacing w:after="0" w:line="75" w:lineRule="exact"/>
              <w:rPr>
                <w:sz w:val="20"/>
                <w:szCs w:val="20"/>
                <w:color w:val="auto"/>
              </w:rPr>
            </w:pPr>
            <w:r>
              <w:rPr>
                <w:rFonts w:ascii="Times New Roman" w:cs="Times New Roman" w:eastAsia="Times New Roman" w:hAnsi="Times New Roman"/>
                <w:sz w:val="8"/>
                <w:szCs w:val="8"/>
                <w:b w:val="1"/>
                <w:bCs w:val="1"/>
                <w:color w:val="auto"/>
              </w:rPr>
              <w:t>Units</w:t>
            </w: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jc w:val="right"/>
              <w:ind w:right="102"/>
              <w:spacing w:after="0" w:line="75" w:lineRule="exact"/>
              <w:rPr>
                <w:sz w:val="20"/>
                <w:szCs w:val="20"/>
                <w:color w:val="auto"/>
              </w:rPr>
            </w:pPr>
            <w:r>
              <w:rPr>
                <w:rFonts w:ascii="Times New Roman" w:cs="Times New Roman" w:eastAsia="Times New Roman" w:hAnsi="Times New Roman"/>
                <w:sz w:val="8"/>
                <w:szCs w:val="8"/>
                <w:b w:val="1"/>
                <w:bCs w:val="1"/>
                <w:color w:val="auto"/>
              </w:rPr>
              <w:t>Amount</w:t>
            </w:r>
          </w:p>
        </w:tc>
        <w:tc>
          <w:tcPr>
            <w:tcW w:w="100" w:type="dxa"/>
            <w:vAlign w:val="bottom"/>
          </w:tcPr>
          <w:p>
            <w:pPr>
              <w:spacing w:after="0"/>
              <w:rPr>
                <w:sz w:val="6"/>
                <w:szCs w:val="6"/>
                <w:color w:val="auto"/>
              </w:rPr>
            </w:pPr>
          </w:p>
        </w:tc>
        <w:tc>
          <w:tcPr>
            <w:tcW w:w="740" w:type="dxa"/>
            <w:vAlign w:val="bottom"/>
            <w:tcBorders>
              <w:top w:val="single" w:sz="8" w:color="auto"/>
            </w:tcBorders>
            <w:gridSpan w:val="2"/>
          </w:tcPr>
          <w:p>
            <w:pPr>
              <w:ind w:left="240"/>
              <w:spacing w:after="0" w:line="75" w:lineRule="exact"/>
              <w:rPr>
                <w:sz w:val="20"/>
                <w:szCs w:val="20"/>
                <w:color w:val="auto"/>
              </w:rPr>
            </w:pPr>
            <w:r>
              <w:rPr>
                <w:rFonts w:ascii="Times New Roman" w:cs="Times New Roman" w:eastAsia="Times New Roman" w:hAnsi="Times New Roman"/>
                <w:sz w:val="8"/>
                <w:szCs w:val="8"/>
                <w:b w:val="1"/>
                <w:bCs w:val="1"/>
                <w:color w:val="auto"/>
              </w:rPr>
              <w:t>Units</w:t>
            </w: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jc w:val="right"/>
              <w:ind w:right="122"/>
              <w:spacing w:after="0" w:line="75" w:lineRule="exact"/>
              <w:rPr>
                <w:sz w:val="20"/>
                <w:szCs w:val="20"/>
                <w:color w:val="auto"/>
              </w:rPr>
            </w:pPr>
            <w:r>
              <w:rPr>
                <w:rFonts w:ascii="Times New Roman" w:cs="Times New Roman" w:eastAsia="Times New Roman" w:hAnsi="Times New Roman"/>
                <w:sz w:val="8"/>
                <w:szCs w:val="8"/>
                <w:b w:val="1"/>
                <w:bCs w:val="1"/>
                <w:color w:val="auto"/>
              </w:rPr>
              <w:t>Amount</w:t>
            </w:r>
          </w:p>
        </w:tc>
        <w:tc>
          <w:tcPr>
            <w:tcW w:w="100" w:type="dxa"/>
            <w:vAlign w:val="bottom"/>
          </w:tcPr>
          <w:p>
            <w:pPr>
              <w:spacing w:after="0"/>
              <w:rPr>
                <w:sz w:val="6"/>
                <w:szCs w:val="6"/>
                <w:color w:val="auto"/>
              </w:rPr>
            </w:pPr>
          </w:p>
        </w:tc>
        <w:tc>
          <w:tcPr>
            <w:tcW w:w="680" w:type="dxa"/>
            <w:vAlign w:val="bottom"/>
            <w:tcBorders>
              <w:top w:val="single" w:sz="8" w:color="auto"/>
            </w:tcBorders>
            <w:gridSpan w:val="2"/>
          </w:tcPr>
          <w:p>
            <w:pPr>
              <w:jc w:val="right"/>
              <w:ind w:right="300"/>
              <w:spacing w:after="0" w:line="75" w:lineRule="exact"/>
              <w:rPr>
                <w:sz w:val="20"/>
                <w:szCs w:val="20"/>
                <w:color w:val="auto"/>
              </w:rPr>
            </w:pPr>
            <w:r>
              <w:rPr>
                <w:rFonts w:ascii="Times New Roman" w:cs="Times New Roman" w:eastAsia="Times New Roman" w:hAnsi="Times New Roman"/>
                <w:sz w:val="8"/>
                <w:szCs w:val="8"/>
                <w:b w:val="1"/>
                <w:bCs w:val="1"/>
                <w:color w:val="auto"/>
              </w:rPr>
              <w:t>Units</w:t>
            </w: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jc w:val="right"/>
              <w:ind w:right="82"/>
              <w:spacing w:after="0" w:line="75" w:lineRule="exact"/>
              <w:rPr>
                <w:sz w:val="20"/>
                <w:szCs w:val="20"/>
                <w:color w:val="auto"/>
              </w:rPr>
            </w:pPr>
            <w:r>
              <w:rPr>
                <w:rFonts w:ascii="Times New Roman" w:cs="Times New Roman" w:eastAsia="Times New Roman" w:hAnsi="Times New Roman"/>
                <w:sz w:val="8"/>
                <w:szCs w:val="8"/>
                <w:b w:val="1"/>
                <w:bCs w:val="1"/>
                <w:color w:val="auto"/>
                <w:w w:val="99"/>
              </w:rPr>
              <w:t>Amount</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tcPr>
          <w:p>
            <w:pPr>
              <w:jc w:val="center"/>
              <w:ind w:right="160"/>
              <w:spacing w:after="0" w:line="75" w:lineRule="exact"/>
              <w:rPr>
                <w:sz w:val="20"/>
                <w:szCs w:val="20"/>
                <w:color w:val="auto"/>
              </w:rPr>
            </w:pPr>
            <w:r>
              <w:rPr>
                <w:rFonts w:ascii="Times New Roman" w:cs="Times New Roman" w:eastAsia="Times New Roman" w:hAnsi="Times New Roman"/>
                <w:sz w:val="8"/>
                <w:szCs w:val="8"/>
                <w:b w:val="1"/>
                <w:bCs w:val="1"/>
                <w:color w:val="auto"/>
                <w:w w:val="95"/>
              </w:rPr>
              <w:t>Income (Loss)</w:t>
            </w:r>
          </w:p>
        </w:tc>
        <w:tc>
          <w:tcPr>
            <w:tcW w:w="80" w:type="dxa"/>
            <w:vAlign w:val="bottom"/>
          </w:tcPr>
          <w:p>
            <w:pPr>
              <w:spacing w:after="0"/>
              <w:rPr>
                <w:sz w:val="6"/>
                <w:szCs w:val="6"/>
                <w:color w:val="auto"/>
              </w:rPr>
            </w:pPr>
          </w:p>
        </w:tc>
        <w:tc>
          <w:tcPr>
            <w:tcW w:w="760" w:type="dxa"/>
            <w:vAlign w:val="bottom"/>
            <w:gridSpan w:val="2"/>
          </w:tcPr>
          <w:p>
            <w:pPr>
              <w:jc w:val="center"/>
              <w:ind w:right="200"/>
              <w:spacing w:after="0" w:line="75" w:lineRule="exact"/>
              <w:rPr>
                <w:sz w:val="20"/>
                <w:szCs w:val="20"/>
                <w:color w:val="auto"/>
              </w:rPr>
            </w:pPr>
            <w:r>
              <w:rPr>
                <w:rFonts w:ascii="Times New Roman" w:cs="Times New Roman" w:eastAsia="Times New Roman" w:hAnsi="Times New Roman"/>
                <w:sz w:val="8"/>
                <w:szCs w:val="8"/>
                <w:b w:val="1"/>
                <w:bCs w:val="1"/>
                <w:color w:val="auto"/>
                <w:w w:val="95"/>
              </w:rPr>
              <w:t>Joint Ventures</w:t>
            </w:r>
          </w:p>
        </w:tc>
        <w:tc>
          <w:tcPr>
            <w:tcW w:w="80" w:type="dxa"/>
            <w:vAlign w:val="bottom"/>
          </w:tcPr>
          <w:p>
            <w:pPr>
              <w:spacing w:after="0"/>
              <w:rPr>
                <w:sz w:val="6"/>
                <w:szCs w:val="6"/>
                <w:color w:val="auto"/>
              </w:rPr>
            </w:pPr>
          </w:p>
        </w:tc>
        <w:tc>
          <w:tcPr>
            <w:tcW w:w="580" w:type="dxa"/>
            <w:vAlign w:val="bottom"/>
          </w:tcPr>
          <w:p>
            <w:pPr>
              <w:jc w:val="right"/>
              <w:ind w:right="82"/>
              <w:spacing w:after="0" w:line="75" w:lineRule="exact"/>
              <w:rPr>
                <w:sz w:val="20"/>
                <w:szCs w:val="20"/>
                <w:color w:val="auto"/>
              </w:rPr>
            </w:pPr>
            <w:r>
              <w:rPr>
                <w:rFonts w:ascii="Times New Roman" w:cs="Times New Roman" w:eastAsia="Times New Roman" w:hAnsi="Times New Roman"/>
                <w:sz w:val="8"/>
                <w:szCs w:val="8"/>
                <w:b w:val="1"/>
                <w:bCs w:val="1"/>
                <w:color w:val="auto"/>
                <w:w w:val="96"/>
              </w:rPr>
              <w:t>Total Capital</w:t>
            </w:r>
          </w:p>
        </w:tc>
      </w:tr>
      <w:tr>
        <w:trPr>
          <w:trHeight w:val="75"/>
        </w:trPr>
        <w:tc>
          <w:tcPr>
            <w:tcW w:w="1740" w:type="dxa"/>
            <w:vAlign w:val="bottom"/>
            <w:tcBorders>
              <w:top w:val="single" w:sz="8" w:color="CCEEFF"/>
            </w:tcBorders>
            <w:shd w:val="clear" w:color="auto" w:fill="CCEEFF"/>
          </w:tcPr>
          <w:p>
            <w:pPr>
              <w:spacing w:after="0" w:line="75" w:lineRule="exact"/>
              <w:rPr>
                <w:sz w:val="20"/>
                <w:szCs w:val="20"/>
                <w:color w:val="auto"/>
              </w:rPr>
            </w:pPr>
            <w:r>
              <w:rPr>
                <w:rFonts w:ascii="Times New Roman" w:cs="Times New Roman" w:eastAsia="Times New Roman" w:hAnsi="Times New Roman"/>
                <w:sz w:val="8"/>
                <w:szCs w:val="8"/>
                <w:b w:val="1"/>
                <w:bCs w:val="1"/>
                <w:color w:val="auto"/>
              </w:rPr>
              <w:t>Balance as of December 31, 2018</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15,832</w:t>
            </w:r>
          </w:p>
        </w:tc>
        <w:tc>
          <w:tcPr>
            <w:tcW w:w="10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50,650,000</w:t>
            </w: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1,249,560</w:t>
            </w:r>
          </w:p>
        </w:tc>
        <w:tc>
          <w:tcPr>
            <w:tcW w:w="1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206,425,656</w:t>
            </w: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8,724,731</w:t>
            </w:r>
          </w:p>
        </w:tc>
        <w:tc>
          <w:tcPr>
            <w:tcW w:w="10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10,580,884</w:t>
            </w: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911,256</w:t>
            </w: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6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(120,393)</w:t>
            </w: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93,056</w:t>
            </w: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tcBorders>
              <w:top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10,858,210</w:t>
            </w:r>
          </w:p>
        </w:tc>
      </w:tr>
      <w:tr>
        <w:trPr>
          <w:trHeight w:val="76"/>
        </w:trPr>
        <w:tc>
          <w:tcPr>
            <w:tcW w:w="17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Conversion of limited partner common units to</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95"/>
        </w:trPr>
        <w:tc>
          <w:tcPr>
            <w:tcW w:w="1740" w:type="dxa"/>
            <w:vAlign w:val="bottom"/>
          </w:tcPr>
          <w:p>
            <w:pPr>
              <w:spacing w:after="0"/>
              <w:rPr>
                <w:sz w:val="20"/>
                <w:szCs w:val="20"/>
                <w:color w:val="auto"/>
              </w:rPr>
            </w:pPr>
            <w:r>
              <w:rPr>
                <w:rFonts w:ascii="Times New Roman" w:cs="Times New Roman" w:eastAsia="Times New Roman" w:hAnsi="Times New Roman"/>
                <w:sz w:val="8"/>
                <w:szCs w:val="8"/>
                <w:color w:val="auto"/>
              </w:rPr>
              <w:t>general partner common units</w:t>
            </w:r>
          </w:p>
        </w:tc>
        <w:tc>
          <w:tcPr>
            <w:tcW w:w="60" w:type="dxa"/>
            <w:vAlign w:val="bottom"/>
          </w:tcPr>
          <w:p>
            <w:pPr>
              <w:spacing w:after="0"/>
              <w:rPr>
                <w:sz w:val="8"/>
                <w:szCs w:val="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2,154,460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190,514</w:t>
            </w:r>
          </w:p>
        </w:tc>
        <w:tc>
          <w:tcPr>
            <w:tcW w:w="100" w:type="dxa"/>
            <w:vAlign w:val="bottom"/>
          </w:tcPr>
          <w:p>
            <w:pPr>
              <w:spacing w:after="0"/>
              <w:rPr>
                <w:sz w:val="8"/>
                <w:szCs w:val="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(2,154,460)</w:t>
            </w:r>
          </w:p>
        </w:tc>
        <w:tc>
          <w:tcPr>
            <w:tcW w:w="80" w:type="dxa"/>
            <w:vAlign w:val="bottom"/>
          </w:tcPr>
          <w:p>
            <w:pPr>
              <w:spacing w:after="0"/>
              <w:rPr>
                <w:sz w:val="8"/>
                <w:szCs w:val="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(190,514)</w:t>
            </w:r>
          </w:p>
        </w:tc>
        <w:tc>
          <w:tcPr>
            <w:tcW w:w="60" w:type="dxa"/>
            <w:vAlign w:val="bottom"/>
          </w:tcPr>
          <w:p>
            <w:pPr>
              <w:spacing w:after="0"/>
              <w:rPr>
                <w:sz w:val="8"/>
                <w:szCs w:val="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w:t>
            </w:r>
          </w:p>
        </w:tc>
      </w:tr>
      <w:tr>
        <w:trPr>
          <w:trHeight w:val="76"/>
        </w:trPr>
        <w:tc>
          <w:tcPr>
            <w:tcW w:w="1740" w:type="dxa"/>
            <w:vAlign w:val="bottom"/>
            <w:shd w:val="clear" w:color="auto" w:fill="CCEEFF"/>
          </w:tcPr>
          <w:p>
            <w:pPr>
              <w:spacing w:after="0" w:line="76" w:lineRule="exact"/>
              <w:rPr>
                <w:sz w:val="20"/>
                <w:szCs w:val="20"/>
                <w:color w:val="auto"/>
              </w:rPr>
            </w:pPr>
            <w:r>
              <w:rPr>
                <w:rFonts w:ascii="Times New Roman" w:cs="Times New Roman" w:eastAsia="Times New Roman" w:hAnsi="Times New Roman"/>
                <w:sz w:val="8"/>
                <w:szCs w:val="8"/>
                <w:color w:val="auto"/>
              </w:rPr>
              <w:t>Issuance of unvested restricted common units, net of</w:t>
            </w:r>
          </w:p>
        </w:tc>
        <w:tc>
          <w:tcPr>
            <w:tcW w:w="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95"/>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forfeitures</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256,868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w:t>
            </w:r>
          </w:p>
        </w:tc>
      </w:tr>
      <w:tr>
        <w:trPr>
          <w:trHeight w:val="85"/>
        </w:trPr>
        <w:tc>
          <w:tcPr>
            <w:tcW w:w="174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Common unit offering costs</w:t>
            </w:r>
          </w:p>
        </w:tc>
        <w:tc>
          <w:tcPr>
            <w:tcW w:w="60" w:type="dxa"/>
            <w:vAlign w:val="bottom"/>
          </w:tcPr>
          <w:p>
            <w:pPr>
              <w:spacing w:after="0"/>
              <w:rPr>
                <w:sz w:val="7"/>
                <w:szCs w:val="7"/>
                <w:color w:val="auto"/>
              </w:rPr>
            </w:pPr>
          </w:p>
        </w:tc>
        <w:tc>
          <w:tcPr>
            <w:tcW w:w="74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6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(2,530)</w:t>
            </w:r>
          </w:p>
        </w:tc>
        <w:tc>
          <w:tcPr>
            <w:tcW w:w="68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78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76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(2,530)</w:t>
            </w:r>
          </w:p>
        </w:tc>
      </w:tr>
      <w:tr>
        <w:trPr>
          <w:trHeight w:val="85"/>
        </w:trPr>
        <w:tc>
          <w:tcPr>
            <w:tcW w:w="174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Issuance of common units, net of forfeitures</w:t>
            </w:r>
          </w:p>
        </w:tc>
        <w:tc>
          <w:tcPr>
            <w:tcW w:w="6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416,731</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76"/>
        </w:trPr>
        <w:tc>
          <w:tcPr>
            <w:tcW w:w="17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Units issued in connection with employee stock</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95"/>
        </w:trPr>
        <w:tc>
          <w:tcPr>
            <w:tcW w:w="1740" w:type="dxa"/>
            <w:vAlign w:val="bottom"/>
          </w:tcPr>
          <w:p>
            <w:pPr>
              <w:spacing w:after="0"/>
              <w:rPr>
                <w:sz w:val="20"/>
                <w:szCs w:val="20"/>
                <w:color w:val="auto"/>
              </w:rPr>
            </w:pPr>
            <w:r>
              <w:rPr>
                <w:rFonts w:ascii="Times New Roman" w:cs="Times New Roman" w:eastAsia="Times New Roman" w:hAnsi="Times New Roman"/>
                <w:sz w:val="8"/>
                <w:szCs w:val="8"/>
                <w:color w:val="auto"/>
              </w:rPr>
              <w:t>purchase plan</w:t>
            </w:r>
          </w:p>
        </w:tc>
        <w:tc>
          <w:tcPr>
            <w:tcW w:w="60" w:type="dxa"/>
            <w:vAlign w:val="bottom"/>
          </w:tcPr>
          <w:p>
            <w:pPr>
              <w:spacing w:after="0"/>
              <w:rPr>
                <w:sz w:val="8"/>
                <w:szCs w:val="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63,774</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5,462</w:t>
            </w:r>
          </w:p>
        </w:tc>
        <w:tc>
          <w:tcPr>
            <w:tcW w:w="100" w:type="dxa"/>
            <w:vAlign w:val="bottom"/>
          </w:tcPr>
          <w:p>
            <w:pPr>
              <w:spacing w:after="0"/>
              <w:rPr>
                <w:sz w:val="8"/>
                <w:szCs w:val="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5,462</w:t>
            </w:r>
          </w:p>
        </w:tc>
      </w:tr>
      <w:tr>
        <w:trPr>
          <w:trHeight w:val="76"/>
        </w:trPr>
        <w:tc>
          <w:tcPr>
            <w:tcW w:w="1740" w:type="dxa"/>
            <w:vAlign w:val="bottom"/>
            <w:shd w:val="clear" w:color="auto" w:fill="CCEEFF"/>
          </w:tcPr>
          <w:p>
            <w:pPr>
              <w:spacing w:after="0" w:line="76" w:lineRule="exact"/>
              <w:rPr>
                <w:sz w:val="20"/>
                <w:szCs w:val="20"/>
                <w:color w:val="auto"/>
              </w:rPr>
            </w:pPr>
            <w:r>
              <w:rPr>
                <w:rFonts w:ascii="Times New Roman" w:cs="Times New Roman" w:eastAsia="Times New Roman" w:hAnsi="Times New Roman"/>
                <w:sz w:val="8"/>
                <w:szCs w:val="8"/>
                <w:color w:val="auto"/>
              </w:rPr>
              <w:t>Issuance of series K preferred units, net of offering</w:t>
            </w:r>
          </w:p>
        </w:tc>
        <w:tc>
          <w:tcPr>
            <w:tcW w:w="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95"/>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costs</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8,400,000</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203,264</w:t>
            </w: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rPr>
              <w:t>203,264</w:t>
            </w:r>
          </w:p>
        </w:tc>
      </w:tr>
      <w:tr>
        <w:trPr>
          <w:trHeight w:val="76"/>
        </w:trPr>
        <w:tc>
          <w:tcPr>
            <w:tcW w:w="17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Issuance of series L preferred units, net of offering</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95"/>
        </w:trPr>
        <w:tc>
          <w:tcPr>
            <w:tcW w:w="1740" w:type="dxa"/>
            <w:vAlign w:val="bottom"/>
          </w:tcPr>
          <w:p>
            <w:pPr>
              <w:spacing w:after="0"/>
              <w:rPr>
                <w:sz w:val="20"/>
                <w:szCs w:val="20"/>
                <w:color w:val="auto"/>
              </w:rPr>
            </w:pPr>
            <w:r>
              <w:rPr>
                <w:rFonts w:ascii="Times New Roman" w:cs="Times New Roman" w:eastAsia="Times New Roman" w:hAnsi="Times New Roman"/>
                <w:sz w:val="8"/>
                <w:szCs w:val="8"/>
                <w:color w:val="auto"/>
              </w:rPr>
              <w:t>costs</w:t>
            </w:r>
          </w:p>
        </w:tc>
        <w:tc>
          <w:tcPr>
            <w:tcW w:w="60" w:type="dxa"/>
            <w:vAlign w:val="bottom"/>
          </w:tcPr>
          <w:p>
            <w:pPr>
              <w:spacing w:after="0"/>
              <w:rPr>
                <w:sz w:val="8"/>
                <w:szCs w:val="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13,800,000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334,886</w:t>
            </w:r>
          </w:p>
        </w:tc>
        <w:tc>
          <w:tcPr>
            <w:tcW w:w="100" w:type="dxa"/>
            <w:vAlign w:val="bottom"/>
          </w:tcPr>
          <w:p>
            <w:pPr>
              <w:spacing w:after="0"/>
              <w:rPr>
                <w:sz w:val="8"/>
                <w:szCs w:val="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334,886</w:t>
            </w:r>
          </w:p>
        </w:tc>
      </w:tr>
      <w:tr>
        <w:trPr>
          <w:trHeight w:val="85"/>
        </w:trPr>
        <w:tc>
          <w:tcPr>
            <w:tcW w:w="174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Redemption of series H preferred units</w:t>
            </w:r>
          </w:p>
        </w:tc>
        <w:tc>
          <w:tcPr>
            <w:tcW w:w="6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(14,600,000)</w:t>
            </w:r>
          </w:p>
        </w:tc>
        <w:tc>
          <w:tcPr>
            <w:tcW w:w="1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(353,290)</w:t>
            </w:r>
          </w:p>
        </w:tc>
        <w:tc>
          <w:tcPr>
            <w:tcW w:w="74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(11,760)</w:t>
            </w:r>
          </w:p>
        </w:tc>
        <w:tc>
          <w:tcPr>
            <w:tcW w:w="6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(365,050)</w:t>
            </w:r>
          </w:p>
        </w:tc>
      </w:tr>
      <w:tr>
        <w:trPr>
          <w:trHeight w:val="76"/>
        </w:trPr>
        <w:tc>
          <w:tcPr>
            <w:tcW w:w="17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Amortization of unearned compensation on share-</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95"/>
        </w:trPr>
        <w:tc>
          <w:tcPr>
            <w:tcW w:w="1740" w:type="dxa"/>
            <w:vAlign w:val="bottom"/>
          </w:tcPr>
          <w:p>
            <w:pPr>
              <w:spacing w:after="0"/>
              <w:rPr>
                <w:sz w:val="20"/>
                <w:szCs w:val="20"/>
                <w:color w:val="auto"/>
              </w:rPr>
            </w:pPr>
            <w:r>
              <w:rPr>
                <w:rFonts w:ascii="Times New Roman" w:cs="Times New Roman" w:eastAsia="Times New Roman" w:hAnsi="Times New Roman"/>
                <w:sz w:val="8"/>
                <w:szCs w:val="8"/>
                <w:color w:val="auto"/>
              </w:rPr>
              <w:t>based awards</w:t>
            </w:r>
          </w:p>
        </w:tc>
        <w:tc>
          <w:tcPr>
            <w:tcW w:w="60" w:type="dxa"/>
            <w:vAlign w:val="bottom"/>
          </w:tcPr>
          <w:p>
            <w:pPr>
              <w:spacing w:after="0"/>
              <w:rPr>
                <w:sz w:val="8"/>
                <w:szCs w:val="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38,662</w:t>
            </w:r>
          </w:p>
        </w:tc>
        <w:tc>
          <w:tcPr>
            <w:tcW w:w="100" w:type="dxa"/>
            <w:vAlign w:val="bottom"/>
          </w:tcPr>
          <w:p>
            <w:pPr>
              <w:spacing w:after="0"/>
              <w:rPr>
                <w:sz w:val="8"/>
                <w:szCs w:val="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38,662</w:t>
            </w:r>
          </w:p>
        </w:tc>
      </w:tr>
      <w:tr>
        <w:trPr>
          <w:trHeight w:val="85"/>
        </w:trPr>
        <w:tc>
          <w:tcPr>
            <w:tcW w:w="174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Reclassification of vested share-based awards</w:t>
            </w:r>
          </w:p>
        </w:tc>
        <w:tc>
          <w:tcPr>
            <w:tcW w:w="6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(8,458)</w:t>
            </w:r>
          </w:p>
        </w:tc>
        <w:tc>
          <w:tcPr>
            <w:tcW w:w="6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8,458</w:t>
            </w: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w:t>
            </w:r>
          </w:p>
        </w:tc>
      </w:tr>
      <w:tr>
        <w:trPr>
          <w:trHeight w:val="85"/>
        </w:trPr>
        <w:tc>
          <w:tcPr>
            <w:tcW w:w="174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Adjustment to redeemable noncontrolling interests</w:t>
            </w:r>
          </w:p>
        </w:tc>
        <w:tc>
          <w:tcPr>
            <w:tcW w:w="60" w:type="dxa"/>
            <w:vAlign w:val="bottom"/>
          </w:tcPr>
          <w:p>
            <w:pPr>
              <w:spacing w:after="0"/>
              <w:rPr>
                <w:sz w:val="7"/>
                <w:szCs w:val="7"/>
                <w:color w:val="auto"/>
              </w:rPr>
            </w:pPr>
          </w:p>
        </w:tc>
        <w:tc>
          <w:tcPr>
            <w:tcW w:w="64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25,937</w:t>
            </w:r>
          </w:p>
        </w:tc>
        <w:tc>
          <w:tcPr>
            <w:tcW w:w="100" w:type="dxa"/>
            <w:vAlign w:val="bottom"/>
          </w:tcPr>
          <w:p>
            <w:pPr>
              <w:spacing w:after="0"/>
              <w:rPr>
                <w:sz w:val="7"/>
                <w:szCs w:val="7"/>
                <w:color w:val="auto"/>
              </w:rPr>
            </w:pPr>
          </w:p>
        </w:tc>
        <w:tc>
          <w:tcPr>
            <w:tcW w:w="72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6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(2,059)</w:t>
            </w:r>
          </w:p>
        </w:tc>
        <w:tc>
          <w:tcPr>
            <w:tcW w:w="68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780" w:type="dxa"/>
            <w:vAlign w:val="bottom"/>
            <w:gridSpan w:val="2"/>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76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(23,878)</w:t>
            </w:r>
          </w:p>
        </w:tc>
        <w:tc>
          <w:tcPr>
            <w:tcW w:w="80" w:type="dxa"/>
            <w:vAlign w:val="bottom"/>
          </w:tcPr>
          <w:p>
            <w:pPr>
              <w:spacing w:after="0"/>
              <w:rPr>
                <w:sz w:val="7"/>
                <w:szCs w:val="7"/>
                <w:color w:val="auto"/>
              </w:rPr>
            </w:pPr>
          </w:p>
        </w:tc>
        <w:tc>
          <w:tcPr>
            <w:tcW w:w="580" w:type="dxa"/>
            <w:vAlign w:val="bottom"/>
          </w:tcPr>
          <w:p>
            <w:pPr>
              <w:jc w:val="right"/>
              <w:spacing w:after="0" w:line="86" w:lineRule="exact"/>
              <w:rPr>
                <w:sz w:val="20"/>
                <w:szCs w:val="20"/>
                <w:color w:val="auto"/>
              </w:rPr>
            </w:pPr>
            <w:r>
              <w:rPr>
                <w:rFonts w:ascii="Times New Roman" w:cs="Times New Roman" w:eastAsia="Times New Roman" w:hAnsi="Times New Roman"/>
                <w:sz w:val="8"/>
                <w:szCs w:val="8"/>
                <w:color w:val="auto"/>
              </w:rPr>
              <w:t>(25,937)</w:t>
            </w:r>
          </w:p>
        </w:tc>
      </w:tr>
      <w:tr>
        <w:trPr>
          <w:trHeight w:val="85"/>
        </w:trPr>
        <w:tc>
          <w:tcPr>
            <w:tcW w:w="174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Distributions</w:t>
            </w:r>
          </w:p>
        </w:tc>
        <w:tc>
          <w:tcPr>
            <w:tcW w:w="6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(676)</w:t>
            </w:r>
          </w:p>
        </w:tc>
        <w:tc>
          <w:tcPr>
            <w:tcW w:w="72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(74,990)</w:t>
            </w:r>
          </w:p>
        </w:tc>
        <w:tc>
          <w:tcPr>
            <w:tcW w:w="74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0"/>
              <w:spacing w:after="0" w:line="86" w:lineRule="exact"/>
              <w:rPr>
                <w:sz w:val="20"/>
                <w:szCs w:val="20"/>
                <w:color w:val="auto"/>
              </w:rPr>
            </w:pPr>
            <w:r>
              <w:rPr>
                <w:rFonts w:ascii="Times New Roman" w:cs="Times New Roman" w:eastAsia="Times New Roman" w:hAnsi="Times New Roman"/>
                <w:sz w:val="8"/>
                <w:szCs w:val="8"/>
                <w:color w:val="auto"/>
              </w:rPr>
              <w:t>(900,201)</w:t>
            </w:r>
          </w:p>
        </w:tc>
        <w:tc>
          <w:tcPr>
            <w:tcW w:w="6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(38,278)</w:t>
            </w:r>
          </w:p>
        </w:tc>
        <w:tc>
          <w:tcPr>
            <w:tcW w:w="6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(1,013,469)</w:t>
            </w:r>
          </w:p>
        </w:tc>
      </w:tr>
      <w:tr>
        <w:trPr>
          <w:trHeight w:val="76"/>
        </w:trPr>
        <w:tc>
          <w:tcPr>
            <w:tcW w:w="17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Contributions from noncontrolling interests in</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95"/>
        </w:trPr>
        <w:tc>
          <w:tcPr>
            <w:tcW w:w="1740" w:type="dxa"/>
            <w:vAlign w:val="bottom"/>
          </w:tcPr>
          <w:p>
            <w:pPr>
              <w:spacing w:after="0"/>
              <w:rPr>
                <w:sz w:val="20"/>
                <w:szCs w:val="20"/>
                <w:color w:val="auto"/>
              </w:rPr>
            </w:pPr>
            <w:r>
              <w:rPr>
                <w:rFonts w:ascii="Times New Roman" w:cs="Times New Roman" w:eastAsia="Times New Roman" w:hAnsi="Times New Roman"/>
                <w:sz w:val="8"/>
                <w:szCs w:val="8"/>
                <w:color w:val="auto"/>
              </w:rPr>
              <w:t>consolidated joint ventures, net of distributions</w:t>
            </w:r>
          </w:p>
        </w:tc>
        <w:tc>
          <w:tcPr>
            <w:tcW w:w="60" w:type="dxa"/>
            <w:vAlign w:val="bottom"/>
          </w:tcPr>
          <w:p>
            <w:pPr>
              <w:spacing w:after="0"/>
              <w:rPr>
                <w:sz w:val="8"/>
                <w:szCs w:val="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63,173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63,173</w:t>
            </w:r>
          </w:p>
        </w:tc>
      </w:tr>
      <w:tr>
        <w:trPr>
          <w:trHeight w:val="85"/>
        </w:trPr>
        <w:tc>
          <w:tcPr>
            <w:tcW w:w="174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Deconsolidation of consolidated joint venture</w:t>
            </w:r>
          </w:p>
        </w:tc>
        <w:tc>
          <w:tcPr>
            <w:tcW w:w="6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(110,086)</w:t>
            </w: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(110,086)</w:t>
            </w:r>
          </w:p>
        </w:tc>
      </w:tr>
      <w:tr>
        <w:trPr>
          <w:trHeight w:val="76"/>
        </w:trPr>
        <w:tc>
          <w:tcPr>
            <w:tcW w:w="17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Cumulative effect adjustment from adoption of new</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95"/>
        </w:trPr>
        <w:tc>
          <w:tcPr>
            <w:tcW w:w="1740" w:type="dxa"/>
            <w:vAlign w:val="bottom"/>
          </w:tcPr>
          <w:p>
            <w:pPr>
              <w:spacing w:after="0"/>
              <w:rPr>
                <w:sz w:val="20"/>
                <w:szCs w:val="20"/>
                <w:color w:val="auto"/>
              </w:rPr>
            </w:pPr>
            <w:r>
              <w:rPr>
                <w:rFonts w:ascii="Times New Roman" w:cs="Times New Roman" w:eastAsia="Times New Roman" w:hAnsi="Times New Roman"/>
                <w:sz w:val="8"/>
                <w:szCs w:val="8"/>
                <w:color w:val="auto"/>
              </w:rPr>
              <w:t>accounting standard</w:t>
            </w:r>
          </w:p>
        </w:tc>
        <w:tc>
          <w:tcPr>
            <w:tcW w:w="60" w:type="dxa"/>
            <w:vAlign w:val="bottom"/>
          </w:tcPr>
          <w:p>
            <w:pPr>
              <w:spacing w:after="0"/>
              <w:rPr>
                <w:sz w:val="8"/>
                <w:szCs w:val="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(6,318)</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(6,318)</w:t>
            </w:r>
          </w:p>
        </w:tc>
      </w:tr>
      <w:tr>
        <w:trPr>
          <w:trHeight w:val="85"/>
        </w:trPr>
        <w:tc>
          <w:tcPr>
            <w:tcW w:w="174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Net income</w:t>
            </w: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372</w:t>
            </w:r>
          </w:p>
        </w:tc>
        <w:tc>
          <w:tcPr>
            <w:tcW w:w="10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74,990</w:t>
            </w:r>
          </w:p>
        </w:tc>
        <w:tc>
          <w:tcPr>
            <w:tcW w:w="10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504,771</w:t>
            </w:r>
          </w:p>
        </w:tc>
        <w:tc>
          <w:tcPr>
            <w:tcW w:w="10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Times New Roman" w:cs="Times New Roman" w:eastAsia="Times New Roman" w:hAnsi="Times New Roman"/>
                <w:sz w:val="8"/>
                <w:szCs w:val="8"/>
                <w:color w:val="auto"/>
              </w:rPr>
              <w:t>20,728</w:t>
            </w: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40"/>
              <w:spacing w:after="0" w:line="8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20"/>
              <w:spacing w:after="0" w:line="86" w:lineRule="exact"/>
              <w:rPr>
                <w:sz w:val="20"/>
                <w:szCs w:val="20"/>
                <w:color w:val="auto"/>
              </w:rPr>
            </w:pPr>
            <w:r>
              <w:rPr>
                <w:rFonts w:ascii="Times New Roman" w:cs="Times New Roman" w:eastAsia="Times New Roman" w:hAnsi="Times New Roman"/>
                <w:sz w:val="8"/>
                <w:szCs w:val="8"/>
                <w:color w:val="auto"/>
              </w:rPr>
              <w:t>(1,640)</w:t>
            </w: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ind w:right="2"/>
              <w:spacing w:after="0" w:line="86" w:lineRule="exact"/>
              <w:rPr>
                <w:sz w:val="20"/>
                <w:szCs w:val="20"/>
                <w:color w:val="auto"/>
              </w:rPr>
            </w:pPr>
            <w:r>
              <w:rPr>
                <w:rFonts w:ascii="Times New Roman" w:cs="Times New Roman" w:eastAsia="Times New Roman" w:hAnsi="Times New Roman"/>
                <w:sz w:val="8"/>
                <w:szCs w:val="8"/>
                <w:color w:val="auto"/>
              </w:rPr>
              <w:t>598,849</w:t>
            </w:r>
          </w:p>
        </w:tc>
      </w:tr>
      <w:tr>
        <w:trPr>
          <w:trHeight w:val="76"/>
        </w:trPr>
        <w:tc>
          <w:tcPr>
            <w:tcW w:w="17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Other comprehensive income - foreign currency</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95"/>
        </w:trPr>
        <w:tc>
          <w:tcPr>
            <w:tcW w:w="1740" w:type="dxa"/>
            <w:vAlign w:val="bottom"/>
          </w:tcPr>
          <w:p>
            <w:pPr>
              <w:spacing w:after="0"/>
              <w:rPr>
                <w:sz w:val="20"/>
                <w:szCs w:val="20"/>
                <w:color w:val="auto"/>
              </w:rPr>
            </w:pPr>
            <w:r>
              <w:rPr>
                <w:rFonts w:ascii="Times New Roman" w:cs="Times New Roman" w:eastAsia="Times New Roman" w:hAnsi="Times New Roman"/>
                <w:sz w:val="8"/>
                <w:szCs w:val="8"/>
                <w:color w:val="auto"/>
              </w:rPr>
              <w:t>translation adjustments</w:t>
            </w:r>
          </w:p>
        </w:tc>
        <w:tc>
          <w:tcPr>
            <w:tcW w:w="60" w:type="dxa"/>
            <w:vAlign w:val="bottom"/>
          </w:tcPr>
          <w:p>
            <w:pPr>
              <w:spacing w:after="0"/>
              <w:rPr>
                <w:sz w:val="8"/>
                <w:szCs w:val="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45,662</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rPr>
              <w:t>45,662</w:t>
            </w:r>
          </w:p>
        </w:tc>
      </w:tr>
      <w:tr>
        <w:trPr>
          <w:trHeight w:val="76"/>
        </w:trPr>
        <w:tc>
          <w:tcPr>
            <w:tcW w:w="1740" w:type="dxa"/>
            <w:vAlign w:val="bottom"/>
            <w:shd w:val="clear" w:color="auto" w:fill="CCEEFF"/>
          </w:tcPr>
          <w:p>
            <w:pPr>
              <w:spacing w:after="0" w:line="76" w:lineRule="exact"/>
              <w:rPr>
                <w:sz w:val="20"/>
                <w:szCs w:val="20"/>
                <w:color w:val="auto"/>
              </w:rPr>
            </w:pPr>
            <w:r>
              <w:rPr>
                <w:rFonts w:ascii="Times New Roman" w:cs="Times New Roman" w:eastAsia="Times New Roman" w:hAnsi="Times New Roman"/>
                <w:sz w:val="8"/>
                <w:szCs w:val="8"/>
                <w:color w:val="auto"/>
              </w:rPr>
              <w:t>Other comprehensive loss - fair value of interest rate</w:t>
            </w:r>
          </w:p>
        </w:tc>
        <w:tc>
          <w:tcPr>
            <w:tcW w:w="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95"/>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swaps</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(9,232)</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(9,232)</w:t>
            </w:r>
          </w:p>
        </w:tc>
      </w:tr>
      <w:tr>
        <w:trPr>
          <w:trHeight w:val="76"/>
        </w:trPr>
        <w:tc>
          <w:tcPr>
            <w:tcW w:w="17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Other comprehensive income – reclassification of</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85"/>
        </w:trPr>
        <w:tc>
          <w:tcPr>
            <w:tcW w:w="174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accumulated other comprehensive income to interest</w:t>
            </w: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95"/>
        </w:trPr>
        <w:tc>
          <w:tcPr>
            <w:tcW w:w="1740" w:type="dxa"/>
            <w:vAlign w:val="bottom"/>
          </w:tcPr>
          <w:p>
            <w:pPr>
              <w:spacing w:after="0"/>
              <w:rPr>
                <w:sz w:val="20"/>
                <w:szCs w:val="20"/>
                <w:color w:val="auto"/>
              </w:rPr>
            </w:pPr>
            <w:r>
              <w:rPr>
                <w:rFonts w:ascii="Times New Roman" w:cs="Times New Roman" w:eastAsia="Times New Roman" w:hAnsi="Times New Roman"/>
                <w:sz w:val="8"/>
                <w:szCs w:val="8"/>
                <w:color w:val="auto"/>
              </w:rPr>
              <w:t>expense</w:t>
            </w:r>
          </w:p>
        </w:tc>
        <w:tc>
          <w:tcPr>
            <w:tcW w:w="60" w:type="dxa"/>
            <w:vAlign w:val="bottom"/>
          </w:tcPr>
          <w:p>
            <w:pPr>
              <w:spacing w:after="0"/>
              <w:rPr>
                <w:sz w:val="8"/>
                <w:szCs w:val="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(7,446)</w:t>
            </w:r>
          </w:p>
        </w:tc>
        <w:tc>
          <w:tcPr>
            <w:tcW w:w="80" w:type="dxa"/>
            <w:vAlign w:val="bottom"/>
          </w:tcPr>
          <w:p>
            <w:pPr>
              <w:spacing w:after="0"/>
              <w:rPr>
                <w:sz w:val="8"/>
                <w:szCs w:val="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(7,446)</w:t>
            </w:r>
          </w:p>
        </w:tc>
      </w:tr>
      <w:tr>
        <w:trPr>
          <w:trHeight w:val="83"/>
        </w:trPr>
        <w:tc>
          <w:tcPr>
            <w:tcW w:w="1740" w:type="dxa"/>
            <w:vAlign w:val="bottom"/>
            <w:tcBorders>
              <w:top w:val="single" w:sz="8" w:color="CCEEFF"/>
              <w:bottom w:val="single" w:sz="8" w:color="CCEEFF"/>
            </w:tcBorders>
            <w:shd w:val="clear" w:color="auto" w:fill="CCEEFF"/>
          </w:tcPr>
          <w:p>
            <w:pPr>
              <w:spacing w:after="0" w:line="75" w:lineRule="exact"/>
              <w:rPr>
                <w:sz w:val="20"/>
                <w:szCs w:val="20"/>
                <w:color w:val="auto"/>
              </w:rPr>
            </w:pPr>
            <w:r>
              <w:rPr>
                <w:rFonts w:ascii="Times New Roman" w:cs="Times New Roman" w:eastAsia="Times New Roman" w:hAnsi="Times New Roman"/>
                <w:sz w:val="8"/>
                <w:szCs w:val="8"/>
                <w:b w:val="1"/>
                <w:bCs w:val="1"/>
                <w:color w:val="auto"/>
              </w:rPr>
              <w:t>Balance as of December 31, 2019</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41,465</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58,250,000</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1,434,420</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640" w:type="dxa"/>
            <w:vAlign w:val="bottom"/>
            <w:tcBorders>
              <w:top w:val="single" w:sz="8" w:color="auto"/>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208,900,758</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tcBorders>
              <w:top w:val="single" w:sz="8" w:color="auto"/>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8,532,814</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56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8,843,155</w:t>
            </w: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711,650</w:t>
            </w: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68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(91,409)</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tcBorders>
              <w:top w:val="single" w:sz="8" w:color="auto"/>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20,625</w:t>
            </w: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tcBorders>
              <w:top w:val="single" w:sz="8" w:color="auto"/>
              <w:bottom w:val="single" w:sz="8" w:color="auto"/>
            </w:tcBorders>
            <w:shd w:val="clear" w:color="auto" w:fill="CCEEFF"/>
          </w:tcPr>
          <w:p>
            <w:pPr>
              <w:jc w:val="right"/>
              <w:ind w:right="2"/>
              <w:spacing w:after="0" w:line="75" w:lineRule="exact"/>
              <w:rPr>
                <w:sz w:val="20"/>
                <w:szCs w:val="20"/>
                <w:color w:val="auto"/>
              </w:rPr>
            </w:pPr>
            <w:r>
              <w:rPr>
                <w:rFonts w:ascii="Times New Roman" w:cs="Times New Roman" w:eastAsia="Times New Roman" w:hAnsi="Times New Roman"/>
                <w:sz w:val="8"/>
                <w:szCs w:val="8"/>
                <w:b w:val="1"/>
                <w:bCs w:val="1"/>
                <w:color w:val="auto"/>
              </w:rPr>
              <w:t>10,608,100</w:t>
            </w:r>
          </w:p>
        </w:tc>
      </w:tr>
    </w:tbl>
    <w:p>
      <w:pPr>
        <w:spacing w:after="0" w:line="13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22" w:name="page123"/>
    <w:bookmarkEnd w:id="12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CAPITAL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unit data)</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85"/>
        </w:trPr>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7"/>
                <w:szCs w:val="7"/>
                <w:b w:val="1"/>
                <w:bCs w:val="1"/>
                <w:color w:val="auto"/>
                <w:w w:val="95"/>
              </w:rPr>
              <w:t>Accumulated</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7"/>
                <w:szCs w:val="7"/>
                <w:b w:val="1"/>
                <w:bCs w:val="1"/>
                <w:color w:val="auto"/>
                <w:w w:val="97"/>
              </w:rPr>
              <w:t>Noncontrolling</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r>
      <w:tr>
        <w:trPr>
          <w:trHeight w:val="89"/>
        </w:trPr>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7"/>
                <w:szCs w:val="7"/>
                <w:b w:val="1"/>
                <w:bCs w:val="1"/>
                <w:color w:val="auto"/>
                <w:w w:val="98"/>
              </w:rPr>
              <w:t>Redeemable</w:t>
            </w: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4"/>
          </w:tcPr>
          <w:p>
            <w:pPr>
              <w:jc w:val="right"/>
              <w:ind w:right="440"/>
              <w:spacing w:after="0"/>
              <w:rPr>
                <w:sz w:val="20"/>
                <w:szCs w:val="20"/>
                <w:color w:val="auto"/>
              </w:rPr>
            </w:pPr>
            <w:r>
              <w:rPr>
                <w:rFonts w:ascii="Times New Roman" w:cs="Times New Roman" w:eastAsia="Times New Roman" w:hAnsi="Times New Roman"/>
                <w:sz w:val="7"/>
                <w:szCs w:val="7"/>
                <w:b w:val="1"/>
                <w:bCs w:val="1"/>
                <w:color w:val="auto"/>
              </w:rPr>
              <w:t>General Partner</w:t>
            </w: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5"/>
          </w:tcPr>
          <w:p>
            <w:pPr>
              <w:jc w:val="right"/>
              <w:ind w:right="360"/>
              <w:spacing w:after="0"/>
              <w:rPr>
                <w:sz w:val="20"/>
                <w:szCs w:val="20"/>
                <w:color w:val="auto"/>
              </w:rPr>
            </w:pPr>
            <w:r>
              <w:rPr>
                <w:rFonts w:ascii="Times New Roman" w:cs="Times New Roman" w:eastAsia="Times New Roman" w:hAnsi="Times New Roman"/>
                <w:sz w:val="7"/>
                <w:szCs w:val="7"/>
                <w:b w:val="1"/>
                <w:bCs w:val="1"/>
                <w:color w:val="auto"/>
              </w:rPr>
              <w:t>Limited Partners</w:t>
            </w:r>
          </w:p>
        </w:tc>
        <w:tc>
          <w:tcPr>
            <w:tcW w:w="80" w:type="dxa"/>
            <w:vAlign w:val="bottom"/>
          </w:tcPr>
          <w:p>
            <w:pPr>
              <w:spacing w:after="0"/>
              <w:rPr>
                <w:sz w:val="7"/>
                <w:szCs w:val="7"/>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7"/>
                <w:szCs w:val="7"/>
                <w:b w:val="1"/>
                <w:bCs w:val="1"/>
                <w:color w:val="auto"/>
              </w:rPr>
              <w:t>Other</w:t>
            </w:r>
          </w:p>
        </w:tc>
        <w:tc>
          <w:tcPr>
            <w:tcW w:w="80" w:type="dxa"/>
            <w:vAlign w:val="bottom"/>
          </w:tcPr>
          <w:p>
            <w:pPr>
              <w:spacing w:after="0"/>
              <w:rPr>
                <w:sz w:val="7"/>
                <w:szCs w:val="7"/>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7"/>
                <w:szCs w:val="7"/>
                <w:b w:val="1"/>
                <w:bCs w:val="1"/>
                <w:color w:val="auto"/>
              </w:rPr>
              <w:t>Total</w:t>
            </w:r>
          </w:p>
        </w:tc>
        <w:tc>
          <w:tcPr>
            <w:tcW w:w="100" w:type="dxa"/>
            <w:vAlign w:val="bottom"/>
          </w:tcPr>
          <w:p>
            <w:pPr>
              <w:spacing w:after="0"/>
              <w:rPr>
                <w:sz w:val="7"/>
                <w:szCs w:val="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7"/>
                <w:szCs w:val="7"/>
                <w:b w:val="1"/>
                <w:bCs w:val="1"/>
                <w:color w:val="auto"/>
                <w:w w:val="94"/>
              </w:rPr>
              <w:t>Interests in</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r>
      <w:tr>
        <w:trPr>
          <w:trHeight w:val="75"/>
        </w:trPr>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5" w:lineRule="exact"/>
              <w:rPr>
                <w:sz w:val="20"/>
                <w:szCs w:val="20"/>
                <w:color w:val="auto"/>
              </w:rPr>
            </w:pPr>
            <w:r>
              <w:rPr>
                <w:rFonts w:ascii="Times New Roman" w:cs="Times New Roman" w:eastAsia="Times New Roman" w:hAnsi="Times New Roman"/>
                <w:sz w:val="7"/>
                <w:szCs w:val="7"/>
                <w:b w:val="1"/>
                <w:bCs w:val="1"/>
                <w:color w:val="auto"/>
              </w:rPr>
              <w:t>Limited Partner</w:t>
            </w:r>
          </w:p>
        </w:tc>
        <w:tc>
          <w:tcPr>
            <w:tcW w:w="1280" w:type="dxa"/>
            <w:vAlign w:val="bottom"/>
            <w:tcBorders>
              <w:top w:val="single" w:sz="8" w:color="auto"/>
            </w:tcBorders>
            <w:gridSpan w:val="5"/>
          </w:tcPr>
          <w:p>
            <w:pPr>
              <w:ind w:left="360"/>
              <w:spacing w:after="0" w:line="75" w:lineRule="exact"/>
              <w:rPr>
                <w:sz w:val="20"/>
                <w:szCs w:val="20"/>
                <w:color w:val="auto"/>
              </w:rPr>
            </w:pPr>
            <w:r>
              <w:rPr>
                <w:rFonts w:ascii="Times New Roman" w:cs="Times New Roman" w:eastAsia="Times New Roman" w:hAnsi="Times New Roman"/>
                <w:sz w:val="7"/>
                <w:szCs w:val="7"/>
                <w:b w:val="1"/>
                <w:bCs w:val="1"/>
                <w:color w:val="auto"/>
              </w:rPr>
              <w:t>Preferred Units</w:t>
            </w:r>
          </w:p>
        </w:tc>
        <w:tc>
          <w:tcPr>
            <w:tcW w:w="1260" w:type="dxa"/>
            <w:vAlign w:val="bottom"/>
            <w:tcBorders>
              <w:top w:val="single" w:sz="8" w:color="auto"/>
            </w:tcBorders>
            <w:gridSpan w:val="4"/>
          </w:tcPr>
          <w:p>
            <w:pPr>
              <w:jc w:val="right"/>
              <w:ind w:right="365"/>
              <w:spacing w:after="0" w:line="75" w:lineRule="exact"/>
              <w:rPr>
                <w:sz w:val="20"/>
                <w:szCs w:val="20"/>
                <w:color w:val="auto"/>
              </w:rPr>
            </w:pPr>
            <w:r>
              <w:rPr>
                <w:rFonts w:ascii="Times New Roman" w:cs="Times New Roman" w:eastAsia="Times New Roman" w:hAnsi="Times New Roman"/>
                <w:sz w:val="7"/>
                <w:szCs w:val="7"/>
                <w:b w:val="1"/>
                <w:bCs w:val="1"/>
                <w:color w:val="auto"/>
              </w:rPr>
              <w:t>Common Units</w:t>
            </w:r>
          </w:p>
        </w:tc>
        <w:tc>
          <w:tcPr>
            <w:tcW w:w="100" w:type="dxa"/>
            <w:vAlign w:val="bottom"/>
          </w:tcPr>
          <w:p>
            <w:pPr>
              <w:spacing w:after="0"/>
              <w:rPr>
                <w:sz w:val="6"/>
                <w:szCs w:val="6"/>
                <w:color w:val="auto"/>
              </w:rPr>
            </w:pPr>
          </w:p>
        </w:tc>
        <w:tc>
          <w:tcPr>
            <w:tcW w:w="1040" w:type="dxa"/>
            <w:vAlign w:val="bottom"/>
            <w:tcBorders>
              <w:top w:val="single" w:sz="8" w:color="auto"/>
            </w:tcBorders>
            <w:gridSpan w:val="4"/>
          </w:tcPr>
          <w:p>
            <w:pPr>
              <w:jc w:val="right"/>
              <w:ind w:right="265"/>
              <w:spacing w:after="0" w:line="75" w:lineRule="exact"/>
              <w:rPr>
                <w:sz w:val="20"/>
                <w:szCs w:val="20"/>
                <w:color w:val="auto"/>
              </w:rPr>
            </w:pPr>
            <w:r>
              <w:rPr>
                <w:rFonts w:ascii="Times New Roman" w:cs="Times New Roman" w:eastAsia="Times New Roman" w:hAnsi="Times New Roman"/>
                <w:sz w:val="7"/>
                <w:szCs w:val="7"/>
                <w:b w:val="1"/>
                <w:bCs w:val="1"/>
                <w:color w:val="auto"/>
              </w:rPr>
              <w:t>Common Units</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7"/>
                <w:szCs w:val="7"/>
                <w:b w:val="1"/>
                <w:bCs w:val="1"/>
                <w:color w:val="auto"/>
                <w:w w:val="98"/>
              </w:rPr>
              <w:t>Comprehensive</w:t>
            </w:r>
          </w:p>
        </w:tc>
        <w:tc>
          <w:tcPr>
            <w:tcW w:w="80" w:type="dxa"/>
            <w:vAlign w:val="bottom"/>
          </w:tcPr>
          <w:p>
            <w:pPr>
              <w:spacing w:after="0"/>
              <w:rPr>
                <w:sz w:val="6"/>
                <w:szCs w:val="6"/>
                <w:color w:val="auto"/>
              </w:rPr>
            </w:pPr>
          </w:p>
        </w:tc>
        <w:tc>
          <w:tcPr>
            <w:tcW w:w="58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7"/>
                <w:szCs w:val="7"/>
                <w:b w:val="1"/>
                <w:bCs w:val="1"/>
                <w:color w:val="auto"/>
                <w:w w:val="99"/>
              </w:rPr>
              <w:t>Partners'</w:t>
            </w:r>
          </w:p>
        </w:tc>
        <w:tc>
          <w:tcPr>
            <w:tcW w:w="100" w:type="dxa"/>
            <w:vAlign w:val="bottom"/>
          </w:tcPr>
          <w:p>
            <w:pPr>
              <w:spacing w:after="0"/>
              <w:rPr>
                <w:sz w:val="6"/>
                <w:szCs w:val="6"/>
                <w:color w:val="auto"/>
              </w:rPr>
            </w:pPr>
          </w:p>
        </w:tc>
        <w:tc>
          <w:tcPr>
            <w:tcW w:w="82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7"/>
                <w:szCs w:val="7"/>
                <w:b w:val="1"/>
                <w:bCs w:val="1"/>
                <w:color w:val="auto"/>
                <w:w w:val="99"/>
              </w:rPr>
              <w:t>Consolidated Joint</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r>
      <w:tr>
        <w:trPr>
          <w:trHeight w:val="75"/>
        </w:trPr>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5" w:lineRule="exact"/>
              <w:rPr>
                <w:sz w:val="20"/>
                <w:szCs w:val="20"/>
                <w:color w:val="auto"/>
              </w:rPr>
            </w:pPr>
            <w:r>
              <w:rPr>
                <w:rFonts w:ascii="Times New Roman" w:cs="Times New Roman" w:eastAsia="Times New Roman" w:hAnsi="Times New Roman"/>
                <w:sz w:val="7"/>
                <w:szCs w:val="7"/>
                <w:b w:val="1"/>
                <w:bCs w:val="1"/>
                <w:color w:val="auto"/>
              </w:rPr>
              <w:t>Common Units</w:t>
            </w:r>
          </w:p>
        </w:tc>
        <w:tc>
          <w:tcPr>
            <w:tcW w:w="660" w:type="dxa"/>
            <w:vAlign w:val="bottom"/>
            <w:tcBorders>
              <w:top w:val="single" w:sz="8" w:color="auto"/>
            </w:tcBorders>
            <w:gridSpan w:val="2"/>
          </w:tcPr>
          <w:p>
            <w:pPr>
              <w:ind w:left="200"/>
              <w:spacing w:after="0" w:line="75" w:lineRule="exact"/>
              <w:rPr>
                <w:sz w:val="20"/>
                <w:szCs w:val="20"/>
                <w:color w:val="auto"/>
              </w:rPr>
            </w:pPr>
            <w:r>
              <w:rPr>
                <w:rFonts w:ascii="Times New Roman" w:cs="Times New Roman" w:eastAsia="Times New Roman" w:hAnsi="Times New Roman"/>
                <w:sz w:val="7"/>
                <w:szCs w:val="7"/>
                <w:b w:val="1"/>
                <w:bCs w:val="1"/>
                <w:color w:val="auto"/>
              </w:rPr>
              <w:t>Units</w:t>
            </w: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right"/>
              <w:ind w:right="105"/>
              <w:spacing w:after="0" w:line="75" w:lineRule="exact"/>
              <w:rPr>
                <w:sz w:val="20"/>
                <w:szCs w:val="20"/>
                <w:color w:val="auto"/>
              </w:rPr>
            </w:pPr>
            <w:r>
              <w:rPr>
                <w:rFonts w:ascii="Times New Roman" w:cs="Times New Roman" w:eastAsia="Times New Roman" w:hAnsi="Times New Roman"/>
                <w:sz w:val="7"/>
                <w:szCs w:val="7"/>
                <w:b w:val="1"/>
                <w:bCs w:val="1"/>
                <w:color w:val="auto"/>
              </w:rPr>
              <w:t>Amount</w:t>
            </w:r>
          </w:p>
        </w:tc>
        <w:tc>
          <w:tcPr>
            <w:tcW w:w="100" w:type="dxa"/>
            <w:vAlign w:val="bottom"/>
          </w:tcPr>
          <w:p>
            <w:pPr>
              <w:spacing w:after="0"/>
              <w:rPr>
                <w:sz w:val="6"/>
                <w:szCs w:val="6"/>
                <w:color w:val="auto"/>
              </w:rPr>
            </w:pPr>
          </w:p>
        </w:tc>
        <w:tc>
          <w:tcPr>
            <w:tcW w:w="680" w:type="dxa"/>
            <w:vAlign w:val="bottom"/>
            <w:tcBorders>
              <w:top w:val="single" w:sz="8" w:color="auto"/>
            </w:tcBorders>
            <w:gridSpan w:val="2"/>
          </w:tcPr>
          <w:p>
            <w:pPr>
              <w:jc w:val="right"/>
              <w:ind w:right="300"/>
              <w:spacing w:after="0" w:line="75" w:lineRule="exact"/>
              <w:rPr>
                <w:sz w:val="20"/>
                <w:szCs w:val="20"/>
                <w:color w:val="auto"/>
              </w:rPr>
            </w:pPr>
            <w:r>
              <w:rPr>
                <w:rFonts w:ascii="Times New Roman" w:cs="Times New Roman" w:eastAsia="Times New Roman" w:hAnsi="Times New Roman"/>
                <w:sz w:val="7"/>
                <w:szCs w:val="7"/>
                <w:b w:val="1"/>
                <w:bCs w:val="1"/>
                <w:color w:val="auto"/>
              </w:rPr>
              <w:t>Units</w:t>
            </w: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jc w:val="right"/>
              <w:ind w:right="125"/>
              <w:spacing w:after="0" w:line="75" w:lineRule="exact"/>
              <w:rPr>
                <w:sz w:val="20"/>
                <w:szCs w:val="20"/>
                <w:color w:val="auto"/>
              </w:rPr>
            </w:pPr>
            <w:r>
              <w:rPr>
                <w:rFonts w:ascii="Times New Roman" w:cs="Times New Roman" w:eastAsia="Times New Roman" w:hAnsi="Times New Roman"/>
                <w:sz w:val="7"/>
                <w:szCs w:val="7"/>
                <w:b w:val="1"/>
                <w:bCs w:val="1"/>
                <w:color w:val="auto"/>
              </w:rPr>
              <w:t>Amount</w:t>
            </w:r>
          </w:p>
        </w:tc>
        <w:tc>
          <w:tcPr>
            <w:tcW w:w="100" w:type="dxa"/>
            <w:vAlign w:val="bottom"/>
          </w:tcPr>
          <w:p>
            <w:pPr>
              <w:spacing w:after="0"/>
              <w:rPr>
                <w:sz w:val="6"/>
                <w:szCs w:val="6"/>
                <w:color w:val="auto"/>
              </w:rPr>
            </w:pPr>
          </w:p>
        </w:tc>
        <w:tc>
          <w:tcPr>
            <w:tcW w:w="600" w:type="dxa"/>
            <w:vAlign w:val="bottom"/>
            <w:tcBorders>
              <w:top w:val="single" w:sz="8" w:color="auto"/>
            </w:tcBorders>
            <w:gridSpan w:val="2"/>
          </w:tcPr>
          <w:p>
            <w:pPr>
              <w:ind w:left="180"/>
              <w:spacing w:after="0" w:line="75" w:lineRule="exact"/>
              <w:rPr>
                <w:sz w:val="20"/>
                <w:szCs w:val="20"/>
                <w:color w:val="auto"/>
              </w:rPr>
            </w:pPr>
            <w:r>
              <w:rPr>
                <w:rFonts w:ascii="Times New Roman" w:cs="Times New Roman" w:eastAsia="Times New Roman" w:hAnsi="Times New Roman"/>
                <w:sz w:val="7"/>
                <w:szCs w:val="7"/>
                <w:b w:val="1"/>
                <w:bCs w:val="1"/>
                <w:color w:val="auto"/>
              </w:rPr>
              <w:t>Units</w:t>
            </w:r>
          </w:p>
        </w:tc>
        <w:tc>
          <w:tcPr>
            <w:tcW w:w="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jc w:val="right"/>
              <w:ind w:right="65"/>
              <w:spacing w:after="0" w:line="75" w:lineRule="exact"/>
              <w:rPr>
                <w:sz w:val="20"/>
                <w:szCs w:val="20"/>
                <w:color w:val="auto"/>
              </w:rPr>
            </w:pPr>
            <w:r>
              <w:rPr>
                <w:rFonts w:ascii="Times New Roman" w:cs="Times New Roman" w:eastAsia="Times New Roman" w:hAnsi="Times New Roman"/>
                <w:sz w:val="7"/>
                <w:szCs w:val="7"/>
                <w:b w:val="1"/>
                <w:bCs w:val="1"/>
                <w:color w:val="auto"/>
              </w:rPr>
              <w:t>Amount</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7"/>
                <w:szCs w:val="7"/>
                <w:b w:val="1"/>
                <w:bCs w:val="1"/>
                <w:color w:val="auto"/>
                <w:w w:val="99"/>
              </w:rPr>
              <w:t>Income (Loss)</w:t>
            </w:r>
          </w:p>
        </w:tc>
        <w:tc>
          <w:tcPr>
            <w:tcW w:w="80" w:type="dxa"/>
            <w:vAlign w:val="bottom"/>
          </w:tcPr>
          <w:p>
            <w:pPr>
              <w:spacing w:after="0"/>
              <w:rPr>
                <w:sz w:val="6"/>
                <w:szCs w:val="6"/>
                <w:color w:val="auto"/>
              </w:rPr>
            </w:pPr>
          </w:p>
        </w:tc>
        <w:tc>
          <w:tcPr>
            <w:tcW w:w="580" w:type="dxa"/>
            <w:vAlign w:val="bottom"/>
            <w:gridSpan w:val="2"/>
          </w:tcPr>
          <w:p>
            <w:pPr>
              <w:jc w:val="center"/>
              <w:ind w:right="160"/>
              <w:spacing w:after="0" w:line="75" w:lineRule="exact"/>
              <w:rPr>
                <w:sz w:val="20"/>
                <w:szCs w:val="20"/>
                <w:color w:val="auto"/>
              </w:rPr>
            </w:pPr>
            <w:r>
              <w:rPr>
                <w:rFonts w:ascii="Times New Roman" w:cs="Times New Roman" w:eastAsia="Times New Roman" w:hAnsi="Times New Roman"/>
                <w:sz w:val="7"/>
                <w:szCs w:val="7"/>
                <w:b w:val="1"/>
                <w:bCs w:val="1"/>
                <w:color w:val="auto"/>
                <w:w w:val="99"/>
              </w:rPr>
              <w:t>Capital</w:t>
            </w:r>
          </w:p>
        </w:tc>
        <w:tc>
          <w:tcPr>
            <w:tcW w:w="100" w:type="dxa"/>
            <w:vAlign w:val="bottom"/>
          </w:tcPr>
          <w:p>
            <w:pPr>
              <w:spacing w:after="0"/>
              <w:rPr>
                <w:sz w:val="6"/>
                <w:szCs w:val="6"/>
                <w:color w:val="auto"/>
              </w:rPr>
            </w:pPr>
          </w:p>
        </w:tc>
        <w:tc>
          <w:tcPr>
            <w:tcW w:w="82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7"/>
                <w:szCs w:val="7"/>
                <w:b w:val="1"/>
                <w:bCs w:val="1"/>
                <w:color w:val="auto"/>
              </w:rPr>
              <w:t>Ventures</w:t>
            </w:r>
          </w:p>
        </w:tc>
        <w:tc>
          <w:tcPr>
            <w:tcW w:w="80" w:type="dxa"/>
            <w:vAlign w:val="bottom"/>
          </w:tcPr>
          <w:p>
            <w:pPr>
              <w:spacing w:after="0"/>
              <w:rPr>
                <w:sz w:val="6"/>
                <w:szCs w:val="6"/>
                <w:color w:val="auto"/>
              </w:rPr>
            </w:pPr>
          </w:p>
        </w:tc>
        <w:tc>
          <w:tcPr>
            <w:tcW w:w="540" w:type="dxa"/>
            <w:vAlign w:val="bottom"/>
          </w:tcPr>
          <w:p>
            <w:pPr>
              <w:jc w:val="right"/>
              <w:ind w:right="85"/>
              <w:spacing w:after="0" w:line="75" w:lineRule="exact"/>
              <w:rPr>
                <w:sz w:val="20"/>
                <w:szCs w:val="20"/>
                <w:color w:val="auto"/>
              </w:rPr>
            </w:pPr>
            <w:r>
              <w:rPr>
                <w:rFonts w:ascii="Times New Roman" w:cs="Times New Roman" w:eastAsia="Times New Roman" w:hAnsi="Times New Roman"/>
                <w:sz w:val="7"/>
                <w:szCs w:val="7"/>
                <w:b w:val="1"/>
                <w:bCs w:val="1"/>
                <w:color w:val="auto"/>
              </w:rPr>
              <w:t>Total Capital</w:t>
            </w:r>
          </w:p>
        </w:tc>
      </w:tr>
      <w:tr>
        <w:trPr>
          <w:trHeight w:val="75"/>
        </w:trPr>
        <w:tc>
          <w:tcPr>
            <w:tcW w:w="13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r>
      <w:tr>
        <w:trPr>
          <w:trHeight w:val="85"/>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rPr>
              <w:t>Balance as of December 31, 2019</w:t>
            </w:r>
          </w:p>
        </w:tc>
        <w:tc>
          <w:tcPr>
            <w:tcW w:w="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b w:val="1"/>
                <w:bCs w:val="1"/>
                <w:color w:val="auto"/>
              </w:rPr>
              <w:t>41,465</w:t>
            </w: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b w:val="1"/>
                <w:bCs w:val="1"/>
                <w:color w:val="auto"/>
              </w:rPr>
              <w:t>58,250,000</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1,434,420</w:t>
            </w: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208,900,758</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8,532,814</w:t>
            </w: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b w:val="1"/>
                <w:bCs w:val="1"/>
                <w:color w:val="auto"/>
              </w:rPr>
              <w:t>8,843,155</w:t>
            </w: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711,650</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b w:val="1"/>
                <w:bCs w:val="1"/>
                <w:color w:val="auto"/>
              </w:rPr>
              <w:t>(91,409)</w:t>
            </w:r>
          </w:p>
        </w:tc>
        <w:tc>
          <w:tcPr>
            <w:tcW w:w="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b w:val="1"/>
                <w:bCs w:val="1"/>
                <w:color w:val="auto"/>
              </w:rPr>
              <w:t>10,587,475</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b w:val="1"/>
                <w:bCs w:val="1"/>
                <w:color w:val="auto"/>
              </w:rPr>
              <w:t>20,625</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b w:val="1"/>
                <w:bCs w:val="1"/>
                <w:color w:val="auto"/>
              </w:rPr>
              <w:t>10,608,100</w:t>
            </w:r>
          </w:p>
        </w:tc>
      </w:tr>
      <w:tr>
        <w:trPr>
          <w:trHeight w:val="82"/>
        </w:trPr>
        <w:tc>
          <w:tcPr>
            <w:tcW w:w="1360" w:type="dxa"/>
            <w:vAlign w:val="bottom"/>
          </w:tcPr>
          <w:p>
            <w:pPr>
              <w:spacing w:after="0"/>
              <w:rPr>
                <w:sz w:val="20"/>
                <w:szCs w:val="20"/>
                <w:color w:val="auto"/>
              </w:rPr>
            </w:pPr>
            <w:r>
              <w:rPr>
                <w:rFonts w:ascii="Times New Roman" w:cs="Times New Roman" w:eastAsia="Times New Roman" w:hAnsi="Times New Roman"/>
                <w:sz w:val="7"/>
                <w:szCs w:val="7"/>
                <w:color w:val="auto"/>
              </w:rPr>
              <w:t>Conversion of limited partner common units</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r>
      <w:tr>
        <w:trPr>
          <w:trHeight w:val="89"/>
        </w:trPr>
        <w:tc>
          <w:tcPr>
            <w:tcW w:w="1360" w:type="dxa"/>
            <w:vAlign w:val="bottom"/>
          </w:tcPr>
          <w:p>
            <w:pPr>
              <w:spacing w:after="0"/>
              <w:rPr>
                <w:sz w:val="20"/>
                <w:szCs w:val="20"/>
                <w:color w:val="auto"/>
              </w:rPr>
            </w:pPr>
            <w:r>
              <w:rPr>
                <w:rFonts w:ascii="Times New Roman" w:cs="Times New Roman" w:eastAsia="Times New Roman" w:hAnsi="Times New Roman"/>
                <w:sz w:val="7"/>
                <w:szCs w:val="7"/>
                <w:color w:val="auto"/>
              </w:rPr>
              <w:t>to general partner common units</w:t>
            </w:r>
          </w:p>
        </w:tc>
        <w:tc>
          <w:tcPr>
            <w:tcW w:w="80" w:type="dxa"/>
            <w:vAlign w:val="bottom"/>
          </w:tcPr>
          <w:p>
            <w:pPr>
              <w:spacing w:after="0"/>
              <w:rPr>
                <w:sz w:val="7"/>
                <w:szCs w:val="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1,070,014</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92,553</w:t>
            </w:r>
          </w:p>
        </w:tc>
        <w:tc>
          <w:tcPr>
            <w:tcW w:w="100" w:type="dxa"/>
            <w:vAlign w:val="bottom"/>
          </w:tcPr>
          <w:p>
            <w:pPr>
              <w:spacing w:after="0"/>
              <w:rPr>
                <w:sz w:val="7"/>
                <w:szCs w:val="7"/>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7"/>
                <w:szCs w:val="7"/>
                <w:color w:val="auto"/>
              </w:rPr>
              <w:t>(1,070,014)</w:t>
            </w:r>
          </w:p>
        </w:tc>
        <w:tc>
          <w:tcPr>
            <w:tcW w:w="60" w:type="dxa"/>
            <w:vAlign w:val="bottom"/>
          </w:tcPr>
          <w:p>
            <w:pPr>
              <w:spacing w:after="0"/>
              <w:rPr>
                <w:sz w:val="7"/>
                <w:szCs w:val="7"/>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(92,553)</w:t>
            </w:r>
          </w:p>
        </w:tc>
        <w:tc>
          <w:tcPr>
            <w:tcW w:w="80" w:type="dxa"/>
            <w:vAlign w:val="bottom"/>
          </w:tcPr>
          <w:p>
            <w:pPr>
              <w:spacing w:after="0"/>
              <w:rPr>
                <w:sz w:val="7"/>
                <w:szCs w:val="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w:t>
            </w:r>
          </w:p>
        </w:tc>
      </w:tr>
      <w:tr>
        <w:trPr>
          <w:trHeight w:val="82"/>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Common units and share-based awards</w:t>
            </w: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r>
      <w:tr>
        <w:trPr>
          <w:trHeight w:val="85"/>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issued in connection with business</w:t>
            </w: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r>
      <w:tr>
        <w:trPr>
          <w:trHeight w:val="89"/>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combinations</w:t>
            </w:r>
          </w:p>
        </w:tc>
        <w:tc>
          <w:tcPr>
            <w:tcW w:w="8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54,487,997</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7,013,220</w:t>
            </w:r>
          </w:p>
        </w:tc>
        <w:tc>
          <w:tcPr>
            <w:tcW w:w="10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7,013,220</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7,013,220</w:t>
            </w:r>
          </w:p>
        </w:tc>
      </w:tr>
      <w:tr>
        <w:trPr>
          <w:trHeight w:val="82"/>
        </w:trPr>
        <w:tc>
          <w:tcPr>
            <w:tcW w:w="1360" w:type="dxa"/>
            <w:vAlign w:val="bottom"/>
          </w:tcPr>
          <w:p>
            <w:pPr>
              <w:spacing w:after="0"/>
              <w:rPr>
                <w:sz w:val="20"/>
                <w:szCs w:val="20"/>
                <w:color w:val="auto"/>
              </w:rPr>
            </w:pPr>
            <w:r>
              <w:rPr>
                <w:rFonts w:ascii="Times New Roman" w:cs="Times New Roman" w:eastAsia="Times New Roman" w:hAnsi="Times New Roman"/>
                <w:sz w:val="7"/>
                <w:szCs w:val="7"/>
                <w:color w:val="auto"/>
              </w:rPr>
              <w:t>Issuance of common units, net of offering</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r>
      <w:tr>
        <w:trPr>
          <w:trHeight w:val="89"/>
        </w:trPr>
        <w:tc>
          <w:tcPr>
            <w:tcW w:w="1360" w:type="dxa"/>
            <w:vAlign w:val="bottom"/>
          </w:tcPr>
          <w:p>
            <w:pPr>
              <w:spacing w:after="0"/>
              <w:rPr>
                <w:sz w:val="20"/>
                <w:szCs w:val="20"/>
                <w:color w:val="auto"/>
              </w:rPr>
            </w:pPr>
            <w:r>
              <w:rPr>
                <w:rFonts w:ascii="Times New Roman" w:cs="Times New Roman" w:eastAsia="Times New Roman" w:hAnsi="Times New Roman"/>
                <w:sz w:val="7"/>
                <w:szCs w:val="7"/>
                <w:color w:val="auto"/>
              </w:rPr>
              <w:t>costs</w:t>
            </w:r>
          </w:p>
        </w:tc>
        <w:tc>
          <w:tcPr>
            <w:tcW w:w="80" w:type="dxa"/>
            <w:vAlign w:val="bottom"/>
          </w:tcPr>
          <w:p>
            <w:pPr>
              <w:spacing w:after="0"/>
              <w:rPr>
                <w:sz w:val="7"/>
                <w:szCs w:val="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15,920,893</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1,888,526</w:t>
            </w:r>
          </w:p>
        </w:tc>
        <w:tc>
          <w:tcPr>
            <w:tcW w:w="10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1,888,526</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1,888,526</w:t>
            </w:r>
          </w:p>
        </w:tc>
      </w:tr>
      <w:tr>
        <w:trPr>
          <w:trHeight w:val="85"/>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Issuance of common units, net of forfeitures</w:t>
            </w:r>
          </w:p>
        </w:tc>
        <w:tc>
          <w:tcPr>
            <w:tcW w:w="8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273,126</w:t>
            </w: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w:t>
            </w:r>
          </w:p>
        </w:tc>
      </w:tr>
      <w:tr>
        <w:trPr>
          <w:trHeight w:val="82"/>
        </w:trPr>
        <w:tc>
          <w:tcPr>
            <w:tcW w:w="1360" w:type="dxa"/>
            <w:vAlign w:val="bottom"/>
          </w:tcPr>
          <w:p>
            <w:pPr>
              <w:spacing w:after="0"/>
              <w:rPr>
                <w:sz w:val="20"/>
                <w:szCs w:val="20"/>
                <w:color w:val="auto"/>
              </w:rPr>
            </w:pPr>
            <w:r>
              <w:rPr>
                <w:rFonts w:ascii="Times New Roman" w:cs="Times New Roman" w:eastAsia="Times New Roman" w:hAnsi="Times New Roman"/>
                <w:sz w:val="7"/>
                <w:szCs w:val="7"/>
                <w:color w:val="auto"/>
              </w:rPr>
              <w:t>Units issued in connection with employee</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r>
      <w:tr>
        <w:trPr>
          <w:trHeight w:val="89"/>
        </w:trPr>
        <w:tc>
          <w:tcPr>
            <w:tcW w:w="1360" w:type="dxa"/>
            <w:vAlign w:val="bottom"/>
          </w:tcPr>
          <w:p>
            <w:pPr>
              <w:spacing w:after="0"/>
              <w:rPr>
                <w:sz w:val="20"/>
                <w:szCs w:val="20"/>
                <w:color w:val="auto"/>
              </w:rPr>
            </w:pPr>
            <w:r>
              <w:rPr>
                <w:rFonts w:ascii="Times New Roman" w:cs="Times New Roman" w:eastAsia="Times New Roman" w:hAnsi="Times New Roman"/>
                <w:sz w:val="7"/>
                <w:szCs w:val="7"/>
                <w:color w:val="auto"/>
              </w:rPr>
              <w:t>stock purchase plan</w:t>
            </w:r>
          </w:p>
        </w:tc>
        <w:tc>
          <w:tcPr>
            <w:tcW w:w="80" w:type="dxa"/>
            <w:vAlign w:val="bottom"/>
          </w:tcPr>
          <w:p>
            <w:pPr>
              <w:spacing w:after="0"/>
              <w:rPr>
                <w:sz w:val="7"/>
                <w:szCs w:val="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58,136</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6,503</w:t>
            </w:r>
          </w:p>
        </w:tc>
        <w:tc>
          <w:tcPr>
            <w:tcW w:w="10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6,503</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6,503</w:t>
            </w:r>
          </w:p>
        </w:tc>
      </w:tr>
      <w:tr>
        <w:trPr>
          <w:trHeight w:val="82"/>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Units repurchased and retired to satisfy tax</w:t>
            </w: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r>
      <w:tr>
        <w:trPr>
          <w:trHeight w:val="89"/>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withholding upon vesting</w:t>
            </w:r>
          </w:p>
        </w:tc>
        <w:tc>
          <w:tcPr>
            <w:tcW w:w="8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(7,320)</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(7,320)</w:t>
            </w:r>
          </w:p>
        </w:tc>
        <w:tc>
          <w:tcPr>
            <w:tcW w:w="10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(7,320)</w:t>
            </w:r>
          </w:p>
        </w:tc>
      </w:tr>
      <w:tr>
        <w:trPr>
          <w:trHeight w:val="85"/>
        </w:trPr>
        <w:tc>
          <w:tcPr>
            <w:tcW w:w="1360" w:type="dxa"/>
            <w:vAlign w:val="bottom"/>
          </w:tcPr>
          <w:p>
            <w:pPr>
              <w:spacing w:after="0"/>
              <w:rPr>
                <w:sz w:val="20"/>
                <w:szCs w:val="20"/>
                <w:color w:val="auto"/>
              </w:rPr>
            </w:pPr>
            <w:r>
              <w:rPr>
                <w:rFonts w:ascii="Times New Roman" w:cs="Times New Roman" w:eastAsia="Times New Roman" w:hAnsi="Times New Roman"/>
                <w:sz w:val="7"/>
                <w:szCs w:val="7"/>
                <w:color w:val="auto"/>
              </w:rPr>
              <w:t>Amortization of share-based compensation</w:t>
            </w:r>
          </w:p>
        </w:tc>
        <w:tc>
          <w:tcPr>
            <w:tcW w:w="80" w:type="dxa"/>
            <w:vAlign w:val="bottom"/>
          </w:tcPr>
          <w:p>
            <w:pPr>
              <w:spacing w:after="0"/>
              <w:rPr>
                <w:sz w:val="7"/>
                <w:szCs w:val="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77,507</w:t>
            </w:r>
          </w:p>
        </w:tc>
        <w:tc>
          <w:tcPr>
            <w:tcW w:w="10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77,507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77,507</w:t>
            </w:r>
          </w:p>
        </w:tc>
      </w:tr>
      <w:tr>
        <w:trPr>
          <w:trHeight w:val="85"/>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Vesting of restricted common units, net</w:t>
            </w:r>
          </w:p>
        </w:tc>
        <w:tc>
          <w:tcPr>
            <w:tcW w:w="8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(148,072)</w:t>
            </w: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w:t>
            </w:r>
          </w:p>
        </w:tc>
      </w:tr>
      <w:tr>
        <w:trPr>
          <w:trHeight w:val="82"/>
        </w:trPr>
        <w:tc>
          <w:tcPr>
            <w:tcW w:w="1360" w:type="dxa"/>
            <w:vAlign w:val="bottom"/>
          </w:tcPr>
          <w:p>
            <w:pPr>
              <w:spacing w:after="0"/>
              <w:rPr>
                <w:sz w:val="20"/>
                <w:szCs w:val="20"/>
                <w:color w:val="auto"/>
              </w:rPr>
            </w:pPr>
            <w:r>
              <w:rPr>
                <w:rFonts w:ascii="Times New Roman" w:cs="Times New Roman" w:eastAsia="Times New Roman" w:hAnsi="Times New Roman"/>
                <w:sz w:val="7"/>
                <w:szCs w:val="7"/>
                <w:color w:val="auto"/>
              </w:rPr>
              <w:t>Reclassification of vested share-based</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r>
      <w:tr>
        <w:trPr>
          <w:trHeight w:val="89"/>
        </w:trPr>
        <w:tc>
          <w:tcPr>
            <w:tcW w:w="1360" w:type="dxa"/>
            <w:vAlign w:val="bottom"/>
          </w:tcPr>
          <w:p>
            <w:pPr>
              <w:spacing w:after="0"/>
              <w:rPr>
                <w:sz w:val="20"/>
                <w:szCs w:val="20"/>
                <w:color w:val="auto"/>
              </w:rPr>
            </w:pPr>
            <w:r>
              <w:rPr>
                <w:rFonts w:ascii="Times New Roman" w:cs="Times New Roman" w:eastAsia="Times New Roman" w:hAnsi="Times New Roman"/>
                <w:sz w:val="7"/>
                <w:szCs w:val="7"/>
                <w:color w:val="auto"/>
              </w:rPr>
              <w:t>awards</w:t>
            </w:r>
          </w:p>
        </w:tc>
        <w:tc>
          <w:tcPr>
            <w:tcW w:w="80" w:type="dxa"/>
            <w:vAlign w:val="bottom"/>
          </w:tcPr>
          <w:p>
            <w:pPr>
              <w:spacing w:after="0"/>
              <w:rPr>
                <w:sz w:val="7"/>
                <w:szCs w:val="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(17,611)</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17,611</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w:t>
            </w:r>
          </w:p>
        </w:tc>
      </w:tr>
      <w:tr>
        <w:trPr>
          <w:trHeight w:val="85"/>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Redemption of series G preferred units</w:t>
            </w:r>
          </w:p>
        </w:tc>
        <w:tc>
          <w:tcPr>
            <w:tcW w:w="8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7"/>
                <w:szCs w:val="7"/>
                <w:color w:val="auto"/>
              </w:rPr>
              <w:t>(10,000,000)</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(241,468)</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(8,532)</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(250,000)</w:t>
            </w:r>
          </w:p>
        </w:tc>
        <w:tc>
          <w:tcPr>
            <w:tcW w:w="10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(250,000)</w:t>
            </w:r>
          </w:p>
        </w:tc>
      </w:tr>
      <w:tr>
        <w:trPr>
          <w:trHeight w:val="85"/>
        </w:trPr>
        <w:tc>
          <w:tcPr>
            <w:tcW w:w="1360" w:type="dxa"/>
            <w:vAlign w:val="bottom"/>
          </w:tcPr>
          <w:p>
            <w:pPr>
              <w:spacing w:after="0"/>
              <w:rPr>
                <w:sz w:val="20"/>
                <w:szCs w:val="20"/>
                <w:color w:val="auto"/>
              </w:rPr>
            </w:pPr>
            <w:r>
              <w:rPr>
                <w:rFonts w:ascii="Times New Roman" w:cs="Times New Roman" w:eastAsia="Times New Roman" w:hAnsi="Times New Roman"/>
                <w:sz w:val="7"/>
                <w:szCs w:val="7"/>
                <w:color w:val="auto"/>
              </w:rPr>
              <w:t>Redemption of series I preferred units</w:t>
            </w:r>
          </w:p>
        </w:tc>
        <w:tc>
          <w:tcPr>
            <w:tcW w:w="80" w:type="dxa"/>
            <w:vAlign w:val="bottom"/>
          </w:tcPr>
          <w:p>
            <w:pPr>
              <w:spacing w:after="0"/>
              <w:rPr>
                <w:sz w:val="7"/>
                <w:szCs w:val="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7"/>
                <w:szCs w:val="7"/>
                <w:color w:val="auto"/>
              </w:rPr>
              <w:t>(10,000,000)</w:t>
            </w:r>
          </w:p>
        </w:tc>
        <w:tc>
          <w:tcPr>
            <w:tcW w:w="80" w:type="dxa"/>
            <w:vAlign w:val="bottom"/>
          </w:tcPr>
          <w:p>
            <w:pPr>
              <w:spacing w:after="0"/>
              <w:rPr>
                <w:sz w:val="7"/>
                <w:szCs w:val="7"/>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(242,012)</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(7,988)</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(250,000)</w:t>
            </w:r>
          </w:p>
        </w:tc>
        <w:tc>
          <w:tcPr>
            <w:tcW w:w="100" w:type="dxa"/>
            <w:vAlign w:val="bottom"/>
          </w:tcPr>
          <w:p>
            <w:pPr>
              <w:spacing w:after="0"/>
              <w:rPr>
                <w:sz w:val="7"/>
                <w:szCs w:val="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(250,000)</w:t>
            </w:r>
          </w:p>
        </w:tc>
      </w:tr>
      <w:tr>
        <w:trPr>
          <w:trHeight w:val="85"/>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Adjustment to redeemable partnership units</w:t>
            </w: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3,086</w:t>
            </w:r>
          </w:p>
        </w:tc>
        <w:tc>
          <w:tcPr>
            <w:tcW w:w="8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(3,086)</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(3,086)</w:t>
            </w:r>
          </w:p>
        </w:tc>
        <w:tc>
          <w:tcPr>
            <w:tcW w:w="10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(3,086)</w:t>
            </w:r>
          </w:p>
        </w:tc>
      </w:tr>
      <w:tr>
        <w:trPr>
          <w:trHeight w:val="85"/>
        </w:trPr>
        <w:tc>
          <w:tcPr>
            <w:tcW w:w="1360" w:type="dxa"/>
            <w:vAlign w:val="bottom"/>
          </w:tcPr>
          <w:p>
            <w:pPr>
              <w:spacing w:after="0"/>
              <w:rPr>
                <w:sz w:val="20"/>
                <w:szCs w:val="20"/>
                <w:color w:val="auto"/>
              </w:rPr>
            </w:pPr>
            <w:r>
              <w:rPr>
                <w:rFonts w:ascii="Times New Roman" w:cs="Times New Roman" w:eastAsia="Times New Roman" w:hAnsi="Times New Roman"/>
                <w:sz w:val="7"/>
                <w:szCs w:val="7"/>
                <w:color w:val="auto"/>
              </w:rPr>
              <w:t>Distributions</w:t>
            </w:r>
          </w:p>
        </w:tc>
        <w:tc>
          <w:tcPr>
            <w:tcW w:w="80" w:type="dxa"/>
            <w:vAlign w:val="bottom"/>
          </w:tcPr>
          <w:p>
            <w:pPr>
              <w:spacing w:after="0"/>
              <w:rPr>
                <w:sz w:val="7"/>
                <w:szCs w:val="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(700)</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(1,214,701)</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(37,147)</w:t>
            </w:r>
          </w:p>
        </w:tc>
        <w:tc>
          <w:tcPr>
            <w:tcW w:w="80" w:type="dxa"/>
            <w:vAlign w:val="bottom"/>
          </w:tcPr>
          <w:p>
            <w:pPr>
              <w:spacing w:after="0"/>
              <w:rPr>
                <w:sz w:val="7"/>
                <w:szCs w:val="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(1,251,848)</w:t>
            </w:r>
          </w:p>
        </w:tc>
        <w:tc>
          <w:tcPr>
            <w:tcW w:w="100" w:type="dxa"/>
            <w:vAlign w:val="bottom"/>
          </w:tcPr>
          <w:p>
            <w:pPr>
              <w:spacing w:after="0"/>
              <w:rPr>
                <w:sz w:val="7"/>
                <w:szCs w:val="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(1,251,848)</w:t>
            </w:r>
          </w:p>
        </w:tc>
      </w:tr>
      <w:tr>
        <w:trPr>
          <w:trHeight w:val="82"/>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Contributions from noncontrolling interests</w:t>
            </w: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r>
      <w:tr>
        <w:trPr>
          <w:trHeight w:val="89"/>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in consolidated joint ventures</w:t>
            </w: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2,089</w:t>
            </w:r>
          </w:p>
        </w:tc>
        <w:tc>
          <w:tcPr>
            <w:tcW w:w="8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97,914</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97,914</w:t>
            </w:r>
          </w:p>
        </w:tc>
      </w:tr>
      <w:tr>
        <w:trPr>
          <w:trHeight w:val="85"/>
        </w:trPr>
        <w:tc>
          <w:tcPr>
            <w:tcW w:w="1360" w:type="dxa"/>
            <w:vAlign w:val="bottom"/>
          </w:tcPr>
          <w:p>
            <w:pPr>
              <w:spacing w:after="0"/>
              <w:rPr>
                <w:sz w:val="20"/>
                <w:szCs w:val="20"/>
                <w:color w:val="auto"/>
              </w:rPr>
            </w:pPr>
            <w:r>
              <w:rPr>
                <w:rFonts w:ascii="Times New Roman" w:cs="Times New Roman" w:eastAsia="Times New Roman" w:hAnsi="Times New Roman"/>
                <w:sz w:val="7"/>
                <w:szCs w:val="7"/>
                <w:color w:val="auto"/>
              </w:rPr>
              <w:t>Net income (loss)</w:t>
            </w:r>
          </w:p>
        </w:tc>
        <w:tc>
          <w:tcPr>
            <w:tcW w:w="80" w:type="dxa"/>
            <w:vAlign w:val="bottom"/>
          </w:tcPr>
          <w:p>
            <w:pPr>
              <w:spacing w:after="0"/>
              <w:rPr>
                <w:sz w:val="7"/>
                <w:szCs w:val="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(4,417)</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279,862</w:t>
            </w:r>
          </w:p>
        </w:tc>
        <w:tc>
          <w:tcPr>
            <w:tcW w:w="10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9,629</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289,491</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1,120</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290,611</w:t>
            </w:r>
          </w:p>
        </w:tc>
      </w:tr>
      <w:tr>
        <w:trPr>
          <w:trHeight w:val="82"/>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Other comprehensive income—foreign</w:t>
            </w: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r>
      <w:tr>
        <w:trPr>
          <w:trHeight w:val="89"/>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currency translation adjustments</w:t>
            </w: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488</w:t>
            </w:r>
          </w:p>
        </w:tc>
        <w:tc>
          <w:tcPr>
            <w:tcW w:w="8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230,340</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230,340</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230,340</w:t>
            </w:r>
          </w:p>
        </w:tc>
      </w:tr>
      <w:tr>
        <w:trPr>
          <w:trHeight w:val="82"/>
        </w:trPr>
        <w:tc>
          <w:tcPr>
            <w:tcW w:w="1360" w:type="dxa"/>
            <w:vAlign w:val="bottom"/>
          </w:tcPr>
          <w:p>
            <w:pPr>
              <w:spacing w:after="0"/>
              <w:rPr>
                <w:sz w:val="20"/>
                <w:szCs w:val="20"/>
                <w:color w:val="auto"/>
              </w:rPr>
            </w:pPr>
            <w:r>
              <w:rPr>
                <w:rFonts w:ascii="Times New Roman" w:cs="Times New Roman" w:eastAsia="Times New Roman" w:hAnsi="Times New Roman"/>
                <w:sz w:val="7"/>
                <w:szCs w:val="7"/>
                <w:color w:val="auto"/>
              </w:rPr>
              <w:t>Other comprehensive loss—fair value of</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r>
      <w:tr>
        <w:trPr>
          <w:trHeight w:val="89"/>
        </w:trPr>
        <w:tc>
          <w:tcPr>
            <w:tcW w:w="1360" w:type="dxa"/>
            <w:vAlign w:val="bottom"/>
          </w:tcPr>
          <w:p>
            <w:pPr>
              <w:spacing w:after="0"/>
              <w:rPr>
                <w:sz w:val="20"/>
                <w:szCs w:val="20"/>
                <w:color w:val="auto"/>
              </w:rPr>
            </w:pPr>
            <w:r>
              <w:rPr>
                <w:rFonts w:ascii="Times New Roman" w:cs="Times New Roman" w:eastAsia="Times New Roman" w:hAnsi="Times New Roman"/>
                <w:sz w:val="7"/>
                <w:szCs w:val="7"/>
                <w:color w:val="auto"/>
              </w:rPr>
              <w:t>interest rate swaps</w:t>
            </w:r>
          </w:p>
        </w:tc>
        <w:tc>
          <w:tcPr>
            <w:tcW w:w="80" w:type="dxa"/>
            <w:vAlign w:val="bottom"/>
          </w:tcPr>
          <w:p>
            <w:pPr>
              <w:spacing w:after="0"/>
              <w:rPr>
                <w:sz w:val="7"/>
                <w:szCs w:val="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(12,425)</w:t>
            </w:r>
          </w:p>
        </w:tc>
        <w:tc>
          <w:tcPr>
            <w:tcW w:w="80" w:type="dxa"/>
            <w:vAlign w:val="bottom"/>
          </w:tcPr>
          <w:p>
            <w:pPr>
              <w:spacing w:after="0"/>
              <w:rPr>
                <w:sz w:val="7"/>
                <w:szCs w:val="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(12,425)</w:t>
            </w:r>
          </w:p>
        </w:tc>
        <w:tc>
          <w:tcPr>
            <w:tcW w:w="100" w:type="dxa"/>
            <w:vAlign w:val="bottom"/>
          </w:tcPr>
          <w:p>
            <w:pPr>
              <w:spacing w:after="0"/>
              <w:rPr>
                <w:sz w:val="7"/>
                <w:szCs w:val="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(12,425)</w:t>
            </w:r>
          </w:p>
        </w:tc>
      </w:tr>
      <w:tr>
        <w:trPr>
          <w:trHeight w:val="82"/>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Other comprehensive income—</w:t>
            </w: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r>
      <w:tr>
        <w:trPr>
          <w:trHeight w:val="85"/>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reclassification of accumulated other</w:t>
            </w: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r>
      <w:tr>
        <w:trPr>
          <w:trHeight w:val="89"/>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comprehensive loss to interest expense</w:t>
            </w:r>
          </w:p>
        </w:tc>
        <w:tc>
          <w:tcPr>
            <w:tcW w:w="8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8,294</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8,294</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8,294</w:t>
            </w:r>
          </w:p>
        </w:tc>
      </w:tr>
      <w:tr>
        <w:trPr>
          <w:trHeight w:val="85"/>
        </w:trPr>
        <w:tc>
          <w:tcPr>
            <w:tcW w:w="136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r>
      <w:tr>
        <w:trPr>
          <w:trHeight w:val="83"/>
        </w:trPr>
        <w:tc>
          <w:tcPr>
            <w:tcW w:w="1360" w:type="dxa"/>
            <w:vAlign w:val="bottom"/>
            <w:tcBorders>
              <w:bottom w:val="single" w:sz="8" w:color="CCEEFF"/>
            </w:tcBorders>
            <w:shd w:val="clear" w:color="auto" w:fill="CCEEFF"/>
          </w:tcPr>
          <w:p>
            <w:pPr>
              <w:spacing w:after="0" w:line="75" w:lineRule="exact"/>
              <w:rPr>
                <w:sz w:val="20"/>
                <w:szCs w:val="20"/>
                <w:color w:val="auto"/>
              </w:rPr>
            </w:pPr>
            <w:r>
              <w:rPr>
                <w:rFonts w:ascii="Times New Roman" w:cs="Times New Roman" w:eastAsia="Times New Roman" w:hAnsi="Times New Roman"/>
                <w:sz w:val="7"/>
                <w:szCs w:val="7"/>
                <w:b w:val="1"/>
                <w:bCs w:val="1"/>
                <w:color w:val="auto"/>
              </w:rPr>
              <w:t>Balance as of December 31, 2020</w:t>
            </w: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bottom w:val="single" w:sz="8" w:color="auto"/>
            </w:tcBorders>
            <w:shd w:val="clear" w:color="auto" w:fill="CCEEFF"/>
          </w:tcPr>
          <w:p>
            <w:pPr>
              <w:jc w:val="right"/>
              <w:ind w:right="5"/>
              <w:spacing w:after="0" w:line="75" w:lineRule="exact"/>
              <w:rPr>
                <w:sz w:val="20"/>
                <w:szCs w:val="20"/>
                <w:color w:val="auto"/>
              </w:rPr>
            </w:pPr>
            <w:r>
              <w:rPr>
                <w:rFonts w:ascii="Times New Roman" w:cs="Times New Roman" w:eastAsia="Times New Roman" w:hAnsi="Times New Roman"/>
                <w:sz w:val="7"/>
                <w:szCs w:val="7"/>
                <w:b w:val="1"/>
                <w:bCs w:val="1"/>
                <w:color w:val="auto"/>
              </w:rPr>
              <w:t>42,011</w:t>
            </w:r>
          </w:p>
        </w:tc>
        <w:tc>
          <w:tcPr>
            <w:tcW w:w="8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jc w:val="right"/>
              <w:ind w:right="5"/>
              <w:spacing w:after="0" w:line="75" w:lineRule="exact"/>
              <w:rPr>
                <w:sz w:val="20"/>
                <w:szCs w:val="20"/>
                <w:color w:val="auto"/>
              </w:rPr>
            </w:pPr>
            <w:r>
              <w:rPr>
                <w:rFonts w:ascii="Times New Roman" w:cs="Times New Roman" w:eastAsia="Times New Roman" w:hAnsi="Times New Roman"/>
                <w:sz w:val="7"/>
                <w:szCs w:val="7"/>
                <w:b w:val="1"/>
                <w:bCs w:val="1"/>
                <w:color w:val="auto"/>
              </w:rPr>
              <w:t>38,250,000</w:t>
            </w: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440" w:type="dxa"/>
            <w:vAlign w:val="bottom"/>
            <w:tcBorders>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b w:val="1"/>
                <w:bCs w:val="1"/>
                <w:color w:val="auto"/>
              </w:rPr>
              <w:t>950,940</w:t>
            </w:r>
          </w:p>
        </w:tc>
        <w:tc>
          <w:tcPr>
            <w:tcW w:w="10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b w:val="1"/>
                <w:bCs w:val="1"/>
                <w:color w:val="auto"/>
              </w:rPr>
              <w:t>280,289,726</w:t>
            </w:r>
          </w:p>
        </w:tc>
        <w:tc>
          <w:tcPr>
            <w:tcW w:w="1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tcBorders>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b w:val="1"/>
                <w:bCs w:val="1"/>
                <w:color w:val="auto"/>
              </w:rPr>
              <w:t>16,631,747</w:t>
            </w:r>
          </w:p>
        </w:tc>
        <w:tc>
          <w:tcPr>
            <w:tcW w:w="10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ind w:right="5"/>
              <w:spacing w:after="0" w:line="75" w:lineRule="exact"/>
              <w:rPr>
                <w:sz w:val="20"/>
                <w:szCs w:val="20"/>
                <w:color w:val="auto"/>
              </w:rPr>
            </w:pPr>
            <w:r>
              <w:rPr>
                <w:rFonts w:ascii="Times New Roman" w:cs="Times New Roman" w:eastAsia="Times New Roman" w:hAnsi="Times New Roman"/>
                <w:sz w:val="7"/>
                <w:szCs w:val="7"/>
                <w:b w:val="1"/>
                <w:bCs w:val="1"/>
                <w:color w:val="auto"/>
              </w:rPr>
              <w:t>8,046,267</w:t>
            </w:r>
          </w:p>
        </w:tc>
        <w:tc>
          <w:tcPr>
            <w:tcW w:w="10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bottom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b w:val="1"/>
                <w:bCs w:val="1"/>
                <w:color w:val="auto"/>
              </w:rPr>
              <w:t>609,190</w:t>
            </w: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tcBorders>
              <w:bottom w:val="single" w:sz="8" w:color="auto"/>
            </w:tcBorders>
            <w:shd w:val="clear" w:color="auto" w:fill="CCEEFF"/>
          </w:tcPr>
          <w:p>
            <w:pPr>
              <w:jc w:val="right"/>
              <w:ind w:right="5"/>
              <w:spacing w:after="0" w:line="75" w:lineRule="exact"/>
              <w:rPr>
                <w:sz w:val="20"/>
                <w:szCs w:val="20"/>
                <w:color w:val="auto"/>
              </w:rPr>
            </w:pPr>
            <w:r>
              <w:rPr>
                <w:rFonts w:ascii="Times New Roman" w:cs="Times New Roman" w:eastAsia="Times New Roman" w:hAnsi="Times New Roman"/>
                <w:sz w:val="7"/>
                <w:szCs w:val="7"/>
                <w:b w:val="1"/>
                <w:bCs w:val="1"/>
                <w:color w:val="auto"/>
              </w:rPr>
              <w:t>134,800</w:t>
            </w: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500" w:type="dxa"/>
            <w:vAlign w:val="bottom"/>
            <w:tcBorders>
              <w:bottom w:val="single" w:sz="8" w:color="auto"/>
            </w:tcBorders>
            <w:shd w:val="clear" w:color="auto" w:fill="CCEEFF"/>
          </w:tcPr>
          <w:p>
            <w:pPr>
              <w:jc w:val="right"/>
              <w:ind w:right="5"/>
              <w:spacing w:after="0" w:line="75" w:lineRule="exact"/>
              <w:rPr>
                <w:sz w:val="20"/>
                <w:szCs w:val="20"/>
                <w:color w:val="auto"/>
              </w:rPr>
            </w:pPr>
            <w:r>
              <w:rPr>
                <w:rFonts w:ascii="Times New Roman" w:cs="Times New Roman" w:eastAsia="Times New Roman" w:hAnsi="Times New Roman"/>
                <w:sz w:val="7"/>
                <w:szCs w:val="7"/>
                <w:b w:val="1"/>
                <w:bCs w:val="1"/>
                <w:color w:val="auto"/>
              </w:rPr>
              <w:t>18,326,677</w:t>
            </w:r>
          </w:p>
        </w:tc>
        <w:tc>
          <w:tcPr>
            <w:tcW w:w="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bottom w:val="single" w:sz="8" w:color="auto"/>
            </w:tcBorders>
            <w:shd w:val="clear" w:color="auto" w:fill="CCEEFF"/>
          </w:tcPr>
          <w:p>
            <w:pPr>
              <w:jc w:val="right"/>
              <w:ind w:right="5"/>
              <w:spacing w:after="0" w:line="75" w:lineRule="exact"/>
              <w:rPr>
                <w:sz w:val="20"/>
                <w:szCs w:val="20"/>
                <w:color w:val="auto"/>
              </w:rPr>
            </w:pPr>
            <w:r>
              <w:rPr>
                <w:rFonts w:ascii="Times New Roman" w:cs="Times New Roman" w:eastAsia="Times New Roman" w:hAnsi="Times New Roman"/>
                <w:sz w:val="7"/>
                <w:szCs w:val="7"/>
                <w:b w:val="1"/>
                <w:bCs w:val="1"/>
                <w:color w:val="auto"/>
              </w:rPr>
              <w:t>119,659</w:t>
            </w:r>
          </w:p>
        </w:tc>
        <w:tc>
          <w:tcPr>
            <w:tcW w:w="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bottom w:val="single" w:sz="8" w:color="auto"/>
            </w:tcBorders>
            <w:shd w:val="clear" w:color="auto" w:fill="CCEEFF"/>
          </w:tcPr>
          <w:p>
            <w:pPr>
              <w:jc w:val="right"/>
              <w:ind w:right="5"/>
              <w:spacing w:after="0" w:line="75" w:lineRule="exact"/>
              <w:rPr>
                <w:sz w:val="20"/>
                <w:szCs w:val="20"/>
                <w:color w:val="auto"/>
              </w:rPr>
            </w:pPr>
            <w:r>
              <w:rPr>
                <w:rFonts w:ascii="Times New Roman" w:cs="Times New Roman" w:eastAsia="Times New Roman" w:hAnsi="Times New Roman"/>
                <w:sz w:val="7"/>
                <w:szCs w:val="7"/>
                <w:b w:val="1"/>
                <w:bCs w:val="1"/>
                <w:color w:val="auto"/>
              </w:rPr>
              <w:t>18,446,336</w:t>
            </w:r>
          </w:p>
        </w:tc>
      </w:tr>
    </w:tbl>
    <w:p>
      <w:pPr>
        <w:spacing w:after="0" w:line="13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23" w:name="page124"/>
    <w:bookmarkEnd w:id="12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57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r>
        <w:trPr>
          <w:trHeight w:val="94"/>
        </w:trPr>
        <w:tc>
          <w:tcPr>
            <w:tcW w:w="572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37"/>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37"/>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97"/>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c>
          <w:tcPr>
            <w:tcW w:w="40" w:type="dxa"/>
            <w:vAlign w:val="bottom"/>
            <w:tcBorders>
              <w:bottom w:val="single" w:sz="8" w:color="auto"/>
            </w:tcBorders>
          </w:tcPr>
          <w:p>
            <w:pPr>
              <w:spacing w:after="0"/>
              <w:rPr>
                <w:sz w:val="8"/>
                <w:szCs w:val="8"/>
                <w:color w:val="auto"/>
              </w:rPr>
            </w:pPr>
          </w:p>
        </w:tc>
      </w:tr>
      <w:tr>
        <w:trPr>
          <w:trHeight w:val="141"/>
        </w:trPr>
        <w:tc>
          <w:tcPr>
            <w:tcW w:w="57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2"/>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362,730</w:t>
            </w:r>
          </w:p>
        </w:tc>
        <w:tc>
          <w:tcPr>
            <w:tcW w:w="4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599,221</w:t>
            </w:r>
          </w:p>
        </w:tc>
        <w:tc>
          <w:tcPr>
            <w:tcW w:w="140" w:type="dxa"/>
            <w:vAlign w:val="bottom"/>
          </w:tcPr>
          <w:p>
            <w:pPr>
              <w:spacing w:after="0"/>
              <w:rPr>
                <w:sz w:val="13"/>
                <w:szCs w:val="13"/>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341,115</w:t>
            </w:r>
          </w:p>
        </w:tc>
      </w:tr>
      <w:tr>
        <w:trPr>
          <w:trHeight w:val="1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Gain on disposition of properties / deconsolidation, net</w:t>
            </w:r>
          </w:p>
        </w:tc>
        <w:tc>
          <w:tcPr>
            <w:tcW w:w="2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(316,894)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(335,148)</w:t>
            </w:r>
          </w:p>
        </w:tc>
        <w:tc>
          <w:tcPr>
            <w:tcW w:w="2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(80,049)</w:t>
            </w:r>
          </w:p>
        </w:tc>
      </w:tr>
      <w:tr>
        <w:trPr>
          <w:trHeight w:val="1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on sale of marketable equity security</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(17,883)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Unrealized gain on marketable equity security</w:t>
            </w:r>
          </w:p>
        </w:tc>
        <w:tc>
          <w:tcPr>
            <w:tcW w:w="2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(46,492)</w:t>
            </w:r>
          </w:p>
        </w:tc>
        <w:tc>
          <w:tcPr>
            <w:tcW w:w="2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(1,631)</w:t>
            </w:r>
          </w:p>
        </w:tc>
      </w:tr>
      <w:tr>
        <w:trPr>
          <w:trHeight w:val="1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Impairment of investments in real estate</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5,351</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Equity in loss of unconsolidated joint ventures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57,629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(8,067)</w:t>
            </w:r>
          </w:p>
        </w:tc>
        <w:tc>
          <w:tcPr>
            <w:tcW w:w="2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(32,979)</w:t>
            </w:r>
          </w:p>
        </w:tc>
      </w:tr>
      <w:tr>
        <w:trPr>
          <w:trHeight w:val="1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Distributions from unconsolidated joint ventures</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39,878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44,293</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21,905</w:t>
            </w:r>
          </w:p>
        </w:tc>
      </w:tr>
      <w:tr>
        <w:trPr>
          <w:trHeight w:val="152"/>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Write-off due to early lease terminations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2,818</w:t>
            </w:r>
          </w:p>
        </w:tc>
      </w:tr>
      <w:tr>
        <w:trPr>
          <w:trHeight w:val="1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7"/>
              </w:rPr>
              <w:t>Depreciation and amortization of buildings and improvements, tenant improvements and acquired ground leases</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1,010,538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809,472</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770,275</w:t>
            </w:r>
          </w:p>
        </w:tc>
      </w:tr>
      <w:tr>
        <w:trPr>
          <w:trHeight w:val="152"/>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customer relationship value, acquired in-place lease value and deferred leasing costs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355,841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354,302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416,621</w:t>
            </w:r>
          </w:p>
        </w:tc>
      </w:tr>
      <w:tr>
        <w:trPr>
          <w:trHeight w:val="1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share-based compensation</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74,577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34,905</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27,159</w:t>
            </w:r>
          </w:p>
        </w:tc>
      </w:tr>
      <w:tr>
        <w:trPr>
          <w:trHeight w:val="152"/>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Non-cash amortization of terminated swaps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1,120</w:t>
            </w:r>
          </w:p>
        </w:tc>
      </w:tr>
      <w:tr>
        <w:trPr>
          <w:trHeight w:val="1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6,304</w:t>
            </w:r>
          </w:p>
        </w:tc>
      </w:tr>
      <w:tr>
        <w:trPr>
          <w:trHeight w:val="152"/>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15,286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13,362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11,537</w:t>
            </w:r>
          </w:p>
        </w:tc>
      </w:tr>
      <w:tr>
        <w:trPr>
          <w:trHeight w:val="1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early extinguishment of debt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103,215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39,157</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1,568</w:t>
            </w:r>
          </w:p>
        </w:tc>
      </w:tr>
      <w:tr>
        <w:trPr>
          <w:trHeight w:val="152"/>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debt discount/premium</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3,538</w:t>
            </w:r>
          </w:p>
        </w:tc>
      </w:tr>
      <w:tr>
        <w:trPr>
          <w:trHeight w:val="1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acquired above-market leases and acquired below-market leases, net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12,686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17,097</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26,530</w:t>
            </w:r>
          </w:p>
        </w:tc>
      </w:tr>
      <w:tr>
        <w:trPr>
          <w:trHeight w:val="152"/>
        </w:trPr>
        <w:tc>
          <w:tcPr>
            <w:tcW w:w="5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Changes in assets and liabilities: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Accounts and other receivables</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(8,435)</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(21,318)</w:t>
            </w:r>
          </w:p>
        </w:tc>
      </w:tr>
      <w:tr>
        <w:trPr>
          <w:trHeight w:val="152"/>
        </w:trPr>
        <w:tc>
          <w:tcPr>
            <w:tcW w:w="5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rent</w:t>
            </w:r>
          </w:p>
        </w:tc>
        <w:tc>
          <w:tcPr>
            <w:tcW w:w="2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(30,430)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(47,858)</w:t>
            </w:r>
          </w:p>
        </w:tc>
        <w:tc>
          <w:tcPr>
            <w:tcW w:w="2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(39,905)</w:t>
            </w:r>
          </w:p>
        </w:tc>
      </w:tr>
      <w:tr>
        <w:trPr>
          <w:trHeight w:val="152"/>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leasing costs</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(60,966)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(31,270)</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(72,104)</w:t>
            </w:r>
          </w:p>
        </w:tc>
      </w:tr>
      <w:tr>
        <w:trPr>
          <w:trHeight w:val="152"/>
        </w:trPr>
        <w:tc>
          <w:tcPr>
            <w:tcW w:w="5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(14,363)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(15,599)</w:t>
            </w:r>
          </w:p>
        </w:tc>
        <w:tc>
          <w:tcPr>
            <w:tcW w:w="2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(9,145)</w:t>
            </w:r>
          </w:p>
        </w:tc>
      </w:tr>
      <w:tr>
        <w:trPr>
          <w:trHeight w:val="152"/>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Accounts payable, operating lease liabilities and other accrued liabilities</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72,280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77,597</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63,476</w:t>
            </w:r>
          </w:p>
        </w:tc>
      </w:tr>
      <w:tr>
        <w:trPr>
          <w:trHeight w:val="152"/>
        </w:trPr>
        <w:tc>
          <w:tcPr>
            <w:tcW w:w="5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tax liability, net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(9,442)</w:t>
            </w:r>
          </w:p>
        </w:tc>
        <w:tc>
          <w:tcPr>
            <w:tcW w:w="2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(24,284)</w:t>
            </w:r>
          </w:p>
        </w:tc>
      </w:tr>
      <w:tr>
        <w:trPr>
          <w:trHeight w:val="152"/>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Security deposits and prepaid rents</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4,505</w:t>
            </w:r>
          </w:p>
        </w:tc>
        <w:tc>
          <w:tcPr>
            <w:tcW w:w="1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(27,227)</w:t>
            </w:r>
          </w:p>
        </w:tc>
      </w:tr>
      <w:tr>
        <w:trPr>
          <w:trHeight w:val="141"/>
        </w:trPr>
        <w:tc>
          <w:tcPr>
            <w:tcW w:w="5720" w:type="dxa"/>
            <w:vAlign w:val="bottom"/>
            <w:tcBorders>
              <w:bottom w:val="single" w:sz="8" w:color="CCEEFF"/>
            </w:tcBorders>
          </w:tcPr>
          <w:p>
            <w:pPr>
              <w:spacing w:after="0" w:line="141"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1,706,541</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1,513,817</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40"/>
              <w:spacing w:after="0" w:line="141" w:lineRule="exact"/>
              <w:rPr>
                <w:sz w:val="20"/>
                <w:szCs w:val="20"/>
                <w:color w:val="auto"/>
              </w:rPr>
            </w:pPr>
            <w:r>
              <w:rPr>
                <w:rFonts w:ascii="Times New Roman" w:cs="Times New Roman" w:eastAsia="Times New Roman" w:hAnsi="Times New Roman"/>
                <w:sz w:val="13"/>
                <w:szCs w:val="13"/>
                <w:color w:val="auto"/>
              </w:rPr>
              <w:t>1,385,324</w:t>
            </w:r>
          </w:p>
        </w:tc>
      </w:tr>
      <w:tr>
        <w:trPr>
          <w:trHeight w:val="141"/>
        </w:trPr>
        <w:tc>
          <w:tcPr>
            <w:tcW w:w="57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2"/>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Improvements to investments in real estate</w:t>
            </w:r>
          </w:p>
        </w:tc>
        <w:tc>
          <w:tcPr>
            <w:tcW w:w="2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(2,064,066)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(1,436,902)</w:t>
            </w:r>
          </w:p>
        </w:tc>
        <w:tc>
          <w:tcPr>
            <w:tcW w:w="2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(1,325,162)</w:t>
            </w:r>
          </w:p>
        </w:tc>
      </w:tr>
      <w:tr>
        <w:trPr>
          <w:trHeight w:val="1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acquisitions</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(1,029,652)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(75,704)</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(2,090,542)</w:t>
            </w:r>
          </w:p>
        </w:tc>
      </w:tr>
      <w:tr>
        <w:trPr>
          <w:trHeight w:val="152"/>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Deconsolidation of Ascenty cash</w:t>
            </w:r>
          </w:p>
        </w:tc>
        <w:tc>
          <w:tcPr>
            <w:tcW w:w="24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(97,081)</w:t>
            </w:r>
          </w:p>
        </w:tc>
        <w:tc>
          <w:tcPr>
            <w:tcW w:w="2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joint venture transactions</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1,494,881</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sale of marketable equity security</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70,019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assumed in acquisitions</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121,085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116,000</w:t>
            </w:r>
          </w:p>
        </w:tc>
      </w:tr>
      <w:tr>
        <w:trPr>
          <w:trHeight w:val="152"/>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sale of assets, net of sales costs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564,615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286,204</w:t>
            </w:r>
          </w:p>
        </w:tc>
      </w:tr>
      <w:tr>
        <w:trPr>
          <w:trHeight w:val="1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in unconsolidated joint ventures</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(144,323)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(101,101)</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w:t>
            </w:r>
          </w:p>
        </w:tc>
      </w:tr>
      <w:tr>
        <w:trPr>
          <w:trHeight w:val="152"/>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Prepaid construction costs and other investments</w:t>
            </w:r>
          </w:p>
        </w:tc>
        <w:tc>
          <w:tcPr>
            <w:tcW w:w="2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(86,887)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(20,672)</w:t>
            </w:r>
          </w:p>
        </w:tc>
        <w:tc>
          <w:tcPr>
            <w:tcW w:w="2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(13,254)</w:t>
            </w:r>
          </w:p>
        </w:tc>
      </w:tr>
      <w:tr>
        <w:trPr>
          <w:trHeight w:val="1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Improvement advances to tenants</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(114,614)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(66,078)</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(48,502)</w:t>
            </w:r>
          </w:p>
        </w:tc>
      </w:tr>
      <w:tr>
        <w:trPr>
          <w:trHeight w:val="152"/>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Collection of improvement advances to tenants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84,476</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27,665</w:t>
            </w: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39,936</w:t>
            </w:r>
          </w:p>
        </w:tc>
      </w:tr>
      <w:tr>
        <w:trPr>
          <w:trHeight w:val="161"/>
        </w:trPr>
        <w:tc>
          <w:tcPr>
            <w:tcW w:w="572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(2,599,347)</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(274,992)</w:t>
            </w: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(3,035,993)</w:t>
            </w:r>
          </w:p>
        </w:tc>
      </w:tr>
      <w:tr>
        <w:trPr>
          <w:trHeight w:val="596"/>
        </w:trPr>
        <w:tc>
          <w:tcPr>
            <w:tcW w:w="5720" w:type="dxa"/>
            <w:vAlign w:val="bottom"/>
          </w:tcPr>
          <w:p>
            <w:pPr>
              <w:ind w:left="4400"/>
              <w:spacing w:after="0"/>
              <w:rPr>
                <w:sz w:val="20"/>
                <w:szCs w:val="20"/>
                <w:color w:val="auto"/>
              </w:rPr>
            </w:pPr>
            <w:r>
              <w:rPr>
                <w:rFonts w:ascii="Times New Roman" w:cs="Times New Roman" w:eastAsia="Times New Roman" w:hAnsi="Times New Roman"/>
                <w:sz w:val="13"/>
                <w:szCs w:val="13"/>
                <w:color w:val="auto"/>
              </w:rPr>
              <w:t>119</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0"/>
        </w:trPr>
        <w:tc>
          <w:tcPr>
            <w:tcW w:w="5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020"/>
          </w:cols>
          <w:pgMar w:left="1440" w:top="402" w:right="1439" w:bottom="1440" w:gutter="0" w:footer="0" w:header="0"/>
        </w:sectPr>
      </w:pPr>
    </w:p>
    <w:bookmarkStart w:id="124" w:name="page125"/>
    <w:bookmarkEnd w:id="12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 (continued)</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4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r>
        <w:trPr>
          <w:trHeight w:val="94"/>
        </w:trPr>
        <w:tc>
          <w:tcPr>
            <w:tcW w:w="4380" w:type="dxa"/>
            <w:vAlign w:val="bottom"/>
            <w:tcBorders>
              <w:bottom w:val="single" w:sz="8" w:color="CCEEFF"/>
            </w:tcBorders>
          </w:tcPr>
          <w:p>
            <w:pPr>
              <w:spacing w:after="0"/>
              <w:rPr>
                <w:sz w:val="8"/>
                <w:szCs w:val="8"/>
                <w:color w:val="auto"/>
              </w:rPr>
            </w:pPr>
          </w:p>
        </w:tc>
        <w:tc>
          <w:tcPr>
            <w:tcW w:w="134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37"/>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37"/>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97"/>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c>
          <w:tcPr>
            <w:tcW w:w="40" w:type="dxa"/>
            <w:vAlign w:val="bottom"/>
            <w:tcBorders>
              <w:bottom w:val="single" w:sz="8" w:color="auto"/>
            </w:tcBorders>
          </w:tcPr>
          <w:p>
            <w:pPr>
              <w:spacing w:after="0"/>
              <w:rPr>
                <w:sz w:val="8"/>
                <w:szCs w:val="8"/>
                <w:color w:val="auto"/>
              </w:rPr>
            </w:pPr>
          </w:p>
        </w:tc>
      </w:tr>
      <w:tr>
        <w:trPr>
          <w:trHeight w:val="141"/>
        </w:trPr>
        <w:tc>
          <w:tcPr>
            <w:tcW w:w="4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Borrowings on global revolving credit facilities</w:t>
            </w:r>
          </w:p>
        </w:tc>
        <w:tc>
          <w:tcPr>
            <w:tcW w:w="1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3,638,932</w:t>
            </w:r>
          </w:p>
        </w:tc>
        <w:tc>
          <w:tcPr>
            <w:tcW w:w="40" w:type="dxa"/>
            <w:vAlign w:val="bottom"/>
          </w:tcPr>
          <w:p>
            <w:pPr>
              <w:spacing w:after="0"/>
              <w:rPr>
                <w:sz w:val="13"/>
                <w:szCs w:val="13"/>
                <w:color w:val="auto"/>
              </w:rPr>
            </w:pPr>
          </w:p>
        </w:tc>
        <w:tc>
          <w:tcPr>
            <w:tcW w:w="320" w:type="dxa"/>
            <w:vAlign w:val="bottom"/>
            <w:gridSpan w:val="2"/>
          </w:tcPr>
          <w:p>
            <w:pPr>
              <w:jc w:val="right"/>
              <w:ind w:right="10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3,099,685</w:t>
            </w:r>
          </w:p>
        </w:tc>
        <w:tc>
          <w:tcPr>
            <w:tcW w:w="140" w:type="dxa"/>
            <w:vAlign w:val="bottom"/>
          </w:tcPr>
          <w:p>
            <w:pPr>
              <w:spacing w:after="0"/>
              <w:rPr>
                <w:sz w:val="13"/>
                <w:szCs w:val="13"/>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3,046,245</w:t>
            </w:r>
          </w:p>
        </w:tc>
        <w:tc>
          <w:tcPr>
            <w:tcW w:w="40" w:type="dxa"/>
            <w:vAlign w:val="bottom"/>
          </w:tcPr>
          <w:p>
            <w:pPr>
              <w:spacing w:after="0"/>
              <w:rPr>
                <w:sz w:val="13"/>
                <w:szCs w:val="13"/>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Repayments on global revolving credit facilities</w:t>
            </w:r>
          </w:p>
        </w:tc>
        <w:tc>
          <w:tcPr>
            <w:tcW w:w="1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(3,476,821)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(4,512,073)</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(1,945,594)</w:t>
            </w: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Borrowings on unsecured term loans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467,922</w:t>
            </w:r>
          </w:p>
        </w:tc>
        <w:tc>
          <w:tcPr>
            <w:tcW w:w="40" w:type="dxa"/>
            <w:vAlign w:val="bottom"/>
          </w:tcPr>
          <w:p>
            <w:pPr>
              <w:spacing w:after="0"/>
              <w:rPr>
                <w:sz w:val="13"/>
                <w:szCs w:val="13"/>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Repayments on unsecured term loans</w:t>
            </w:r>
          </w:p>
        </w:tc>
        <w:tc>
          <w:tcPr>
            <w:tcW w:w="1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(300,000)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(375,000)</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(674,332)</w:t>
            </w: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Borrowings on unsecured senior notes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3,573,120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2,869,240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1,169,006</w:t>
            </w:r>
          </w:p>
        </w:tc>
        <w:tc>
          <w:tcPr>
            <w:tcW w:w="40" w:type="dxa"/>
            <w:vAlign w:val="bottom"/>
          </w:tcPr>
          <w:p>
            <w:pPr>
              <w:spacing w:after="0"/>
              <w:rPr>
                <w:sz w:val="13"/>
                <w:szCs w:val="13"/>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Repayments on unsecured senior notes</w:t>
            </w:r>
          </w:p>
        </w:tc>
        <w:tc>
          <w:tcPr>
            <w:tcW w:w="1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(2,623,383)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(1,539,613)</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Borrowings on secured debt</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40" w:type="dxa"/>
            <w:vAlign w:val="bottom"/>
          </w:tcPr>
          <w:p>
            <w:pPr>
              <w:spacing w:after="0"/>
              <w:rPr>
                <w:sz w:val="13"/>
                <w:szCs w:val="13"/>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Principal payments on secured debt</w:t>
            </w:r>
          </w:p>
        </w:tc>
        <w:tc>
          <w:tcPr>
            <w:tcW w:w="1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(5,541)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(688)</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w:t>
            </w: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Payment of loan fees and costs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(23,921)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(20,944)</w:t>
            </w:r>
          </w:p>
        </w:tc>
        <w:tc>
          <w:tcPr>
            <w:tcW w:w="22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(44,299)</w:t>
            </w: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Premium paid for early extinguishment of debt</w:t>
            </w:r>
          </w:p>
        </w:tc>
        <w:tc>
          <w:tcPr>
            <w:tcW w:w="1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(96,124)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(35,067)</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w w:val="98"/>
              </w:rPr>
              <w:t>Capital contributions from noncontrolling interests in consolidated joint ventures, net</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102,285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63,173</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66,124</w:t>
            </w:r>
          </w:p>
        </w:tc>
        <w:tc>
          <w:tcPr>
            <w:tcW w:w="40" w:type="dxa"/>
            <w:vAlign w:val="bottom"/>
          </w:tcPr>
          <w:p>
            <w:pPr>
              <w:spacing w:after="0"/>
              <w:rPr>
                <w:sz w:val="13"/>
                <w:szCs w:val="13"/>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partner contributions</w:t>
            </w:r>
          </w:p>
        </w:tc>
        <w:tc>
          <w:tcPr>
            <w:tcW w:w="1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1,886,460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541,082</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40" w:type="dxa"/>
            <w:vAlign w:val="bottom"/>
            <w:shd w:val="clear" w:color="auto" w:fill="CCEEFF"/>
          </w:tcPr>
          <w:p>
            <w:pPr>
              <w:spacing w:after="0"/>
              <w:rPr>
                <w:sz w:val="13"/>
                <w:szCs w:val="13"/>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General partner distributions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(500,000)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(365,050)</w:t>
            </w:r>
          </w:p>
        </w:tc>
        <w:tc>
          <w:tcPr>
            <w:tcW w:w="2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forward swap contract</w:t>
            </w:r>
          </w:p>
        </w:tc>
        <w:tc>
          <w:tcPr>
            <w:tcW w:w="1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40" w:type="dxa"/>
            <w:vAlign w:val="bottom"/>
            <w:shd w:val="clear" w:color="auto" w:fill="CCEEFF"/>
          </w:tcPr>
          <w:p>
            <w:pPr>
              <w:spacing w:after="0"/>
              <w:rPr>
                <w:sz w:val="13"/>
                <w:szCs w:val="13"/>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Payment of distributions to preferred unitholders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(76,536)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(74,990)</w:t>
            </w:r>
          </w:p>
        </w:tc>
        <w:tc>
          <w:tcPr>
            <w:tcW w:w="22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(81,316)</w:t>
            </w: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 of distributions to common unitholders</w:t>
            </w:r>
          </w:p>
        </w:tc>
        <w:tc>
          <w:tcPr>
            <w:tcW w:w="1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(1,162,782)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(921,776)</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(849,466)</w:t>
            </w:r>
          </w:p>
        </w:tc>
      </w:tr>
      <w:tr>
        <w:trPr>
          <w:trHeight w:val="141"/>
        </w:trPr>
        <w:tc>
          <w:tcPr>
            <w:tcW w:w="4380" w:type="dxa"/>
            <w:vAlign w:val="bottom"/>
            <w:tcBorders>
              <w:bottom w:val="single" w:sz="8" w:color="CCEEFF"/>
            </w:tcBorders>
          </w:tcPr>
          <w:p>
            <w:pPr>
              <w:spacing w:after="0" w:line="141"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13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935,689</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(1,272,021)</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1,757,269</w:t>
            </w:r>
          </w:p>
        </w:tc>
        <w:tc>
          <w:tcPr>
            <w:tcW w:w="40" w:type="dxa"/>
            <w:vAlign w:val="bottom"/>
            <w:tcBorders>
              <w:top w:val="single" w:sz="8" w:color="auto"/>
              <w:bottom w:val="single" w:sz="8" w:color="auto"/>
            </w:tcBorders>
          </w:tcPr>
          <w:p>
            <w:pPr>
              <w:spacing w:after="0"/>
              <w:rPr>
                <w:sz w:val="12"/>
                <w:szCs w:val="12"/>
                <w:color w:val="auto"/>
              </w:rPr>
            </w:pPr>
          </w:p>
        </w:tc>
      </w:tr>
      <w:tr>
        <w:trPr>
          <w:trHeight w:val="141"/>
        </w:trPr>
        <w:tc>
          <w:tcPr>
            <w:tcW w:w="4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42,883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(33,196)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106,600</w:t>
            </w:r>
          </w:p>
        </w:tc>
        <w:tc>
          <w:tcPr>
            <w:tcW w:w="40" w:type="dxa"/>
            <w:vAlign w:val="bottom"/>
            <w:shd w:val="clear" w:color="auto" w:fill="CCEEFF"/>
          </w:tcPr>
          <w:p>
            <w:pPr>
              <w:spacing w:after="0"/>
              <w:rPr>
                <w:sz w:val="12"/>
                <w:szCs w:val="12"/>
                <w:color w:val="auto"/>
              </w:rPr>
            </w:pPr>
          </w:p>
        </w:tc>
      </w:tr>
      <w:tr>
        <w:trPr>
          <w:trHeight w:val="152"/>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(16,484)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(4,773)</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15,441</w:t>
            </w:r>
          </w:p>
        </w:tc>
        <w:tc>
          <w:tcPr>
            <w:tcW w:w="40" w:type="dxa"/>
            <w:vAlign w:val="bottom"/>
          </w:tcPr>
          <w:p>
            <w:pPr>
              <w:spacing w:after="0"/>
              <w:rPr>
                <w:sz w:val="13"/>
                <w:szCs w:val="13"/>
                <w:color w:val="auto"/>
              </w:rPr>
            </w:pPr>
          </w:p>
        </w:tc>
      </w:tr>
      <w:tr>
        <w:trPr>
          <w:trHeight w:val="15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year</w:t>
            </w:r>
          </w:p>
        </w:tc>
        <w:tc>
          <w:tcPr>
            <w:tcW w:w="1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97,253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135,222</w:t>
            </w:r>
          </w:p>
        </w:tc>
        <w:tc>
          <w:tcPr>
            <w:tcW w:w="1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13,181</w:t>
            </w:r>
          </w:p>
        </w:tc>
        <w:tc>
          <w:tcPr>
            <w:tcW w:w="40" w:type="dxa"/>
            <w:vAlign w:val="bottom"/>
            <w:tcBorders>
              <w:bottom w:val="single" w:sz="8" w:color="auto"/>
            </w:tcBorders>
            <w:shd w:val="clear" w:color="auto" w:fill="CCEEFF"/>
          </w:tcPr>
          <w:p>
            <w:pPr>
              <w:spacing w:after="0"/>
              <w:rPr>
                <w:sz w:val="13"/>
                <w:szCs w:val="13"/>
                <w:color w:val="auto"/>
              </w:rPr>
            </w:pPr>
          </w:p>
        </w:tc>
      </w:tr>
      <w:tr>
        <w:trPr>
          <w:trHeight w:val="150"/>
        </w:trPr>
        <w:tc>
          <w:tcPr>
            <w:tcW w:w="43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Cash, cash equivalents and restricted cash at end of year</w:t>
            </w:r>
          </w:p>
        </w:tc>
        <w:tc>
          <w:tcPr>
            <w:tcW w:w="134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123,652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97,253</w:t>
            </w:r>
          </w:p>
        </w:tc>
        <w:tc>
          <w:tcPr>
            <w:tcW w:w="140" w:type="dxa"/>
            <w:vAlign w:val="bottom"/>
          </w:tcPr>
          <w:p>
            <w:pPr>
              <w:spacing w:after="0"/>
              <w:rPr>
                <w:sz w:val="13"/>
                <w:szCs w:val="13"/>
                <w:color w:val="auto"/>
              </w:rPr>
            </w:pP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135,222</w:t>
            </w:r>
          </w:p>
        </w:tc>
        <w:tc>
          <w:tcPr>
            <w:tcW w:w="40" w:type="dxa"/>
            <w:vAlign w:val="bottom"/>
            <w:tcBorders>
              <w:bottom w:val="single" w:sz="8" w:color="auto"/>
            </w:tcBorders>
          </w:tcPr>
          <w:p>
            <w:pPr>
              <w:spacing w:after="0"/>
              <w:rPr>
                <w:sz w:val="13"/>
                <w:szCs w:val="13"/>
                <w:color w:val="auto"/>
              </w:rPr>
            </w:pPr>
          </w:p>
        </w:tc>
      </w:tr>
      <w:tr>
        <w:trPr>
          <w:trHeight w:val="759"/>
        </w:trPr>
        <w:tc>
          <w:tcPr>
            <w:tcW w:w="4380" w:type="dxa"/>
            <w:vAlign w:val="bottom"/>
          </w:tcPr>
          <w:p>
            <w:pPr>
              <w:spacing w:after="0"/>
              <w:rPr>
                <w:sz w:val="24"/>
                <w:szCs w:val="24"/>
                <w:color w:val="auto"/>
              </w:rPr>
            </w:pPr>
          </w:p>
        </w:tc>
        <w:tc>
          <w:tcPr>
            <w:tcW w:w="1340" w:type="dxa"/>
            <w:vAlign w:val="bottom"/>
          </w:tcPr>
          <w:p>
            <w:pPr>
              <w:jc w:val="right"/>
              <w:ind w:right="1077"/>
              <w:spacing w:after="0"/>
              <w:rPr>
                <w:sz w:val="20"/>
                <w:szCs w:val="20"/>
                <w:color w:val="auto"/>
              </w:rPr>
            </w:pPr>
            <w:r>
              <w:rPr>
                <w:rFonts w:ascii="Times New Roman" w:cs="Times New Roman" w:eastAsia="Times New Roman" w:hAnsi="Times New Roman"/>
                <w:sz w:val="13"/>
                <w:szCs w:val="13"/>
                <w:color w:val="auto"/>
                <w:w w:val="92"/>
              </w:rPr>
              <w:t>120</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0"/>
        </w:trPr>
        <w:tc>
          <w:tcPr>
            <w:tcW w:w="4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020"/>
          </w:cols>
          <w:pgMar w:left="1440" w:top="402" w:right="1439" w:bottom="1440" w:gutter="0" w:footer="0" w:header="0"/>
        </w:sectPr>
      </w:pPr>
    </w:p>
    <w:bookmarkStart w:id="125" w:name="page126"/>
    <w:bookmarkEnd w:id="12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221" w:lineRule="exact"/>
        <w:rPr>
          <w:sz w:val="20"/>
          <w:szCs w:val="20"/>
          <w:color w:val="auto"/>
        </w:rPr>
      </w:pPr>
    </w:p>
    <w:p>
      <w:pPr>
        <w:ind w:left="20"/>
        <w:spacing w:after="0"/>
        <w:rPr>
          <w:rFonts w:ascii="Times New Roman" w:cs="Times New Roman" w:eastAsia="Times New Roman" w:hAnsi="Times New Roman"/>
          <w:sz w:val="13"/>
          <w:szCs w:val="13"/>
          <w:u w:val="single" w:color="auto"/>
          <w:color w:val="0000FF"/>
        </w:rPr>
      </w:pPr>
      <w:hyperlink w:anchor="page102">
        <w:r>
          <w:rPr>
            <w:rFonts w:ascii="Times New Roman" w:cs="Times New Roman" w:eastAsia="Times New Roman" w:hAnsi="Times New Roman"/>
            <w:sz w:val="13"/>
            <w:szCs w:val="13"/>
            <w:u w:val="single" w:color="auto"/>
            <w:color w:val="0000FF"/>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60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Year Ended December 31,</w:t>
            </w: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84"/>
        </w:trPr>
        <w:tc>
          <w:tcPr>
            <w:tcW w:w="608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96"/>
              <w:spacing w:after="0" w:line="85" w:lineRule="exact"/>
              <w:rPr>
                <w:sz w:val="20"/>
                <w:szCs w:val="20"/>
                <w:color w:val="auto"/>
              </w:rPr>
            </w:pPr>
            <w:r>
              <w:rPr>
                <w:rFonts w:ascii="Times New Roman" w:cs="Times New Roman" w:eastAsia="Times New Roman" w:hAnsi="Times New Roman"/>
                <w:sz w:val="9"/>
                <w:szCs w:val="9"/>
                <w:b w:val="1"/>
                <w:bCs w:val="1"/>
                <w:color w:val="auto"/>
              </w:rPr>
              <w:t>2020</w:t>
            </w:r>
          </w:p>
        </w:tc>
        <w:tc>
          <w:tcPr>
            <w:tcW w:w="4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276"/>
              <w:spacing w:after="0" w:line="85" w:lineRule="exact"/>
              <w:rPr>
                <w:sz w:val="20"/>
                <w:szCs w:val="20"/>
                <w:color w:val="auto"/>
              </w:rPr>
            </w:pPr>
            <w:r>
              <w:rPr>
                <w:rFonts w:ascii="Times New Roman" w:cs="Times New Roman" w:eastAsia="Times New Roman" w:hAnsi="Times New Roman"/>
                <w:sz w:val="9"/>
                <w:szCs w:val="9"/>
                <w:b w:val="1"/>
                <w:bCs w:val="1"/>
                <w:color w:val="auto"/>
              </w:rPr>
              <w:t>2019</w:t>
            </w:r>
          </w:p>
        </w:tc>
        <w:tc>
          <w:tcPr>
            <w:tcW w:w="2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96"/>
              <w:spacing w:after="0" w:line="85" w:lineRule="exact"/>
              <w:rPr>
                <w:sz w:val="20"/>
                <w:szCs w:val="20"/>
                <w:color w:val="auto"/>
              </w:rPr>
            </w:pPr>
            <w:r>
              <w:rPr>
                <w:rFonts w:ascii="Times New Roman" w:cs="Times New Roman" w:eastAsia="Times New Roman" w:hAnsi="Times New Roman"/>
                <w:sz w:val="9"/>
                <w:szCs w:val="9"/>
                <w:b w:val="1"/>
                <w:bCs w:val="1"/>
                <w:color w:val="auto"/>
              </w:rPr>
              <w:t>2018</w:t>
            </w:r>
          </w:p>
        </w:tc>
        <w:tc>
          <w:tcPr>
            <w:tcW w:w="20" w:type="dxa"/>
            <w:vAlign w:val="bottom"/>
          </w:tcPr>
          <w:p>
            <w:pPr>
              <w:spacing w:after="0"/>
              <w:rPr>
                <w:sz w:val="7"/>
                <w:szCs w:val="7"/>
                <w:color w:val="auto"/>
              </w:rPr>
            </w:pPr>
          </w:p>
        </w:tc>
      </w:tr>
      <w:tr>
        <w:trPr>
          <w:trHeight w:val="84"/>
        </w:trPr>
        <w:tc>
          <w:tcPr>
            <w:tcW w:w="608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b w:val="1"/>
                <w:bCs w:val="1"/>
                <w:color w:val="auto"/>
              </w:rPr>
              <w:t>Supplemental disclosure of cash flow information:</w:t>
            </w: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5"/>
        </w:trPr>
        <w:tc>
          <w:tcPr>
            <w:tcW w:w="608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Cash paid for interest, net of amounts capitalized</w:t>
            </w: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301,938</w:t>
            </w:r>
          </w:p>
        </w:tc>
        <w:tc>
          <w:tcPr>
            <w:tcW w:w="40" w:type="dxa"/>
            <w:vAlign w:val="bottom"/>
          </w:tcPr>
          <w:p>
            <w:pPr>
              <w:spacing w:after="0"/>
              <w:rPr>
                <w:sz w:val="8"/>
                <w:szCs w:val="8"/>
                <w:color w:val="auto"/>
              </w:rPr>
            </w:pPr>
          </w:p>
        </w:tc>
        <w:tc>
          <w:tcPr>
            <w:tcW w:w="320" w:type="dxa"/>
            <w:vAlign w:val="bottom"/>
            <w:gridSpan w:val="2"/>
          </w:tcPr>
          <w:p>
            <w:pPr>
              <w:jc w:val="right"/>
              <w:ind w:right="118"/>
              <w:spacing w:after="0" w:line="95"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312,848</w:t>
            </w:r>
          </w:p>
        </w:tc>
        <w:tc>
          <w:tcPr>
            <w:tcW w:w="200" w:type="dxa"/>
            <w:vAlign w:val="bottom"/>
          </w:tcPr>
          <w:p>
            <w:pPr>
              <w:spacing w:after="0"/>
              <w:rPr>
                <w:sz w:val="8"/>
                <w:szCs w:val="8"/>
                <w:color w:val="auto"/>
              </w:rPr>
            </w:pP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288,643</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Cash paid for income taxes</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20,055</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14,607</w:t>
            </w: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11,224</w:t>
            </w:r>
          </w:p>
        </w:tc>
        <w:tc>
          <w:tcPr>
            <w:tcW w:w="20" w:type="dxa"/>
            <w:vAlign w:val="bottom"/>
          </w:tcPr>
          <w:p>
            <w:pPr>
              <w:spacing w:after="0"/>
              <w:rPr>
                <w:sz w:val="8"/>
                <w:szCs w:val="8"/>
                <w:color w:val="auto"/>
              </w:rPr>
            </w:pP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b w:val="1"/>
                <w:bCs w:val="1"/>
                <w:color w:val="auto"/>
              </w:rPr>
              <w:t>Supplementary disclosure of noncash investing and financing activities:</w:t>
            </w: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Change in net assets related to foreign currency translation adjustments</w:t>
            </w:r>
          </w:p>
        </w:tc>
        <w:tc>
          <w:tcPr>
            <w:tcW w:w="1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230,340</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18"/>
              <w:spacing w:after="0" w:line="95"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45,662</w:t>
            </w: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(11,736)</w:t>
            </w:r>
          </w:p>
        </w:tc>
        <w:tc>
          <w:tcPr>
            <w:tcW w:w="20" w:type="dxa"/>
            <w:vAlign w:val="bottom"/>
          </w:tcPr>
          <w:p>
            <w:pPr>
              <w:spacing w:after="0"/>
              <w:rPr>
                <w:sz w:val="8"/>
                <w:szCs w:val="8"/>
                <w:color w:val="auto"/>
              </w:rPr>
            </w:pPr>
          </w:p>
        </w:tc>
      </w:tr>
      <w:tr>
        <w:trPr>
          <w:trHeight w:val="95"/>
        </w:trPr>
        <w:tc>
          <w:tcPr>
            <w:tcW w:w="608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(Decrease) increase in other assets related to change in fair value of interest rate swaps</w:t>
            </w:r>
          </w:p>
        </w:tc>
        <w:tc>
          <w:tcPr>
            <w:tcW w:w="180" w:type="dxa"/>
            <w:vAlign w:val="bottom"/>
          </w:tcPr>
          <w:p>
            <w:pPr>
              <w:spacing w:after="0"/>
              <w:rPr>
                <w:sz w:val="8"/>
                <w:szCs w:val="8"/>
                <w:color w:val="auto"/>
              </w:rPr>
            </w:pPr>
          </w:p>
        </w:tc>
        <w:tc>
          <w:tcPr>
            <w:tcW w:w="70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(12,425)</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(9,232)</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8,197</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Limited Partner common units converted to General Partner common units</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92,553</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190,514</w:t>
            </w: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149,547</w:t>
            </w:r>
          </w:p>
        </w:tc>
        <w:tc>
          <w:tcPr>
            <w:tcW w:w="20" w:type="dxa"/>
            <w:vAlign w:val="bottom"/>
          </w:tcPr>
          <w:p>
            <w:pPr>
              <w:spacing w:after="0"/>
              <w:rPr>
                <w:sz w:val="8"/>
                <w:szCs w:val="8"/>
                <w:color w:val="auto"/>
              </w:rPr>
            </w:pPr>
          </w:p>
        </w:tc>
      </w:tr>
      <w:tr>
        <w:trPr>
          <w:trHeight w:val="95"/>
        </w:trPr>
        <w:tc>
          <w:tcPr>
            <w:tcW w:w="608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Accrual for additions to investments in real estate and tenant improvement advances included in accounts payable and other accrued liabilities</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358,694</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197,665</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189,508</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Assumption of capital lease obligations upon acquisition</w:t>
            </w:r>
          </w:p>
        </w:tc>
        <w:tc>
          <w:tcPr>
            <w:tcW w:w="1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95"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75,030</w:t>
            </w:r>
          </w:p>
        </w:tc>
        <w:tc>
          <w:tcPr>
            <w:tcW w:w="20" w:type="dxa"/>
            <w:vAlign w:val="bottom"/>
          </w:tcPr>
          <w:p>
            <w:pPr>
              <w:spacing w:after="0"/>
              <w:rPr>
                <w:sz w:val="8"/>
                <w:szCs w:val="8"/>
                <w:color w:val="auto"/>
              </w:rPr>
            </w:pPr>
          </w:p>
        </w:tc>
      </w:tr>
      <w:tr>
        <w:trPr>
          <w:trHeight w:val="95"/>
        </w:trPr>
        <w:tc>
          <w:tcPr>
            <w:tcW w:w="6080" w:type="dxa"/>
            <w:vAlign w:val="bottom"/>
          </w:tcPr>
          <w:p>
            <w:pPr>
              <w:ind w:left="80"/>
              <w:spacing w:after="0" w:line="95" w:lineRule="exact"/>
              <w:rPr>
                <w:sz w:val="20"/>
                <w:szCs w:val="20"/>
                <w:color w:val="auto"/>
              </w:rPr>
            </w:pPr>
            <w:r>
              <w:rPr>
                <w:rFonts w:ascii="Times New Roman" w:cs="Times New Roman" w:eastAsia="Times New Roman" w:hAnsi="Times New Roman"/>
                <w:sz w:val="9"/>
                <w:szCs w:val="9"/>
                <w:color w:val="auto"/>
              </w:rPr>
              <w:t>Non-cash derecognition of capital lease obligation</w:t>
            </w:r>
          </w:p>
        </w:tc>
        <w:tc>
          <w:tcPr>
            <w:tcW w:w="180" w:type="dxa"/>
            <w:vAlign w:val="bottom"/>
          </w:tcPr>
          <w:p>
            <w:pPr>
              <w:spacing w:after="0"/>
              <w:rPr>
                <w:sz w:val="8"/>
                <w:szCs w:val="8"/>
                <w:color w:val="auto"/>
              </w:rPr>
            </w:pPr>
          </w:p>
        </w:tc>
        <w:tc>
          <w:tcPr>
            <w:tcW w:w="700" w:type="dxa"/>
            <w:vAlign w:val="bottom"/>
            <w:gridSpan w:val="2"/>
          </w:tcPr>
          <w:p>
            <w:pPr>
              <w:jc w:val="right"/>
              <w:ind w:right="80"/>
              <w:spacing w:after="0" w:line="95"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17,294</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ind w:left="80"/>
              <w:spacing w:after="0" w:line="95" w:lineRule="exact"/>
              <w:rPr>
                <w:sz w:val="20"/>
                <w:szCs w:val="20"/>
                <w:color w:val="auto"/>
              </w:rPr>
            </w:pPr>
            <w:r>
              <w:rPr>
                <w:rFonts w:ascii="Times New Roman" w:cs="Times New Roman" w:eastAsia="Times New Roman" w:hAnsi="Times New Roman"/>
                <w:sz w:val="9"/>
                <w:szCs w:val="9"/>
                <w:color w:val="auto"/>
              </w:rPr>
              <w:t>Decrease to goodwill and deferred tax liability</w:t>
            </w:r>
          </w:p>
        </w:tc>
        <w:tc>
          <w:tcPr>
            <w:tcW w:w="1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95"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(9,436)</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Allocation of purchase price of real estate/investment in partnership to:</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Investments in real estate</w:t>
            </w: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945,144</w:t>
            </w:r>
          </w:p>
        </w:tc>
        <w:tc>
          <w:tcPr>
            <w:tcW w:w="40" w:type="dxa"/>
            <w:vAlign w:val="bottom"/>
          </w:tcPr>
          <w:p>
            <w:pPr>
              <w:spacing w:after="0"/>
              <w:rPr>
                <w:sz w:val="8"/>
                <w:szCs w:val="8"/>
                <w:color w:val="auto"/>
              </w:rPr>
            </w:pPr>
          </w:p>
        </w:tc>
        <w:tc>
          <w:tcPr>
            <w:tcW w:w="320" w:type="dxa"/>
            <w:vAlign w:val="bottom"/>
            <w:gridSpan w:val="2"/>
          </w:tcPr>
          <w:p>
            <w:pPr>
              <w:jc w:val="right"/>
              <w:ind w:right="118"/>
              <w:spacing w:after="0" w:line="95"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74,903</w:t>
            </w:r>
          </w:p>
        </w:tc>
        <w:tc>
          <w:tcPr>
            <w:tcW w:w="200" w:type="dxa"/>
            <w:vAlign w:val="bottom"/>
          </w:tcPr>
          <w:p>
            <w:pPr>
              <w:spacing w:after="0"/>
              <w:rPr>
                <w:sz w:val="8"/>
                <w:szCs w:val="8"/>
                <w:color w:val="auto"/>
              </w:rPr>
            </w:pP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410,712</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Cash and cash equivalents</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12,537</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Account receivables</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8,509</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76</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Operating lease right-of-use assets</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1,332</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Goodwill</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188,654</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Customer relationship value and other intangibles</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68,406</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725</w:t>
            </w: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Other assets</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1,326</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Secured debt</w:t>
            </w:r>
          </w:p>
        </w:tc>
        <w:tc>
          <w:tcPr>
            <w:tcW w:w="1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(139,569)</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Accounts payable and other accrued liabilities</w:t>
            </w:r>
          </w:p>
        </w:tc>
        <w:tc>
          <w:tcPr>
            <w:tcW w:w="180" w:type="dxa"/>
            <w:vAlign w:val="bottom"/>
          </w:tcPr>
          <w:p>
            <w:pPr>
              <w:spacing w:after="0"/>
              <w:rPr>
                <w:sz w:val="8"/>
                <w:szCs w:val="8"/>
                <w:color w:val="auto"/>
              </w:rPr>
            </w:pPr>
          </w:p>
        </w:tc>
        <w:tc>
          <w:tcPr>
            <w:tcW w:w="70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(20,717)</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Operating lease liabilities</w:t>
            </w:r>
          </w:p>
        </w:tc>
        <w:tc>
          <w:tcPr>
            <w:tcW w:w="1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(1,384)</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Security deposits and prepaid rents</w:t>
            </w:r>
          </w:p>
        </w:tc>
        <w:tc>
          <w:tcPr>
            <w:tcW w:w="180" w:type="dxa"/>
            <w:vAlign w:val="bottom"/>
          </w:tcPr>
          <w:p>
            <w:pPr>
              <w:spacing w:after="0"/>
              <w:rPr>
                <w:sz w:val="8"/>
                <w:szCs w:val="8"/>
                <w:color w:val="auto"/>
              </w:rPr>
            </w:pPr>
          </w:p>
        </w:tc>
        <w:tc>
          <w:tcPr>
            <w:tcW w:w="70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(703)</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Common units issued</w:t>
            </w:r>
          </w:p>
        </w:tc>
        <w:tc>
          <w:tcPr>
            <w:tcW w:w="1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(28,168)</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Noncontrolling interests in consolidated joint venture</w:t>
            </w:r>
          </w:p>
        </w:tc>
        <w:tc>
          <w:tcPr>
            <w:tcW w:w="180" w:type="dxa"/>
            <w:vAlign w:val="bottom"/>
          </w:tcPr>
          <w:p>
            <w:pPr>
              <w:spacing w:after="0"/>
              <w:rPr>
                <w:sz w:val="8"/>
                <w:szCs w:val="8"/>
                <w:color w:val="auto"/>
              </w:rPr>
            </w:pPr>
          </w:p>
        </w:tc>
        <w:tc>
          <w:tcPr>
            <w:tcW w:w="70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(5,715)</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3"/>
        </w:trPr>
        <w:tc>
          <w:tcPr>
            <w:tcW w:w="6080" w:type="dxa"/>
            <w:vAlign w:val="bottom"/>
            <w:tcBorders>
              <w:top w:val="single" w:sz="8" w:color="CCEEFF"/>
              <w:bottom w:val="single" w:sz="8" w:color="CCEEFF"/>
            </w:tcBorders>
            <w:shd w:val="clear" w:color="auto" w:fill="CCEEFF"/>
          </w:tcPr>
          <w:p>
            <w:pPr>
              <w:ind w:left="80"/>
              <w:spacing w:after="0" w:line="85" w:lineRule="exact"/>
              <w:rPr>
                <w:sz w:val="20"/>
                <w:szCs w:val="20"/>
                <w:color w:val="auto"/>
              </w:rPr>
            </w:pPr>
            <w:r>
              <w:rPr>
                <w:rFonts w:ascii="Times New Roman" w:cs="Times New Roman" w:eastAsia="Times New Roman" w:hAnsi="Times New Roman"/>
                <w:sz w:val="9"/>
                <w:szCs w:val="9"/>
                <w:color w:val="auto"/>
              </w:rPr>
              <w:t>Cash paid for acquisition of real estate</w:t>
            </w:r>
          </w:p>
        </w:tc>
        <w:tc>
          <w:tcPr>
            <w:tcW w:w="1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1,029,652</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75,704</w:t>
            </w:r>
          </w:p>
        </w:tc>
        <w:tc>
          <w:tcPr>
            <w:tcW w:w="20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410,712</w:t>
            </w:r>
          </w:p>
        </w:tc>
        <w:tc>
          <w:tcPr>
            <w:tcW w:w="20" w:type="dxa"/>
            <w:vAlign w:val="bottom"/>
          </w:tcPr>
          <w:p>
            <w:pPr>
              <w:spacing w:after="0"/>
              <w:rPr>
                <w:sz w:val="8"/>
                <w:szCs w:val="8"/>
                <w:color w:val="auto"/>
              </w:rPr>
            </w:pPr>
          </w:p>
        </w:tc>
      </w:tr>
      <w:tr>
        <w:trPr>
          <w:trHeight w:val="95"/>
        </w:trPr>
        <w:tc>
          <w:tcPr>
            <w:tcW w:w="6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Allocation of purchase price to business combinations:</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Land</w:t>
            </w: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190,970</w:t>
            </w:r>
          </w:p>
        </w:tc>
        <w:tc>
          <w:tcPr>
            <w:tcW w:w="40" w:type="dxa"/>
            <w:vAlign w:val="bottom"/>
          </w:tcPr>
          <w:p>
            <w:pPr>
              <w:spacing w:after="0"/>
              <w:rPr>
                <w:sz w:val="8"/>
                <w:szCs w:val="8"/>
                <w:color w:val="auto"/>
              </w:rPr>
            </w:pPr>
          </w:p>
        </w:tc>
        <w:tc>
          <w:tcPr>
            <w:tcW w:w="320" w:type="dxa"/>
            <w:vAlign w:val="bottom"/>
            <w:gridSpan w:val="2"/>
          </w:tcPr>
          <w:p>
            <w:pPr>
              <w:jc w:val="right"/>
              <w:ind w:right="118"/>
              <w:spacing w:after="0" w:line="95" w:lineRule="exact"/>
              <w:rPr>
                <w:sz w:val="20"/>
                <w:szCs w:val="20"/>
                <w:color w:val="auto"/>
              </w:rPr>
            </w:pPr>
            <w:r>
              <w:rPr>
                <w:rFonts w:ascii="Times New Roman" w:cs="Times New Roman" w:eastAsia="Times New Roman" w:hAnsi="Times New Roman"/>
                <w:sz w:val="9"/>
                <w:szCs w:val="9"/>
                <w:color w:val="auto"/>
              </w:rPr>
              <w:t>$</w:t>
            </w: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Building and improvements</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3,166,988</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425,000</w:t>
            </w:r>
          </w:p>
        </w:tc>
        <w:tc>
          <w:tcPr>
            <w:tcW w:w="20" w:type="dxa"/>
            <w:vAlign w:val="bottom"/>
          </w:tcPr>
          <w:p>
            <w:pPr>
              <w:spacing w:after="0"/>
              <w:rPr>
                <w:sz w:val="8"/>
                <w:szCs w:val="8"/>
                <w:color w:val="auto"/>
              </w:rPr>
            </w:pP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Construction in progress and space held for development</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397,825</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Operating lease right-of-use assets</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553,987</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Goodwill</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4,338,711</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982,667</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Customer relationship value and other intangibles</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1,052,811</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495,000</w:t>
            </w:r>
          </w:p>
        </w:tc>
        <w:tc>
          <w:tcPr>
            <w:tcW w:w="20" w:type="dxa"/>
            <w:vAlign w:val="bottom"/>
          </w:tcPr>
          <w:p>
            <w:pPr>
              <w:spacing w:after="0"/>
              <w:rPr>
                <w:sz w:val="8"/>
                <w:szCs w:val="8"/>
                <w:color w:val="auto"/>
              </w:rPr>
            </w:pP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Debt assumed</w:t>
            </w:r>
          </w:p>
        </w:tc>
        <w:tc>
          <w:tcPr>
            <w:tcW w:w="180" w:type="dxa"/>
            <w:vAlign w:val="bottom"/>
          </w:tcPr>
          <w:p>
            <w:pPr>
              <w:spacing w:after="0"/>
              <w:rPr>
                <w:sz w:val="8"/>
                <w:szCs w:val="8"/>
                <w:color w:val="auto"/>
              </w:rPr>
            </w:pPr>
          </w:p>
        </w:tc>
        <w:tc>
          <w:tcPr>
            <w:tcW w:w="70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(1,662,276)</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Operating lease liabilities</w:t>
            </w:r>
          </w:p>
        </w:tc>
        <w:tc>
          <w:tcPr>
            <w:tcW w:w="1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(47,797)</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Finance lease obligations</w:t>
            </w:r>
          </w:p>
        </w:tc>
        <w:tc>
          <w:tcPr>
            <w:tcW w:w="180" w:type="dxa"/>
            <w:vAlign w:val="bottom"/>
          </w:tcPr>
          <w:p>
            <w:pPr>
              <w:spacing w:after="0"/>
              <w:rPr>
                <w:sz w:val="8"/>
                <w:szCs w:val="8"/>
                <w:color w:val="auto"/>
              </w:rPr>
            </w:pPr>
          </w:p>
        </w:tc>
        <w:tc>
          <w:tcPr>
            <w:tcW w:w="70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(553,987)</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Other working capital liabilities, net</w:t>
            </w:r>
          </w:p>
        </w:tc>
        <w:tc>
          <w:tcPr>
            <w:tcW w:w="1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(24,738)</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(60,000)</w:t>
            </w:r>
          </w:p>
        </w:tc>
        <w:tc>
          <w:tcPr>
            <w:tcW w:w="20" w:type="dxa"/>
            <w:vAlign w:val="bottom"/>
          </w:tcPr>
          <w:p>
            <w:pPr>
              <w:spacing w:after="0"/>
              <w:rPr>
                <w:sz w:val="8"/>
                <w:szCs w:val="8"/>
                <w:color w:val="auto"/>
              </w:rPr>
            </w:pP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Deferred tax liability</w:t>
            </w:r>
          </w:p>
        </w:tc>
        <w:tc>
          <w:tcPr>
            <w:tcW w:w="180" w:type="dxa"/>
            <w:vAlign w:val="bottom"/>
          </w:tcPr>
          <w:p>
            <w:pPr>
              <w:spacing w:after="0"/>
              <w:rPr>
                <w:sz w:val="8"/>
                <w:szCs w:val="8"/>
                <w:color w:val="auto"/>
              </w:rPr>
            </w:pPr>
          </w:p>
        </w:tc>
        <w:tc>
          <w:tcPr>
            <w:tcW w:w="70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(535,990)</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Noncontrolling interests in operating partnership</w:t>
            </w:r>
          </w:p>
        </w:tc>
        <w:tc>
          <w:tcPr>
            <w:tcW w:w="1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95"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(253,837)</w:t>
            </w: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Noncontrolling interests in consolidated joint venture</w:t>
            </w:r>
          </w:p>
        </w:tc>
        <w:tc>
          <w:tcPr>
            <w:tcW w:w="180" w:type="dxa"/>
            <w:vAlign w:val="bottom"/>
          </w:tcPr>
          <w:p>
            <w:pPr>
              <w:spacing w:after="0"/>
              <w:rPr>
                <w:sz w:val="8"/>
                <w:szCs w:val="8"/>
                <w:color w:val="auto"/>
              </w:rPr>
            </w:pPr>
          </w:p>
        </w:tc>
        <w:tc>
          <w:tcPr>
            <w:tcW w:w="700" w:type="dxa"/>
            <w:vAlign w:val="bottom"/>
            <w:gridSpan w:val="2"/>
          </w:tcPr>
          <w:p>
            <w:pPr>
              <w:jc w:val="right"/>
              <w:ind w:right="80"/>
              <w:spacing w:after="0" w:line="95"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80" w:type="dxa"/>
            <w:vAlign w:val="bottom"/>
            <w:gridSpan w:val="2"/>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(25,000)</w:t>
            </w:r>
          </w:p>
        </w:tc>
      </w:tr>
      <w:tr>
        <w:trPr>
          <w:trHeight w:val="84"/>
        </w:trPr>
        <w:tc>
          <w:tcPr>
            <w:tcW w:w="6080" w:type="dxa"/>
            <w:vAlign w:val="bottom"/>
            <w:tcBorders>
              <w:top w:val="single" w:sz="8" w:color="CCEEFF"/>
            </w:tcBorders>
            <w:shd w:val="clear" w:color="auto" w:fill="CCEEFF"/>
          </w:tcPr>
          <w:p>
            <w:pPr>
              <w:ind w:left="80"/>
              <w:spacing w:after="0" w:line="85" w:lineRule="exact"/>
              <w:rPr>
                <w:sz w:val="20"/>
                <w:szCs w:val="20"/>
                <w:color w:val="auto"/>
              </w:rPr>
            </w:pPr>
            <w:r>
              <w:rPr>
                <w:rFonts w:ascii="Times New Roman" w:cs="Times New Roman" w:eastAsia="Times New Roman" w:hAnsi="Times New Roman"/>
                <w:sz w:val="9"/>
                <w:szCs w:val="9"/>
                <w:color w:val="auto"/>
              </w:rPr>
              <w:t>Total purchase consideration</w:t>
            </w:r>
          </w:p>
        </w:tc>
        <w:tc>
          <w:tcPr>
            <w:tcW w:w="18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6,876,504</w:t>
            </w:r>
          </w:p>
        </w:tc>
        <w:tc>
          <w:tcPr>
            <w:tcW w:w="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1,563,830</w:t>
            </w:r>
          </w:p>
        </w:tc>
        <w:tc>
          <w:tcPr>
            <w:tcW w:w="20" w:type="dxa"/>
            <w:vAlign w:val="bottom"/>
          </w:tcPr>
          <w:p>
            <w:pPr>
              <w:spacing w:after="0"/>
              <w:rPr>
                <w:sz w:val="7"/>
                <w:szCs w:val="7"/>
                <w:color w:val="auto"/>
              </w:rPr>
            </w:pPr>
          </w:p>
        </w:tc>
      </w:tr>
      <w:tr>
        <w:trPr>
          <w:trHeight w:val="95"/>
        </w:trPr>
        <w:tc>
          <w:tcPr>
            <w:tcW w:w="608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Assumed cash and cash equivalents</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108,548</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220"/>
              <w:spacing w:after="0" w:line="95"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116,000</w:t>
            </w:r>
          </w:p>
        </w:tc>
        <w:tc>
          <w:tcPr>
            <w:tcW w:w="20" w:type="dxa"/>
            <w:vAlign w:val="bottom"/>
          </w:tcPr>
          <w:p>
            <w:pPr>
              <w:spacing w:after="0"/>
              <w:rPr>
                <w:sz w:val="8"/>
                <w:szCs w:val="8"/>
                <w:color w:val="auto"/>
              </w:rPr>
            </w:pPr>
          </w:p>
        </w:tc>
      </w:tr>
      <w:tr>
        <w:trPr>
          <w:trHeight w:val="93"/>
        </w:trPr>
        <w:tc>
          <w:tcPr>
            <w:tcW w:w="6080" w:type="dxa"/>
            <w:vAlign w:val="bottom"/>
            <w:tcBorders>
              <w:top w:val="single" w:sz="8" w:color="CCEEFF"/>
              <w:bottom w:val="single" w:sz="8" w:color="CCEEFF"/>
            </w:tcBorders>
            <w:shd w:val="clear" w:color="auto" w:fill="CCEEFF"/>
          </w:tcPr>
          <w:p>
            <w:pPr>
              <w:ind w:left="80"/>
              <w:spacing w:after="0" w:line="85" w:lineRule="exact"/>
              <w:rPr>
                <w:sz w:val="20"/>
                <w:szCs w:val="20"/>
                <w:color w:val="auto"/>
              </w:rPr>
            </w:pPr>
            <w:r>
              <w:rPr>
                <w:rFonts w:ascii="Times New Roman" w:cs="Times New Roman" w:eastAsia="Times New Roman" w:hAnsi="Times New Roman"/>
                <w:sz w:val="9"/>
                <w:szCs w:val="9"/>
                <w:color w:val="auto"/>
              </w:rPr>
              <w:t>Total equity consideration (2020) or cash paid (2018)</w:t>
            </w:r>
          </w:p>
        </w:tc>
        <w:tc>
          <w:tcPr>
            <w:tcW w:w="1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6,985,052</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1,679,830</w:t>
            </w:r>
          </w:p>
        </w:tc>
        <w:tc>
          <w:tcPr>
            <w:tcW w:w="20" w:type="dxa"/>
            <w:vAlign w:val="bottom"/>
          </w:tcPr>
          <w:p>
            <w:pPr>
              <w:spacing w:after="0"/>
              <w:rPr>
                <w:sz w:val="8"/>
                <w:szCs w:val="8"/>
                <w:color w:val="auto"/>
              </w:rPr>
            </w:pPr>
          </w:p>
        </w:tc>
      </w:tr>
      <w:tr>
        <w:trPr>
          <w:trHeight w:val="95"/>
        </w:trPr>
        <w:tc>
          <w:tcPr>
            <w:tcW w:w="6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Deconsolidation of Ascenty:</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5"/>
        </w:trPr>
        <w:tc>
          <w:tcPr>
            <w:tcW w:w="6080" w:type="dxa"/>
            <w:vAlign w:val="bottom"/>
          </w:tcPr>
          <w:p>
            <w:pPr>
              <w:ind w:left="40"/>
              <w:spacing w:after="0" w:line="95" w:lineRule="exact"/>
              <w:rPr>
                <w:sz w:val="20"/>
                <w:szCs w:val="20"/>
                <w:color w:val="auto"/>
              </w:rPr>
            </w:pPr>
            <w:r>
              <w:rPr>
                <w:rFonts w:ascii="Times New Roman" w:cs="Times New Roman" w:eastAsia="Times New Roman" w:hAnsi="Times New Roman"/>
                <w:sz w:val="9"/>
                <w:szCs w:val="9"/>
                <w:color w:val="auto"/>
              </w:rPr>
              <w:t>Investment in real estate</w:t>
            </w: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118"/>
              <w:spacing w:after="0" w:line="95" w:lineRule="exact"/>
              <w:rPr>
                <w:sz w:val="20"/>
                <w:szCs w:val="20"/>
                <w:color w:val="auto"/>
              </w:rPr>
            </w:pPr>
            <w:r>
              <w:rPr>
                <w:rFonts w:ascii="Times New Roman" w:cs="Times New Roman" w:eastAsia="Times New Roman" w:hAnsi="Times New Roman"/>
                <w:sz w:val="9"/>
                <w:szCs w:val="9"/>
                <w:color w:val="auto"/>
              </w:rPr>
              <w:t>$</w:t>
            </w:r>
          </w:p>
        </w:tc>
        <w:tc>
          <w:tcPr>
            <w:tcW w:w="840" w:type="dxa"/>
            <w:vAlign w:val="bottom"/>
            <w:gridSpan w:val="2"/>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(362,951)</w:t>
            </w: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ind w:left="40"/>
              <w:spacing w:after="0" w:line="95" w:lineRule="exact"/>
              <w:rPr>
                <w:sz w:val="20"/>
                <w:szCs w:val="20"/>
                <w:color w:val="auto"/>
              </w:rPr>
            </w:pPr>
            <w:r>
              <w:rPr>
                <w:rFonts w:ascii="Times New Roman" w:cs="Times New Roman" w:eastAsia="Times New Roman" w:hAnsi="Times New Roman"/>
                <w:sz w:val="9"/>
                <w:szCs w:val="9"/>
                <w:color w:val="auto"/>
              </w:rPr>
              <w:t>Account receivables</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(24,977)</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tcPr>
          <w:p>
            <w:pPr>
              <w:ind w:left="40"/>
              <w:spacing w:after="0" w:line="95" w:lineRule="exact"/>
              <w:rPr>
                <w:sz w:val="20"/>
                <w:szCs w:val="20"/>
                <w:color w:val="auto"/>
              </w:rPr>
            </w:pPr>
            <w:r>
              <w:rPr>
                <w:rFonts w:ascii="Times New Roman" w:cs="Times New Roman" w:eastAsia="Times New Roman" w:hAnsi="Times New Roman"/>
                <w:sz w:val="9"/>
                <w:szCs w:val="9"/>
                <w:color w:val="auto"/>
              </w:rPr>
              <w:t>Acquired in-place lease value, deferred leasing costs and intangibles</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(480,128)</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ind w:left="40"/>
              <w:spacing w:after="0" w:line="95" w:lineRule="exact"/>
              <w:rPr>
                <w:sz w:val="20"/>
                <w:szCs w:val="20"/>
                <w:color w:val="auto"/>
              </w:rPr>
            </w:pPr>
            <w:r>
              <w:rPr>
                <w:rFonts w:ascii="Times New Roman" w:cs="Times New Roman" w:eastAsia="Times New Roman" w:hAnsi="Times New Roman"/>
                <w:sz w:val="9"/>
                <w:szCs w:val="9"/>
                <w:color w:val="auto"/>
              </w:rPr>
              <w:t>Goodwill</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(967,189)</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tcPr>
          <w:p>
            <w:pPr>
              <w:ind w:left="40"/>
              <w:spacing w:after="0" w:line="95" w:lineRule="exact"/>
              <w:rPr>
                <w:sz w:val="20"/>
                <w:szCs w:val="20"/>
                <w:color w:val="auto"/>
              </w:rPr>
            </w:pPr>
            <w:r>
              <w:rPr>
                <w:rFonts w:ascii="Times New Roman" w:cs="Times New Roman" w:eastAsia="Times New Roman" w:hAnsi="Times New Roman"/>
                <w:sz w:val="9"/>
                <w:szCs w:val="9"/>
                <w:color w:val="auto"/>
              </w:rPr>
              <w:t>Other assets</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(31,099)</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ind w:left="40"/>
              <w:spacing w:after="0" w:line="95" w:lineRule="exact"/>
              <w:rPr>
                <w:sz w:val="20"/>
                <w:szCs w:val="20"/>
                <w:color w:val="auto"/>
              </w:rPr>
            </w:pPr>
            <w:r>
              <w:rPr>
                <w:rFonts w:ascii="Times New Roman" w:cs="Times New Roman" w:eastAsia="Times New Roman" w:hAnsi="Times New Roman"/>
                <w:sz w:val="9"/>
                <w:szCs w:val="9"/>
                <w:color w:val="auto"/>
              </w:rPr>
              <w:t>Secured debt</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571,873</w:t>
            </w: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tcPr>
          <w:p>
            <w:pPr>
              <w:ind w:left="40"/>
              <w:spacing w:after="0" w:line="95" w:lineRule="exact"/>
              <w:rPr>
                <w:sz w:val="20"/>
                <w:szCs w:val="20"/>
                <w:color w:val="auto"/>
              </w:rPr>
            </w:pPr>
            <w:r>
              <w:rPr>
                <w:rFonts w:ascii="Times New Roman" w:cs="Times New Roman" w:eastAsia="Times New Roman" w:hAnsi="Times New Roman"/>
                <w:sz w:val="9"/>
                <w:szCs w:val="9"/>
                <w:color w:val="auto"/>
              </w:rPr>
              <w:t>Accounts payable and other accrued liabilities</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72,449</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shd w:val="clear" w:color="auto" w:fill="CCEEFF"/>
          </w:tcPr>
          <w:p>
            <w:pPr>
              <w:ind w:left="40"/>
              <w:spacing w:after="0" w:line="95" w:lineRule="exact"/>
              <w:rPr>
                <w:sz w:val="20"/>
                <w:szCs w:val="20"/>
                <w:color w:val="auto"/>
              </w:rPr>
            </w:pPr>
            <w:r>
              <w:rPr>
                <w:rFonts w:ascii="Times New Roman" w:cs="Times New Roman" w:eastAsia="Times New Roman" w:hAnsi="Times New Roman"/>
                <w:sz w:val="9"/>
                <w:szCs w:val="9"/>
                <w:color w:val="auto"/>
              </w:rPr>
              <w:t>Accumulated other comprehensive loss</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(21,687)</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tcPr>
          <w:p>
            <w:pPr>
              <w:ind w:left="40"/>
              <w:spacing w:after="0" w:line="95" w:lineRule="exact"/>
              <w:rPr>
                <w:sz w:val="20"/>
                <w:szCs w:val="20"/>
                <w:color w:val="auto"/>
              </w:rPr>
            </w:pPr>
            <w:r>
              <w:rPr>
                <w:rFonts w:ascii="Times New Roman" w:cs="Times New Roman" w:eastAsia="Times New Roman" w:hAnsi="Times New Roman"/>
                <w:sz w:val="9"/>
                <w:szCs w:val="9"/>
                <w:color w:val="auto"/>
              </w:rPr>
              <w:t>Deconsolidation of Ascenty cash</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right"/>
              <w:ind w:right="180"/>
              <w:spacing w:after="0" w:line="95" w:lineRule="exact"/>
              <w:rPr>
                <w:sz w:val="20"/>
                <w:szCs w:val="20"/>
                <w:color w:val="auto"/>
              </w:rPr>
            </w:pPr>
            <w:r>
              <w:rPr>
                <w:rFonts w:ascii="Times New Roman" w:cs="Times New Roman" w:eastAsia="Times New Roman" w:hAnsi="Times New Roman"/>
                <w:sz w:val="9"/>
                <w:szCs w:val="9"/>
                <w:color w:val="auto"/>
              </w:rPr>
              <w:t>(97,081)</w:t>
            </w:r>
          </w:p>
        </w:tc>
        <w:tc>
          <w:tcPr>
            <w:tcW w:w="18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3"/>
        </w:trPr>
        <w:tc>
          <w:tcPr>
            <w:tcW w:w="6080" w:type="dxa"/>
            <w:vAlign w:val="bottom"/>
            <w:tcBorders>
              <w:top w:val="single" w:sz="8" w:color="CCEEFF"/>
              <w:bottom w:val="single" w:sz="8" w:color="CCEEFF"/>
            </w:tcBorders>
            <w:shd w:val="clear" w:color="auto" w:fill="CCEEFF"/>
          </w:tcPr>
          <w:p>
            <w:pPr>
              <w:ind w:left="160"/>
              <w:spacing w:after="0" w:line="85" w:lineRule="exact"/>
              <w:rPr>
                <w:sz w:val="20"/>
                <w:szCs w:val="20"/>
                <w:color w:val="auto"/>
              </w:rPr>
            </w:pPr>
            <w:r>
              <w:rPr>
                <w:rFonts w:ascii="Times New Roman" w:cs="Times New Roman" w:eastAsia="Times New Roman" w:hAnsi="Times New Roman"/>
                <w:sz w:val="9"/>
                <w:szCs w:val="9"/>
                <w:color w:val="auto"/>
              </w:rPr>
              <w:t>Net carrying value of Ascenty assets and liabilities deconsolidated</w:t>
            </w:r>
          </w:p>
        </w:tc>
        <w:tc>
          <w:tcPr>
            <w:tcW w:w="1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(1,340,790)</w:t>
            </w:r>
          </w:p>
        </w:tc>
        <w:tc>
          <w:tcPr>
            <w:tcW w:w="20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5"/>
        </w:trPr>
        <w:tc>
          <w:tcPr>
            <w:tcW w:w="60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93"/>
        </w:trPr>
        <w:tc>
          <w:tcPr>
            <w:tcW w:w="6080" w:type="dxa"/>
            <w:vAlign w:val="bottom"/>
            <w:tcBorders>
              <w:bottom w:val="single" w:sz="8" w:color="CCEEFF"/>
            </w:tcBorders>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Recognition of retained investment in unconsolidated Ascenty joint venture</w:t>
            </w:r>
          </w:p>
        </w:tc>
        <w:tc>
          <w:tcPr>
            <w:tcW w:w="1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Borders>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727,439</w:t>
            </w:r>
          </w:p>
        </w:tc>
        <w:tc>
          <w:tcPr>
            <w:tcW w:w="2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bl>
    <w:p>
      <w:pPr>
        <w:spacing w:after="0" w:line="23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26" w:name="page127"/>
    <w:bookmarkEnd w:id="12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 Organization and Description of Business</w:t>
      </w:r>
    </w:p>
    <w:p>
      <w:pPr>
        <w:spacing w:after="0" w:line="156" w:lineRule="exact"/>
        <w:rPr>
          <w:sz w:val="20"/>
          <w:szCs w:val="20"/>
          <w:color w:val="auto"/>
        </w:rPr>
      </w:pPr>
    </w:p>
    <w:p>
      <w:pPr>
        <w:ind w:left="20" w:right="80" w:firstLine="228"/>
        <w:spacing w:after="0" w:line="247" w:lineRule="auto"/>
        <w:rPr>
          <w:sz w:val="20"/>
          <w:szCs w:val="20"/>
          <w:color w:val="auto"/>
        </w:rPr>
      </w:pPr>
      <w:r>
        <w:rPr>
          <w:rFonts w:ascii="Times New Roman" w:cs="Times New Roman" w:eastAsia="Times New Roman" w:hAnsi="Times New Roman"/>
          <w:sz w:val="13"/>
          <w:szCs w:val="13"/>
          <w:color w:val="auto"/>
        </w:rPr>
        <w:t>Digital Realty Trust, Inc., through its controlling interest in Digital Realty Trust, L.P. (the Operating Partnership) and the subsidiaries of the Operating Partnership (collectively, we, our, us or the Company), is a leading global provider of data center, colocation and interconnection solutions for customers across a variety of industry verticals ranging from cloud and information technology services, communications and social networking to financial services, manufacturing, energy, healthcare, and consumer products. The Operating Partnership, a Maryland limited partnership, is the entity through which Digital Realty Trust, Inc., a Maryland corporation, conducts its business of owning, acquiring, developing and operating data centers. Digital Realty Trust, Inc. operates as a REIT for federal income tax purposes. A summary of our data center portfolio as of December 31, 2020 and 2019 is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Data Centers</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33"/>
        </w:trPr>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2020</w:t>
            </w: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As of December 31, 2019</w:t>
            </w:r>
          </w:p>
        </w:tc>
        <w:tc>
          <w:tcPr>
            <w:tcW w:w="680" w:type="dxa"/>
            <w:vAlign w:val="bottom"/>
            <w:tcBorders>
              <w:bottom w:val="single" w:sz="8" w:color="auto"/>
            </w:tcBorders>
          </w:tcPr>
          <w:p>
            <w:pPr>
              <w:spacing w:after="0"/>
              <w:rPr>
                <w:sz w:val="11"/>
                <w:szCs w:val="11"/>
                <w:color w:val="auto"/>
              </w:rPr>
            </w:pPr>
          </w:p>
        </w:tc>
      </w:tr>
      <w:tr>
        <w:trPr>
          <w:trHeight w:val="121"/>
        </w:trPr>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Unconsolidated</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Unconsolidated</w:t>
            </w:r>
          </w:p>
        </w:tc>
        <w:tc>
          <w:tcPr>
            <w:tcW w:w="680" w:type="dxa"/>
            <w:vAlign w:val="bottom"/>
          </w:tcPr>
          <w:p>
            <w:pPr>
              <w:spacing w:after="0"/>
              <w:rPr>
                <w:sz w:val="10"/>
                <w:szCs w:val="10"/>
                <w:color w:val="auto"/>
              </w:rPr>
            </w:pPr>
          </w:p>
        </w:tc>
      </w:tr>
      <w:tr>
        <w:trPr>
          <w:trHeight w:val="134"/>
        </w:trPr>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Joint</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Held for</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Joint</w:t>
            </w:r>
          </w:p>
        </w:tc>
        <w:tc>
          <w:tcPr>
            <w:tcW w:w="680" w:type="dxa"/>
            <w:vAlign w:val="bottom"/>
          </w:tcPr>
          <w:p>
            <w:pPr>
              <w:spacing w:after="0"/>
              <w:rPr>
                <w:sz w:val="11"/>
                <w:szCs w:val="11"/>
                <w:color w:val="auto"/>
              </w:rPr>
            </w:pPr>
          </w:p>
        </w:tc>
      </w:tr>
      <w:tr>
        <w:trPr>
          <w:trHeight w:val="162"/>
        </w:trPr>
        <w:tc>
          <w:tcPr>
            <w:tcW w:w="2780" w:type="dxa"/>
            <w:vAlign w:val="bottom"/>
            <w:gridSpan w:val="2"/>
          </w:tcPr>
          <w:p>
            <w:pPr>
              <w:ind w:left="1140"/>
              <w:spacing w:after="0"/>
              <w:rPr>
                <w:sz w:val="20"/>
                <w:szCs w:val="20"/>
                <w:color w:val="auto"/>
              </w:rPr>
            </w:pPr>
            <w:r>
              <w:rPr>
                <w:rFonts w:ascii="Times New Roman" w:cs="Times New Roman" w:eastAsia="Times New Roman" w:hAnsi="Times New Roman"/>
                <w:sz w:val="11"/>
                <w:szCs w:val="11"/>
                <w:b w:val="1"/>
                <w:bCs w:val="1"/>
                <w:color w:val="auto"/>
              </w:rPr>
              <w:t>Region</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Operating</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Ventures</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Operating</w:t>
            </w:r>
          </w:p>
        </w:tc>
        <w:tc>
          <w:tcPr>
            <w:tcW w:w="8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1"/>
                <w:szCs w:val="11"/>
                <w:b w:val="1"/>
                <w:bCs w:val="1"/>
                <w:color w:val="auto"/>
                <w:w w:val="89"/>
              </w:rPr>
              <w:t xml:space="preserve">Sale </w:t>
            </w:r>
            <w:r>
              <w:rPr>
                <w:rFonts w:ascii="Times New Roman" w:cs="Times New Roman" w:eastAsia="Times New Roman" w:hAnsi="Times New Roman"/>
                <w:sz w:val="17"/>
                <w:szCs w:val="17"/>
                <w:b w:val="1"/>
                <w:bCs w:val="1"/>
                <w:color w:val="auto"/>
                <w:w w:val="89"/>
                <w:vertAlign w:val="superscript"/>
              </w:rPr>
              <w:t>(2)</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Ventures</w:t>
            </w:r>
          </w:p>
        </w:tc>
        <w:tc>
          <w:tcPr>
            <w:tcW w:w="68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2"/>
        </w:trPr>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United States</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6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r>
      <w:tr>
        <w:trPr>
          <w:trHeight w:val="142"/>
        </w:trPr>
        <w:tc>
          <w:tcPr>
            <w:tcW w:w="2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Europe</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r>
      <w:tr>
        <w:trPr>
          <w:trHeight w:val="142"/>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Latin America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42"/>
        </w:trPr>
        <w:tc>
          <w:tcPr>
            <w:tcW w:w="2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Asia</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42"/>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Australia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42"/>
        </w:trPr>
        <w:tc>
          <w:tcPr>
            <w:tcW w:w="2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Africa</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Canada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140"/>
        </w:trPr>
        <w:tc>
          <w:tcPr>
            <w:tcW w:w="2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248</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43</w:t>
            </w:r>
          </w:p>
        </w:tc>
        <w:tc>
          <w:tcPr>
            <w:tcW w:w="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291</w:t>
            </w: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172</w:t>
            </w: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w:t>
            </w:r>
          </w:p>
        </w:tc>
        <w:tc>
          <w:tcPr>
            <w:tcW w:w="1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41</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144780</wp:posOffset>
            </wp:positionV>
            <wp:extent cx="1422400" cy="120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22400" cy="12065"/>
                    </a:xfrm>
                    <a:prstGeom prst="rect">
                      <a:avLst/>
                    </a:prstGeom>
                    <a:noFill/>
                  </pic:spPr>
                </pic:pic>
              </a:graphicData>
            </a:graphic>
          </wp:anchor>
        </w:drawing>
      </w:r>
    </w:p>
    <w:p>
      <w:pPr>
        <w:spacing w:after="0" w:line="271" w:lineRule="exact"/>
        <w:rPr>
          <w:sz w:val="20"/>
          <w:szCs w:val="20"/>
          <w:color w:val="auto"/>
        </w:rPr>
      </w:pPr>
    </w:p>
    <w:p>
      <w:pPr>
        <w:ind w:left="260" w:hanging="235"/>
        <w:spacing w:after="0"/>
        <w:tabs>
          <w:tab w:leader="none" w:pos="26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62 data centers in Europe and three data centers in Africa that were acquired as part of the Interxion Combination.</w:t>
      </w:r>
    </w:p>
    <w:p>
      <w:pPr>
        <w:spacing w:after="0" w:line="15" w:lineRule="exact"/>
        <w:rPr>
          <w:rFonts w:ascii="Times New Roman" w:cs="Times New Roman" w:eastAsia="Times New Roman" w:hAnsi="Times New Roman"/>
          <w:sz w:val="13"/>
          <w:szCs w:val="13"/>
          <w:color w:val="auto"/>
        </w:rPr>
      </w:pPr>
    </w:p>
    <w:p>
      <w:pPr>
        <w:ind w:left="260" w:right="160" w:hanging="235"/>
        <w:spacing w:after="0" w:line="247" w:lineRule="auto"/>
        <w:tabs>
          <w:tab w:leader="none" w:pos="26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10 Powered Base Building® properties, which comprise 12 data centers, that were held for sale to a third party as of December 31, 2019 and subsequently sold in January 2020 (see Note 5).</w:t>
      </w:r>
    </w:p>
    <w:p>
      <w:pPr>
        <w:spacing w:after="0" w:line="135" w:lineRule="exact"/>
        <w:rPr>
          <w:sz w:val="20"/>
          <w:szCs w:val="20"/>
          <w:color w:val="auto"/>
        </w:rPr>
      </w:pPr>
    </w:p>
    <w:p>
      <w:pPr>
        <w:ind w:left="20" w:right="100" w:firstLine="228"/>
        <w:spacing w:after="0" w:line="249" w:lineRule="auto"/>
        <w:rPr>
          <w:sz w:val="20"/>
          <w:szCs w:val="20"/>
          <w:color w:val="auto"/>
        </w:rPr>
      </w:pPr>
      <w:r>
        <w:rPr>
          <w:rFonts w:ascii="Times New Roman" w:cs="Times New Roman" w:eastAsia="Times New Roman" w:hAnsi="Times New Roman"/>
          <w:sz w:val="13"/>
          <w:szCs w:val="13"/>
          <w:color w:val="auto"/>
        </w:rPr>
        <w:t>We are diversified in major metropolitan areas where data center and technology customers are concentrated, including the Atlanta, Boston, Chicago, Dallas, Los Angeles, New York, Northern Virginia, Phoenix, San Francisco, Seattle, Silicon Valley and Toronto metropolitan areas in North America, the Amsterdam, Athens, Brussels, Copenhagen, Dublin, Dusseldorf, Frankfurt, London, Madrid, Marseille, Paris, Stockholm, Vienna, Zagreb and Zurich metropolitan areas in Europe, the Fortaleza, Querétaro, Rio de Janeiro, Santiago and São Paulo metropolitan areas in Latin America, and the Hong Kong, Melbourne, Osaka, Seoul, Singapore, Sydney, and Tokyo metropolitan areas in the Asia Pacific region. The portfolio consists of data centers, Internet gateway facilities and office and other non-data center space.</w:t>
      </w:r>
    </w:p>
    <w:p>
      <w:pPr>
        <w:spacing w:after="0" w:line="136" w:lineRule="exact"/>
        <w:rPr>
          <w:sz w:val="20"/>
          <w:szCs w:val="20"/>
          <w:color w:val="auto"/>
        </w:rPr>
      </w:pPr>
    </w:p>
    <w:p>
      <w:pPr>
        <w:ind w:left="20" w:right="100" w:firstLine="228"/>
        <w:spacing w:after="0" w:line="248" w:lineRule="auto"/>
        <w:rPr>
          <w:sz w:val="20"/>
          <w:szCs w:val="20"/>
          <w:color w:val="auto"/>
        </w:rPr>
      </w:pPr>
      <w:r>
        <w:rPr>
          <w:rFonts w:ascii="Times New Roman" w:cs="Times New Roman" w:eastAsia="Times New Roman" w:hAnsi="Times New Roman"/>
          <w:sz w:val="13"/>
          <w:szCs w:val="13"/>
          <w:color w:val="auto"/>
        </w:rPr>
        <w:t>The Operating Partnership was formed on July 21, 2004 in anticipation of Digital Realty Trust, Inc.’s initial public offering (IPO) on November 3, 2004 and commenced operations on that date. As of December 31, 2020, Digital Realty Trust, Inc. owns a 97.2% common interest and a 100.0% preferred interest in the Operating Partnership. As of December 31, 2019, Digital Realty Trust, Inc. owned a 95.9% common interest and a 100.0% preferred interest in the Operating Partnership. As sole general partner of the Operating Partnership, Digital Realty Trust, Inc. has the full, exclusive and complete responsibility for the Operating Partnership’s day-to-day management and control. The limited partners of the Operating Partnership do not have rights to replace Digital Realty Trust, Inc. as the general partner nor do they have participating rights, although they do have certain protective rights.</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60"/>
          </w:cols>
          <w:pgMar w:left="1440" w:top="402" w:right="1399" w:bottom="1440" w:gutter="0" w:footer="0" w:header="0"/>
        </w:sectPr>
      </w:pPr>
    </w:p>
    <w:bookmarkStart w:id="127" w:name="page128"/>
    <w:bookmarkEnd w:id="12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99" w:firstLine="228"/>
        <w:spacing w:after="0" w:line="273" w:lineRule="auto"/>
        <w:rPr>
          <w:sz w:val="20"/>
          <w:szCs w:val="20"/>
          <w:color w:val="auto"/>
        </w:rPr>
      </w:pPr>
      <w:r>
        <w:rPr>
          <w:rFonts w:ascii="Times New Roman" w:cs="Times New Roman" w:eastAsia="Times New Roman" w:hAnsi="Times New Roman"/>
          <w:sz w:val="12"/>
          <w:szCs w:val="12"/>
          <w:color w:val="auto"/>
        </w:rPr>
        <w:t>As used in these Notes: “Ascenty Acquisition” refers to the acquisition of Ascenty by the Operating Partnership and Stellar Participações S.A. (formerly Stellar Participações Ltda.), a Brazilian subsidiary of the Operating Partnership; “Ascenty joint venture” refers to the joint venture, which owns and operates Ascenty, formed with Brookfield Infrastructure; “Brookfield” refers to Brookfield Infrastructure, an affiliate of Brookfield Asset Management; “DFT” refers to DuPont Fabros Technology, Inc.; “DFT Merger” refers to the Company’s acquisition of DuPont Fabros Technology, Inc.; “DFT Operating Partnership” refers to DuPont Fabros Technology, L.P.; “European Portfolio Acquisition” refers to the Company’s acquisition of a portfolio of eight data centers in Europe; “Interxion” refers to InterXion Holding N.V.; “Interxion Combination” refers to the Company’s combination with InterXion Holding N.V.; and “Telx Acquisition” refers to the Company’s acquisition of Telx Holdings, Inc.</w:t>
      </w:r>
    </w:p>
    <w:p>
      <w:pPr>
        <w:spacing w:after="0" w:line="271" w:lineRule="exact"/>
        <w:rPr>
          <w:sz w:val="20"/>
          <w:szCs w:val="20"/>
          <w:color w:val="auto"/>
        </w:rPr>
      </w:pPr>
    </w:p>
    <w:p>
      <w:pPr>
        <w:ind w:left="160" w:hanging="135"/>
        <w:spacing w:after="0"/>
        <w:tabs>
          <w:tab w:leader="none" w:pos="160" w:val="left"/>
        </w:tabs>
        <w:numPr>
          <w:ilvl w:val="0"/>
          <w:numId w:val="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w:t>
      </w:r>
    </w:p>
    <w:p>
      <w:pPr>
        <w:spacing w:after="0" w:line="154" w:lineRule="exact"/>
        <w:rPr>
          <w:rFonts w:ascii="Times New Roman" w:cs="Times New Roman" w:eastAsia="Times New Roman" w:hAnsi="Times New Roman"/>
          <w:sz w:val="13"/>
          <w:szCs w:val="13"/>
          <w:b w:val="1"/>
          <w:bCs w:val="1"/>
          <w:color w:val="auto"/>
        </w:rPr>
      </w:pPr>
    </w:p>
    <w:p>
      <w:pPr>
        <w:ind w:left="440" w:hanging="187"/>
        <w:spacing w:after="0"/>
        <w:tabs>
          <w:tab w:leader="none" w:pos="440" w:val="left"/>
        </w:tabs>
        <w:numPr>
          <w:ilvl w:val="1"/>
          <w:numId w:val="52"/>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Principles of Consolidation and Basis of Presentation</w:t>
      </w:r>
    </w:p>
    <w:p>
      <w:pPr>
        <w:spacing w:after="0" w:line="156" w:lineRule="exact"/>
        <w:rPr>
          <w:sz w:val="20"/>
          <w:szCs w:val="20"/>
          <w:color w:val="auto"/>
        </w:rPr>
      </w:pPr>
    </w:p>
    <w:p>
      <w:pPr>
        <w:ind w:left="20" w:right="39" w:firstLine="228"/>
        <w:spacing w:after="0" w:line="268" w:lineRule="auto"/>
        <w:rPr>
          <w:sz w:val="20"/>
          <w:szCs w:val="20"/>
          <w:color w:val="auto"/>
        </w:rPr>
      </w:pPr>
      <w:r>
        <w:rPr>
          <w:rFonts w:ascii="Times New Roman" w:cs="Times New Roman" w:eastAsia="Times New Roman" w:hAnsi="Times New Roman"/>
          <w:sz w:val="13"/>
          <w:szCs w:val="13"/>
          <w:color w:val="auto"/>
        </w:rPr>
        <w:t>The accompanying consolidated financial statements include all of the accounts of Digital Realty Trust, Inc., the Operating Partnership and the subsidiaries of the Operating Partnership. Intercompany balances and transactions have been eliminated.</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notes to the consolidated financial statements of Digital Realty Trust, Inc. and the Operating Partnership have been combined to provide the following benefits:</w:t>
      </w:r>
    </w:p>
    <w:p>
      <w:pPr>
        <w:spacing w:after="0" w:line="154" w:lineRule="exact"/>
        <w:rPr>
          <w:sz w:val="20"/>
          <w:szCs w:val="20"/>
          <w:color w:val="auto"/>
        </w:rPr>
      </w:pPr>
    </w:p>
    <w:p>
      <w:pPr>
        <w:ind w:left="500" w:right="439" w:hanging="228"/>
        <w:spacing w:after="0" w:line="254" w:lineRule="auto"/>
        <w:tabs>
          <w:tab w:leader="none" w:pos="5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enhancing investors’ understanding of the Company and the Operating Partnership by enabling investors to view the business as a whole in the same manner as management views and operates the business;</w:t>
      </w:r>
    </w:p>
    <w:p>
      <w:pPr>
        <w:ind w:left="500" w:right="559" w:hanging="228"/>
        <w:spacing w:after="0" w:line="243" w:lineRule="auto"/>
        <w:tabs>
          <w:tab w:leader="none" w:pos="5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eliminating duplicative disclosure and providing a more streamlined and readable presentation since a substantial portion of the disclosure applies to both the Company and the Operating Partnership; and</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creating time and cost efficiencies through the preparation of one set of notes instead of two separate sets of notes.</w:t>
      </w:r>
    </w:p>
    <w:p>
      <w:pPr>
        <w:spacing w:after="0" w:line="141" w:lineRule="exact"/>
        <w:rPr>
          <w:sz w:val="20"/>
          <w:szCs w:val="20"/>
          <w:color w:val="auto"/>
        </w:rPr>
      </w:pPr>
    </w:p>
    <w:p>
      <w:pPr>
        <w:ind w:left="20" w:right="99" w:firstLine="228"/>
        <w:spacing w:after="0" w:line="248" w:lineRule="auto"/>
        <w:rPr>
          <w:sz w:val="20"/>
          <w:szCs w:val="20"/>
          <w:color w:val="auto"/>
        </w:rPr>
      </w:pPr>
      <w:r>
        <w:rPr>
          <w:rFonts w:ascii="Times New Roman" w:cs="Times New Roman" w:eastAsia="Times New Roman" w:hAnsi="Times New Roman"/>
          <w:sz w:val="13"/>
          <w:szCs w:val="13"/>
          <w:color w:val="auto"/>
        </w:rPr>
        <w:t>There are few differences between the Company and the Operating Partnership, which are reflected in these consolidated financial statements. We believe it is important to understand the differences between the Company and the Operating Partnership in the context of how we operate as an interrelated consolidated company. Digital Realty Trust, Inc.’s only material asset is its ownership of partnership interests of the Operating Partnership. As a result, Digital Realty Trust, Inc. generally does not conduct business itself, other than acting as the sole general partner of the Operating Partnership, issuing public securities from time to time and guaranteeing certain unsecured debt of the Operating Partnership and certain of its subsidiaries and affiliates. Digital Realty Trust, Inc. itself has not issued any indebtedness but guarantees the unsecured debt of the Operating Partnership and certain of its subsidiaries and affiliates, as disclosed in these notes.</w:t>
      </w:r>
    </w:p>
    <w:p>
      <w:pPr>
        <w:spacing w:after="0" w:line="136" w:lineRule="exact"/>
        <w:rPr>
          <w:sz w:val="20"/>
          <w:szCs w:val="20"/>
          <w:color w:val="auto"/>
        </w:rPr>
      </w:pPr>
    </w:p>
    <w:p>
      <w:pPr>
        <w:jc w:val="both"/>
        <w:ind w:left="20" w:right="59" w:firstLine="228"/>
        <w:spacing w:after="0" w:line="249" w:lineRule="auto"/>
        <w:rPr>
          <w:sz w:val="20"/>
          <w:szCs w:val="20"/>
          <w:color w:val="auto"/>
        </w:rPr>
      </w:pPr>
      <w:r>
        <w:rPr>
          <w:rFonts w:ascii="Times New Roman" w:cs="Times New Roman" w:eastAsia="Times New Roman" w:hAnsi="Times New Roman"/>
          <w:sz w:val="13"/>
          <w:szCs w:val="13"/>
          <w:color w:val="auto"/>
        </w:rPr>
        <w:t>The Operating Partnership holds substantially all the assets of the Company and holds the ownership interests in the Company’s joint ventures. The Operating Partnership conducts the operations of the business and is structured as a partnership with no publicly traded equity. Except for net proceeds from public equity issuances by Digital Realty Trust, Inc., which are generally contributed to the Operating Partnership in exchange for partnership units, the Operating Partnership generally generates the capital required by the Company’s business primarily through the Operating Partnership’s operations, by the Operating Partnership’s or its affiliates’ direct or indirect incurrence of indebtedness or through the issuance of partnership units.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28" w:name="page129"/>
    <w:bookmarkEnd w:id="12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99" w:firstLine="228"/>
        <w:spacing w:after="0" w:line="247" w:lineRule="auto"/>
        <w:rPr>
          <w:sz w:val="20"/>
          <w:szCs w:val="20"/>
          <w:color w:val="auto"/>
        </w:rPr>
      </w:pPr>
      <w:r>
        <w:rPr>
          <w:rFonts w:ascii="Times New Roman" w:cs="Times New Roman" w:eastAsia="Times New Roman" w:hAnsi="Times New Roman"/>
          <w:sz w:val="13"/>
          <w:szCs w:val="13"/>
          <w:color w:val="auto"/>
        </w:rPr>
        <w:t>The presentation of noncontrolling interests in operating partnership, stockholders’ equity and partners’ capital are the main areas of difference between the consolidated financial statements of Digital Realty Trust, Inc. and those of the Operating Partnership. The common limited partnership interests held by the limited partners in the Operating Partnership are presented as limited partners’ capital within partners’ capital in the Operating Partnership’s consolidated financial statements and as noncontrolling interests in operating partnership within equity in Digital Realty Trust, Inc.’s consolidated financial statements. The common and preferred partnership interests held by Digital Realty Trust, Inc. in the Operating Partnership are presented as general partner’s capital within partners’ capital in the Operating Partnership’s consolidated financial statements and as preferred stock, common stock, additional paid-in capital and accumulated dividends in excess of earnings within stockholders’ equity in Digital Realty Trust, Inc.’s consolidated financial statements. The differences in the presentations between stockholders’ equity and partners’ capital result from the differences in the equity issued at the Digital Realty Trust, Inc. and the Operating Partnership levels.</w:t>
      </w:r>
    </w:p>
    <w:p>
      <w:pPr>
        <w:spacing w:after="0" w:line="136" w:lineRule="exact"/>
        <w:rPr>
          <w:sz w:val="20"/>
          <w:szCs w:val="20"/>
          <w:color w:val="auto"/>
        </w:rPr>
      </w:pPr>
    </w:p>
    <w:p>
      <w:pPr>
        <w:ind w:left="20" w:right="119" w:firstLine="228"/>
        <w:spacing w:after="0" w:line="268" w:lineRule="auto"/>
        <w:rPr>
          <w:sz w:val="20"/>
          <w:szCs w:val="20"/>
          <w:color w:val="auto"/>
        </w:rPr>
      </w:pPr>
      <w:r>
        <w:rPr>
          <w:rFonts w:ascii="Times New Roman" w:cs="Times New Roman" w:eastAsia="Times New Roman" w:hAnsi="Times New Roman"/>
          <w:sz w:val="13"/>
          <w:szCs w:val="13"/>
          <w:color w:val="auto"/>
        </w:rPr>
        <w:t>To help investors understand the significant differences between the Company and the Operating Partnership, these consolidated financial statements present the following separate sections for each of the Company and the Operating Partnership:</w:t>
      </w:r>
    </w:p>
    <w:p>
      <w:pPr>
        <w:spacing w:after="0" w:line="122" w:lineRule="exact"/>
        <w:rPr>
          <w:sz w:val="20"/>
          <w:szCs w:val="20"/>
          <w:color w:val="auto"/>
        </w:rPr>
      </w:pPr>
    </w:p>
    <w:p>
      <w:pPr>
        <w:ind w:left="500" w:hanging="228"/>
        <w:spacing w:after="0"/>
        <w:tabs>
          <w:tab w:leader="none" w:pos="5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face financial statements; and</w:t>
      </w:r>
    </w:p>
    <w:p>
      <w:pPr>
        <w:spacing w:after="0" w:line="15"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notes to the consolidated financial statements:</w:t>
      </w:r>
    </w:p>
    <w:p>
      <w:pPr>
        <w:spacing w:after="0" w:line="2"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1"/>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of the Company" and "Debt of the Operating Partnership";</w:t>
      </w:r>
    </w:p>
    <w:p>
      <w:pPr>
        <w:spacing w:after="0" w:line="2"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1"/>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"Income per Share" and "Income per Unit";</w:t>
      </w:r>
    </w:p>
    <w:p>
      <w:pPr>
        <w:spacing w:after="0" w:line="2" w:lineRule="exact"/>
        <w:rPr>
          <w:rFonts w:ascii="Times New Roman" w:cs="Times New Roman" w:eastAsia="Times New Roman" w:hAnsi="Times New Roman"/>
          <w:sz w:val="13"/>
          <w:szCs w:val="13"/>
          <w:color w:val="auto"/>
        </w:rPr>
      </w:pPr>
    </w:p>
    <w:p>
      <w:pPr>
        <w:ind w:left="720" w:right="619" w:hanging="220"/>
        <w:spacing w:after="0" w:line="243" w:lineRule="auto"/>
        <w:tabs>
          <w:tab w:leader="none" w:pos="720" w:val="left"/>
        </w:tabs>
        <w:numPr>
          <w:ilvl w:val="1"/>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and Accumulated Other Comprehensive Loss, Net of the Company" and Capital and Accumulated Other Comprehensive Loss of the Operating Partnership"; and</w:t>
      </w:r>
    </w:p>
    <w:p>
      <w:pPr>
        <w:spacing w:after="0" w:line="1"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1"/>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"Quarterly Financial Information".</w:t>
      </w:r>
    </w:p>
    <w:p>
      <w:pPr>
        <w:spacing w:after="0" w:line="141" w:lineRule="exact"/>
        <w:rPr>
          <w:sz w:val="20"/>
          <w:szCs w:val="20"/>
          <w:color w:val="auto"/>
        </w:rPr>
      </w:pPr>
    </w:p>
    <w:p>
      <w:pPr>
        <w:ind w:left="20" w:right="39" w:firstLine="228"/>
        <w:spacing w:after="0" w:line="256" w:lineRule="auto"/>
        <w:rPr>
          <w:sz w:val="20"/>
          <w:szCs w:val="20"/>
          <w:color w:val="auto"/>
        </w:rPr>
      </w:pPr>
      <w:r>
        <w:rPr>
          <w:rFonts w:ascii="Times New Roman" w:cs="Times New Roman" w:eastAsia="Times New Roman" w:hAnsi="Times New Roman"/>
          <w:sz w:val="13"/>
          <w:szCs w:val="13"/>
          <w:color w:val="auto"/>
        </w:rPr>
        <w:t>In the sections that combine disclosure of Digital Realty Trust, Inc. and the Operating Partnership, these notes refer to actions or holdings as being actions or holdings of the Company. Although the Operating Partnership is generally the entity that enters into contracts and joint ventures and holds assets and debt, reference to the Company is appropriate because the business is one enterprise and the Company generally operates the business through the Operating Partnership.</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(b) Cash, Cash Equivalents and Restricted Cash</w:t>
      </w:r>
    </w:p>
    <w:p>
      <w:pPr>
        <w:spacing w:after="0" w:line="156" w:lineRule="exact"/>
        <w:rPr>
          <w:sz w:val="20"/>
          <w:szCs w:val="20"/>
          <w:color w:val="auto"/>
        </w:rPr>
      </w:pPr>
    </w:p>
    <w:p>
      <w:pPr>
        <w:ind w:left="20" w:right="159" w:firstLine="228"/>
        <w:spacing w:after="0" w:line="256" w:lineRule="auto"/>
        <w:rPr>
          <w:sz w:val="20"/>
          <w:szCs w:val="20"/>
          <w:color w:val="auto"/>
        </w:rPr>
      </w:pPr>
      <w:r>
        <w:rPr>
          <w:rFonts w:ascii="Times New Roman" w:cs="Times New Roman" w:eastAsia="Times New Roman" w:hAnsi="Times New Roman"/>
          <w:sz w:val="13"/>
          <w:szCs w:val="13"/>
          <w:color w:val="auto"/>
        </w:rPr>
        <w:t>For the purpose of the consolidated statements of cash flows, we consider short-term investments with original maturities of 90 days or less to be cash equivalents. As of December 31, 2020 and 2019, cash equivalents consist of investments in money market instruments. Restricted cash primarily consists of contractual capital expenditures plus other deposits.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Cash, cash equivalents, and restricted cash balances as of December 31, 2020, 2019 and 2018:</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32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(Amounts in thousands)</w:t>
            </w: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Balance as of</w:t>
            </w: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26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tcPr>
          <w:p>
            <w:pPr>
              <w:ind w:left="60"/>
              <w:spacing w:after="0" w:line="94" w:lineRule="exact"/>
              <w:rPr>
                <w:sz w:val="20"/>
                <w:szCs w:val="20"/>
                <w:color w:val="auto"/>
              </w:rPr>
            </w:pPr>
            <w:r>
              <w:rPr>
                <w:rFonts w:ascii="Times New Roman" w:cs="Times New Roman" w:eastAsia="Times New Roman" w:hAnsi="Times New Roman"/>
                <w:sz w:val="10"/>
                <w:szCs w:val="10"/>
                <w:b w:val="1"/>
                <w:bCs w:val="1"/>
                <w:color w:val="auto"/>
              </w:rPr>
              <w:t>December 31, 2020</w:t>
            </w:r>
          </w:p>
        </w:tc>
        <w:tc>
          <w:tcPr>
            <w:tcW w:w="160" w:type="dxa"/>
            <w:vAlign w:val="bottom"/>
          </w:tcPr>
          <w:p>
            <w:pPr>
              <w:spacing w:after="0"/>
              <w:rPr>
                <w:sz w:val="8"/>
                <w:szCs w:val="8"/>
                <w:color w:val="auto"/>
              </w:rPr>
            </w:pPr>
          </w:p>
        </w:tc>
        <w:tc>
          <w:tcPr>
            <w:tcW w:w="1280" w:type="dxa"/>
            <w:vAlign w:val="bottom"/>
            <w:gridSpan w:val="2"/>
          </w:tcPr>
          <w:p>
            <w:pPr>
              <w:jc w:val="center"/>
              <w:ind w:right="260"/>
              <w:spacing w:after="0" w:line="94" w:lineRule="exact"/>
              <w:rPr>
                <w:sz w:val="20"/>
                <w:szCs w:val="20"/>
                <w:color w:val="auto"/>
              </w:rPr>
            </w:pPr>
            <w:r>
              <w:rPr>
                <w:rFonts w:ascii="Times New Roman" w:cs="Times New Roman" w:eastAsia="Times New Roman" w:hAnsi="Times New Roman"/>
                <w:sz w:val="10"/>
                <w:szCs w:val="10"/>
                <w:b w:val="1"/>
                <w:bCs w:val="1"/>
                <w:color w:val="auto"/>
              </w:rPr>
              <w:t>December 31, 2019</w:t>
            </w:r>
          </w:p>
        </w:tc>
        <w:tc>
          <w:tcPr>
            <w:tcW w:w="140" w:type="dxa"/>
            <w:vAlign w:val="bottom"/>
          </w:tcPr>
          <w:p>
            <w:pPr>
              <w:spacing w:after="0"/>
              <w:rPr>
                <w:sz w:val="8"/>
                <w:szCs w:val="8"/>
                <w:color w:val="auto"/>
              </w:rPr>
            </w:pPr>
          </w:p>
        </w:tc>
        <w:tc>
          <w:tcPr>
            <w:tcW w:w="1100" w:type="dxa"/>
            <w:vAlign w:val="bottom"/>
          </w:tcPr>
          <w:p>
            <w:pPr>
              <w:jc w:val="right"/>
              <w:ind w:right="160"/>
              <w:spacing w:after="0" w:line="94" w:lineRule="exact"/>
              <w:rPr>
                <w:sz w:val="20"/>
                <w:szCs w:val="20"/>
                <w:color w:val="auto"/>
              </w:rPr>
            </w:pPr>
            <w:r>
              <w:rPr>
                <w:rFonts w:ascii="Times New Roman" w:cs="Times New Roman" w:eastAsia="Times New Roman" w:hAnsi="Times New Roman"/>
                <w:sz w:val="10"/>
                <w:szCs w:val="10"/>
                <w:b w:val="1"/>
                <w:bCs w:val="1"/>
                <w:color w:val="auto"/>
              </w:rPr>
              <w:t>December 31, 2018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260" w:type="dxa"/>
            <w:vAlign w:val="bottom"/>
            <w:tcBorders>
              <w:top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3"/>
                <w:szCs w:val="13"/>
                <w:color w:val="auto"/>
              </w:rPr>
              <w:t>Cash and cash equivalents</w:t>
            </w:r>
          </w:p>
        </w:tc>
        <w:tc>
          <w:tcPr>
            <w:tcW w:w="1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108,501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89,817</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126,700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Restricted cash (included in other assets)</w:t>
            </w:r>
          </w:p>
        </w:tc>
        <w:tc>
          <w:tcPr>
            <w:tcW w:w="15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15,151</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7,436</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CCEEFF"/>
            </w:tcBorders>
            <w:shd w:val="clear" w:color="auto" w:fill="CCEEFF"/>
          </w:tcPr>
          <w:p>
            <w:pPr>
              <w:ind w:left="160"/>
              <w:spacing w:after="0" w:line="141" w:lineRule="exact"/>
              <w:rPr>
                <w:sz w:val="20"/>
                <w:szCs w:val="20"/>
                <w:color w:val="auto"/>
              </w:rPr>
            </w:pPr>
            <w:r>
              <w:rPr>
                <w:rFonts w:ascii="Times New Roman" w:cs="Times New Roman" w:eastAsia="Times New Roman" w:hAnsi="Times New Roman"/>
                <w:sz w:val="13"/>
                <w:szCs w:val="13"/>
                <w:color w:val="auto"/>
              </w:rPr>
              <w:t>Total</w:t>
            </w:r>
          </w:p>
        </w:tc>
        <w:tc>
          <w:tcPr>
            <w:tcW w:w="15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123,652</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97,253</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135,222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6"/>
        </w:trPr>
        <w:tc>
          <w:tcPr>
            <w:tcW w:w="3260" w:type="dxa"/>
            <w:vAlign w:val="bottom"/>
          </w:tcPr>
          <w:p>
            <w:pPr>
              <w:spacing w:after="0"/>
              <w:rPr>
                <w:sz w:val="24"/>
                <w:szCs w:val="24"/>
                <w:color w:val="auto"/>
              </w:rPr>
            </w:pPr>
          </w:p>
        </w:tc>
        <w:tc>
          <w:tcPr>
            <w:tcW w:w="15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124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3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02" w:right="1440" w:bottom="1440" w:gutter="0" w:footer="0" w:header="0"/>
        </w:sectPr>
      </w:pPr>
    </w:p>
    <w:bookmarkStart w:id="129" w:name="page130"/>
    <w:bookmarkEnd w:id="12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(c) Investments in Real Estate</w:t>
      </w:r>
    </w:p>
    <w:p>
      <w:pPr>
        <w:spacing w:after="0" w:line="156" w:lineRule="exact"/>
        <w:rPr>
          <w:sz w:val="20"/>
          <w:szCs w:val="20"/>
          <w:color w:val="auto"/>
        </w:rPr>
      </w:pPr>
    </w:p>
    <w:p>
      <w:pPr>
        <w:ind w:left="20" w:right="399" w:firstLine="228"/>
        <w:spacing w:after="0" w:line="268" w:lineRule="auto"/>
        <w:rPr>
          <w:sz w:val="20"/>
          <w:szCs w:val="20"/>
          <w:color w:val="auto"/>
        </w:rPr>
      </w:pPr>
      <w:r>
        <w:rPr>
          <w:rFonts w:ascii="Times New Roman" w:cs="Times New Roman" w:eastAsia="Times New Roman" w:hAnsi="Times New Roman"/>
          <w:sz w:val="13"/>
          <w:szCs w:val="13"/>
          <w:color w:val="auto"/>
        </w:rPr>
        <w:t>Investments in real estate are stated at cost, less accumulated depreciation and amortization. Land is not depreciated. Depreciation and amortization are recorded on a straight-line basis over the estimated useful lives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Acquired ground leases</w:t>
            </w:r>
          </w:p>
        </w:tc>
        <w:tc>
          <w:tcPr>
            <w:tcW w:w="6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Terms of the related lease</w:t>
            </w:r>
          </w:p>
        </w:tc>
      </w:tr>
      <w:tr>
        <w:trPr>
          <w:trHeight w:val="152"/>
        </w:trPr>
        <w:tc>
          <w:tcPr>
            <w:tcW w:w="2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Buildings and improvements</w:t>
            </w:r>
          </w:p>
        </w:tc>
        <w:tc>
          <w:tcPr>
            <w:tcW w:w="6360" w:type="dxa"/>
            <w:vAlign w:val="bottom"/>
          </w:tcPr>
          <w:p>
            <w:pPr>
              <w:ind w:left="1140"/>
              <w:spacing w:after="0"/>
              <w:rPr>
                <w:sz w:val="20"/>
                <w:szCs w:val="20"/>
                <w:color w:val="auto"/>
              </w:rPr>
            </w:pPr>
            <w:r>
              <w:rPr>
                <w:rFonts w:ascii="Times New Roman" w:cs="Times New Roman" w:eastAsia="Times New Roman" w:hAnsi="Times New Roman"/>
                <w:sz w:val="13"/>
                <w:szCs w:val="13"/>
                <w:color w:val="auto"/>
              </w:rPr>
              <w:t>5-39 years</w:t>
            </w:r>
          </w:p>
        </w:tc>
      </w:tr>
      <w:tr>
        <w:trPr>
          <w:trHeight w:val="152"/>
        </w:trPr>
        <w:tc>
          <w:tcPr>
            <w:tcW w:w="20" w:type="dxa"/>
            <w:vAlign w:val="bottom"/>
          </w:tcPr>
          <w:p>
            <w:pPr>
              <w:spacing w:after="0"/>
              <w:rPr>
                <w:sz w:val="13"/>
                <w:szCs w:val="13"/>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Machinery and equipment</w:t>
            </w:r>
          </w:p>
        </w:tc>
        <w:tc>
          <w:tcPr>
            <w:tcW w:w="6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7-15 years</w:t>
            </w:r>
          </w:p>
        </w:tc>
      </w:tr>
      <w:tr>
        <w:trPr>
          <w:trHeight w:val="152"/>
        </w:trPr>
        <w:tc>
          <w:tcPr>
            <w:tcW w:w="2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Furniture and fixtures</w:t>
            </w:r>
          </w:p>
        </w:tc>
        <w:tc>
          <w:tcPr>
            <w:tcW w:w="6360" w:type="dxa"/>
            <w:vAlign w:val="bottom"/>
          </w:tcPr>
          <w:p>
            <w:pPr>
              <w:ind w:left="1140"/>
              <w:spacing w:after="0"/>
              <w:rPr>
                <w:sz w:val="20"/>
                <w:szCs w:val="20"/>
                <w:color w:val="auto"/>
              </w:rPr>
            </w:pPr>
            <w:r>
              <w:rPr>
                <w:rFonts w:ascii="Times New Roman" w:cs="Times New Roman" w:eastAsia="Times New Roman" w:hAnsi="Times New Roman"/>
                <w:sz w:val="13"/>
                <w:szCs w:val="13"/>
                <w:color w:val="auto"/>
              </w:rPr>
              <w:t>3-5 years</w:t>
            </w:r>
          </w:p>
        </w:tc>
      </w:tr>
      <w:tr>
        <w:trPr>
          <w:trHeight w:val="152"/>
        </w:trPr>
        <w:tc>
          <w:tcPr>
            <w:tcW w:w="20" w:type="dxa"/>
            <w:vAlign w:val="bottom"/>
          </w:tcPr>
          <w:p>
            <w:pPr>
              <w:spacing w:after="0"/>
              <w:rPr>
                <w:sz w:val="13"/>
                <w:szCs w:val="13"/>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Leasehold improvements</w:t>
            </w:r>
          </w:p>
        </w:tc>
        <w:tc>
          <w:tcPr>
            <w:tcW w:w="6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Shorter of the estimated useful lives or the terms of the related leases</w:t>
            </w:r>
          </w:p>
        </w:tc>
      </w:tr>
      <w:tr>
        <w:trPr>
          <w:trHeight w:val="165"/>
        </w:trPr>
        <w:tc>
          <w:tcPr>
            <w:tcW w:w="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Tenant improvements</w:t>
            </w:r>
          </w:p>
        </w:tc>
        <w:tc>
          <w:tcPr>
            <w:tcW w:w="6360" w:type="dxa"/>
            <w:vAlign w:val="bottom"/>
          </w:tcPr>
          <w:p>
            <w:pPr>
              <w:ind w:left="1140"/>
              <w:spacing w:after="0"/>
              <w:rPr>
                <w:sz w:val="20"/>
                <w:szCs w:val="20"/>
                <w:color w:val="auto"/>
              </w:rPr>
            </w:pPr>
            <w:r>
              <w:rPr>
                <w:rFonts w:ascii="Times New Roman" w:cs="Times New Roman" w:eastAsia="Times New Roman" w:hAnsi="Times New Roman"/>
                <w:sz w:val="13"/>
                <w:szCs w:val="13"/>
                <w:color w:val="auto"/>
              </w:rPr>
              <w:t>Shorter of the estimated useful lives or the terms of the related leases</w:t>
            </w:r>
          </w:p>
        </w:tc>
      </w:tr>
    </w:tbl>
    <w:p>
      <w:pPr>
        <w:spacing w:after="0" w:line="126" w:lineRule="exact"/>
        <w:rPr>
          <w:sz w:val="20"/>
          <w:szCs w:val="20"/>
          <w:color w:val="auto"/>
        </w:rPr>
      </w:pPr>
    </w:p>
    <w:p>
      <w:pPr>
        <w:ind w:left="20" w:right="319" w:firstLine="228"/>
        <w:spacing w:after="0" w:line="268" w:lineRule="auto"/>
        <w:rPr>
          <w:sz w:val="20"/>
          <w:szCs w:val="20"/>
          <w:color w:val="auto"/>
        </w:rPr>
      </w:pPr>
      <w:r>
        <w:rPr>
          <w:rFonts w:ascii="Times New Roman" w:cs="Times New Roman" w:eastAsia="Times New Roman" w:hAnsi="Times New Roman"/>
          <w:sz w:val="13"/>
          <w:szCs w:val="13"/>
          <w:color w:val="auto"/>
        </w:rPr>
        <w:t>Improvements and replacements are capitalized when they extend the useful life, increase capacity, or improve the efficiency of the asset. Repairs and maintenance are charged to expense as incurred.</w:t>
      </w:r>
    </w:p>
    <w:p>
      <w:pPr>
        <w:spacing w:after="0" w:line="122" w:lineRule="exact"/>
        <w:rPr>
          <w:sz w:val="20"/>
          <w:szCs w:val="20"/>
          <w:color w:val="auto"/>
        </w:rPr>
      </w:pPr>
    </w:p>
    <w:p>
      <w:pPr>
        <w:ind w:left="20" w:right="259" w:firstLine="228"/>
        <w:spacing w:after="0" w:line="252" w:lineRule="auto"/>
        <w:rPr>
          <w:sz w:val="20"/>
          <w:szCs w:val="20"/>
          <w:color w:val="auto"/>
        </w:rPr>
      </w:pPr>
      <w:r>
        <w:rPr>
          <w:rFonts w:ascii="Times New Roman" w:cs="Times New Roman" w:eastAsia="Times New Roman" w:hAnsi="Times New Roman"/>
          <w:sz w:val="13"/>
          <w:szCs w:val="13"/>
          <w:color w:val="auto"/>
        </w:rPr>
        <w:t>Assets that are classified as held for sale are recorded at the lower of their carrying value or fair value less costs to dispose. We classify an asset as held for sale once management has the authority to approve and commits to a plan to sell, the asset is available for immediate sale, an active program to locate a buyer has commenced and the sale of the asset is probable and transfer of the asset is expected to occur within one year. Upon the classification of assets as held for sale or sold, the depreciation and amortization of the assets will cease.</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(d) Investments in Unconsolidated Joint Ventures</w:t>
      </w:r>
    </w:p>
    <w:p>
      <w:pPr>
        <w:spacing w:after="0" w:line="156" w:lineRule="exact"/>
        <w:rPr>
          <w:sz w:val="20"/>
          <w:szCs w:val="20"/>
          <w:color w:val="auto"/>
        </w:rPr>
      </w:pPr>
    </w:p>
    <w:p>
      <w:pPr>
        <w:ind w:left="20" w:right="99" w:firstLine="228"/>
        <w:spacing w:after="0" w:line="246" w:lineRule="auto"/>
        <w:rPr>
          <w:sz w:val="20"/>
          <w:szCs w:val="20"/>
          <w:color w:val="auto"/>
        </w:rPr>
      </w:pPr>
      <w:r>
        <w:rPr>
          <w:rFonts w:ascii="Times New Roman" w:cs="Times New Roman" w:eastAsia="Times New Roman" w:hAnsi="Times New Roman"/>
          <w:sz w:val="13"/>
          <w:szCs w:val="13"/>
          <w:color w:val="auto"/>
        </w:rPr>
        <w:t>The Company’s investments in unconsolidated joint ventures are accounted for using the equity method. We use the equity method when we have the ability to exercise significant influence over operating and financial policies of the venture but do not have control of the entity. Under the equity method, we initially recognize these investments in the balance sheet at our cost or proportionate share of fair value. We subsequently adjust the accounts to reflect our proportionate share of net earnings or losses recognized and other comprehensive income or loss, distributions received, contributions made and certain other adjustments, as appropriate. We do not record losses of the joint ventures in excess of our investment balances unless we are liable for the obligations of the joint venture or are otherwise committed to provide financial support to the joint venture. Likewise, and as long as we have no explicit or implicit obligations to the joint venture, we will suspend equity method accounting to the extent that cash distributions exceed our investment balances until those unrecorded earnings exceed the excess distributions previously recognized in income. In this case, we will apply cost accounting concepts which result in income being equal to cash distributions received. Cost basis accounting concepts will apply until earnings exceed the excess distributions previously recognized in income.</w:t>
      </w:r>
    </w:p>
    <w:p>
      <w:pPr>
        <w:spacing w:after="0" w:line="140" w:lineRule="exact"/>
        <w:rPr>
          <w:sz w:val="20"/>
          <w:szCs w:val="20"/>
          <w:color w:val="auto"/>
        </w:rPr>
      </w:pPr>
    </w:p>
    <w:p>
      <w:pPr>
        <w:ind w:left="20" w:right="519" w:firstLine="228"/>
        <w:spacing w:after="0" w:line="256" w:lineRule="auto"/>
        <w:rPr>
          <w:sz w:val="20"/>
          <w:szCs w:val="20"/>
          <w:color w:val="auto"/>
        </w:rPr>
      </w:pPr>
      <w:r>
        <w:rPr>
          <w:rFonts w:ascii="Times New Roman" w:cs="Times New Roman" w:eastAsia="Times New Roman" w:hAnsi="Times New Roman"/>
          <w:sz w:val="13"/>
          <w:szCs w:val="13"/>
          <w:color w:val="auto"/>
        </w:rPr>
        <w:t>We amortize the difference between the cost of our investment in the joint ventures and the book value of the underlying equity into income on a straight-line basis consistent with the lives of the underlying assets. In the event the underlying asset is goodwill, the difference is not amortized. The amortization of this difference was immaterial for each of the years ended December 31, 2020, 2019 and 2018.</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(e) Impairment of Long-Lived and Finite-Lived Intangible Assets</w:t>
      </w:r>
    </w:p>
    <w:p>
      <w:pPr>
        <w:spacing w:after="0" w:line="156" w:lineRule="exact"/>
        <w:rPr>
          <w:sz w:val="20"/>
          <w:szCs w:val="20"/>
          <w:color w:val="auto"/>
        </w:rPr>
      </w:pPr>
    </w:p>
    <w:p>
      <w:pPr>
        <w:jc w:val="both"/>
        <w:ind w:left="20" w:right="319" w:firstLine="228"/>
        <w:spacing w:after="0" w:line="256" w:lineRule="auto"/>
        <w:rPr>
          <w:sz w:val="20"/>
          <w:szCs w:val="20"/>
          <w:color w:val="auto"/>
        </w:rPr>
      </w:pPr>
      <w:r>
        <w:rPr>
          <w:rFonts w:ascii="Times New Roman" w:cs="Times New Roman" w:eastAsia="Times New Roman" w:hAnsi="Times New Roman"/>
          <w:sz w:val="13"/>
          <w:szCs w:val="13"/>
          <w:color w:val="auto"/>
        </w:rPr>
        <w:t>We review each of our properties for indicators that its carrying amount may not be recoverable. Examples of such indicators may include a significant decrease in the market price of the property, a change in the expected holding period for the property, a significant adverse change in how the property is being used or expected to be used based on the underwriting at the time of acquisition, an accumulation of costs significantly in excess of the amount originally</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30" w:name="page131"/>
    <w:bookmarkEnd w:id="13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119"/>
        <w:spacing w:after="0" w:line="271" w:lineRule="auto"/>
        <w:rPr>
          <w:sz w:val="20"/>
          <w:szCs w:val="20"/>
          <w:color w:val="auto"/>
        </w:rPr>
      </w:pPr>
      <w:r>
        <w:rPr>
          <w:rFonts w:ascii="Times New Roman" w:cs="Times New Roman" w:eastAsia="Times New Roman" w:hAnsi="Times New Roman"/>
          <w:sz w:val="12"/>
          <w:szCs w:val="12"/>
          <w:color w:val="auto"/>
        </w:rPr>
        <w:t>expected for the acquisition or development of the property, or a history of operating or cash flow losses of the property. When such impairment indicators exist, we review an estimate of the future undiscounted net cash flows (excluding interest charges) expected to result from the property’s or asset group’s use and eventual disposition and compare that estimate to the carrying value of the property or the asset group. We consider factors such as future operating income, trends and prospects, as well as the effects of leasing demand, competition and other factors. If our future undiscounted net cash flow evaluation indicates that we are unable to recover the carrying value of a property or asset group, an impairment loss is recorded to the extent that the carrying value exceeds the estimated fair value of the property or fair value of the properties within the asset group. The evaluation of anticipated cash flows is highly subjective and is based in part on assumptions regarding future occupancy, rental rates and capital requirements that could differ materially from actual results in future periods. If we determine that the asset fails the recoverability test, the affected assets must be reduced to their fair value.</w:t>
      </w:r>
    </w:p>
    <w:p>
      <w:pPr>
        <w:spacing w:after="0" w:line="124" w:lineRule="exact"/>
        <w:rPr>
          <w:sz w:val="20"/>
          <w:szCs w:val="20"/>
          <w:color w:val="auto"/>
        </w:rPr>
      </w:pPr>
    </w:p>
    <w:p>
      <w:pPr>
        <w:ind w:left="20" w:right="339" w:firstLine="228"/>
        <w:spacing w:after="0" w:line="256" w:lineRule="auto"/>
        <w:rPr>
          <w:sz w:val="20"/>
          <w:szCs w:val="20"/>
          <w:color w:val="auto"/>
        </w:rPr>
      </w:pPr>
      <w:r>
        <w:rPr>
          <w:rFonts w:ascii="Times New Roman" w:cs="Times New Roman" w:eastAsia="Times New Roman" w:hAnsi="Times New Roman"/>
          <w:sz w:val="13"/>
          <w:szCs w:val="13"/>
          <w:color w:val="auto"/>
        </w:rPr>
        <w:t>We generally estimate the fair value of rental properties utilizing a discounted cash flow analysis that includes projections of future revenues, expenses and capital improvement costs that a market participant would use based on the highest and best use of the asset, which is similar to the income approach that is commonly utilized by appraisers. In certain cases, we may supplement this analysis by obtaining outside broker opinions of value.</w:t>
      </w:r>
    </w:p>
    <w:p>
      <w:pPr>
        <w:spacing w:after="0" w:line="129" w:lineRule="exact"/>
        <w:rPr>
          <w:sz w:val="20"/>
          <w:szCs w:val="20"/>
          <w:color w:val="auto"/>
        </w:rPr>
      </w:pPr>
    </w:p>
    <w:p>
      <w:pPr>
        <w:ind w:left="20" w:right="79" w:firstLine="228"/>
        <w:spacing w:after="0" w:line="249" w:lineRule="auto"/>
        <w:rPr>
          <w:sz w:val="20"/>
          <w:szCs w:val="20"/>
          <w:color w:val="auto"/>
        </w:rPr>
      </w:pPr>
      <w:r>
        <w:rPr>
          <w:rFonts w:ascii="Times New Roman" w:cs="Times New Roman" w:eastAsia="Times New Roman" w:hAnsi="Times New Roman"/>
          <w:sz w:val="13"/>
          <w:szCs w:val="13"/>
          <w:color w:val="auto"/>
        </w:rPr>
        <w:t>In considering whether to classify a property as held for sale or contribution, the Company considers whether: (i) management has committed to a plan to sell or contribute the property; (ii) the property is available for immediate sale or contribution in its present condition; (iii) the Company has initiated a program to locate a buyer or joint venture partner; (iv) the Company believes that the sale or contribution of the property is probable; (v) the Company is actively marketing the property for sale or contribution at a price that is reasonable in relation to its current value; and (vi) actions required for the Company to complete the plan indicate that it is unlikely that any significant changes will be made to the plan.</w:t>
      </w:r>
    </w:p>
    <w:p>
      <w:pPr>
        <w:spacing w:after="0" w:line="136" w:lineRule="exact"/>
        <w:rPr>
          <w:sz w:val="20"/>
          <w:szCs w:val="20"/>
          <w:color w:val="auto"/>
        </w:rPr>
      </w:pPr>
    </w:p>
    <w:p>
      <w:pPr>
        <w:ind w:left="20" w:right="79" w:firstLine="228"/>
        <w:spacing w:after="0" w:line="248" w:lineRule="auto"/>
        <w:rPr>
          <w:sz w:val="20"/>
          <w:szCs w:val="20"/>
          <w:color w:val="auto"/>
        </w:rPr>
      </w:pPr>
      <w:r>
        <w:rPr>
          <w:rFonts w:ascii="Times New Roman" w:cs="Times New Roman" w:eastAsia="Times New Roman" w:hAnsi="Times New Roman"/>
          <w:sz w:val="13"/>
          <w:szCs w:val="13"/>
          <w:color w:val="auto"/>
        </w:rPr>
        <w:t>If all the above criteria are met, the Company classifies the property as held for sale or contribution. Assets classified as held for sale are expected to be sold to a third party and assets classified as held for contribution are expected to be contributed to an unconsolidated joint venture or to a third party within twelve months. At such time, the respective assets and liabilities are presented separately in the consolidated balance sheets and depreciation is no longer recognized. Assets held for sale or contribution are reported at the lower of their carrying amount or their estimated fair value less the costs to sell or contribute. Only those assets held for sale or contribution that constitute a strategic shift that has or will have a major effect on our operations are classified as discontinued operations. To date we have had no property dispositions or assets classified as held for sale or contribution that would meet the definition of discontinued operations.</w:t>
      </w:r>
    </w:p>
    <w:p>
      <w:pPr>
        <w:spacing w:after="0" w:line="136" w:lineRule="exact"/>
        <w:rPr>
          <w:sz w:val="20"/>
          <w:szCs w:val="20"/>
          <w:color w:val="auto"/>
        </w:rPr>
      </w:pPr>
    </w:p>
    <w:p>
      <w:pPr>
        <w:ind w:left="20" w:right="79" w:firstLine="228"/>
        <w:spacing w:after="0" w:line="252" w:lineRule="auto"/>
        <w:rPr>
          <w:sz w:val="20"/>
          <w:szCs w:val="20"/>
          <w:color w:val="auto"/>
        </w:rPr>
      </w:pPr>
      <w:r>
        <w:rPr>
          <w:rFonts w:ascii="Times New Roman" w:cs="Times New Roman" w:eastAsia="Times New Roman" w:hAnsi="Times New Roman"/>
          <w:sz w:val="13"/>
          <w:szCs w:val="13"/>
          <w:color w:val="auto"/>
        </w:rPr>
        <w:t>If impairment indicators arise with respect to intangible assets with finite useful lives, we evaluate impairment by comparing the carrying amount of the asset to the estimated future undiscounted net cash flows expected to be generated by the asset. If estimated future undiscounted net cash flows are less than the carrying amount of the asset, then we estimate the fair value of the asset and compare the estimated fair value to the intangible asset’s carrying value. We recognize any shortfall from carrying value as an impairment loss in the current period.</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(f) Acquisition Accounting</w:t>
      </w:r>
    </w:p>
    <w:p>
      <w:pPr>
        <w:spacing w:after="0" w:line="156" w:lineRule="exact"/>
        <w:rPr>
          <w:sz w:val="20"/>
          <w:szCs w:val="20"/>
          <w:color w:val="auto"/>
        </w:rPr>
      </w:pPr>
    </w:p>
    <w:p>
      <w:pPr>
        <w:ind w:left="20" w:right="119" w:firstLine="228"/>
        <w:spacing w:after="0" w:line="256" w:lineRule="auto"/>
        <w:rPr>
          <w:sz w:val="20"/>
          <w:szCs w:val="20"/>
          <w:color w:val="auto"/>
        </w:rPr>
      </w:pPr>
      <w:r>
        <w:rPr>
          <w:rFonts w:ascii="Times New Roman" w:cs="Times New Roman" w:eastAsia="Times New Roman" w:hAnsi="Times New Roman"/>
          <w:sz w:val="13"/>
          <w:szCs w:val="13"/>
          <w:color w:val="auto"/>
        </w:rPr>
        <w:t>Acquisition accounting is applied to the assets and liabilities acquired from third parties. The Company evaluates the nature of the purchase to determine whether the purchase is a business combination or an asset acquisition. Transaction costs associated with business combinations are expensed as incurred while transaction costs associated with an asset acquisition are included in the total costs of the acquisition and are allocated on a pro-rata basis to the carrying</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31" w:name="page132"/>
    <w:bookmarkEnd w:id="13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39"/>
        <w:spacing w:after="0" w:line="246" w:lineRule="auto"/>
        <w:rPr>
          <w:sz w:val="20"/>
          <w:szCs w:val="20"/>
          <w:color w:val="auto"/>
        </w:rPr>
      </w:pPr>
      <w:r>
        <w:rPr>
          <w:rFonts w:ascii="Times New Roman" w:cs="Times New Roman" w:eastAsia="Times New Roman" w:hAnsi="Times New Roman"/>
          <w:sz w:val="13"/>
          <w:szCs w:val="13"/>
          <w:color w:val="auto"/>
        </w:rPr>
        <w:t>value of the assets and liabilities recognized in connection with the acquisition. The following accounting policies related to valuing the acquired tangible and intangible assets and liabilities are applicable to both business combinations and asset acquisitions. However, in the event the purchase is an asset acquisition, no goodwill or gain is permitted to be recognized. In an asset acquisition, the difference between the sum of the identified tangible and intangible assets and liabilities and the total purchase price (including transactions costs) is allocated to the identified tangible and intangible assets and liabilities on a relative fair value basis. In accordance with current accounting guidance</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fair value of the real estate acquired is allocated to the acquired tangible assets, consisting primarily of land, building and tenant improvements, and identified intangible assets and liabilities, consisting of the value of above-market and below-market leases, value of in-place leases, acquired ground leases and customer relationship value, based in each case on their fair values. Loan premiums, in the case of above-market rate loans, or loan discounts, in the case of below-market loans, are recorded based on the fair value of any loans assumed in connection with acquiring the real estate. When we obtain control of an unconsolidated entity that we previously held as an equity method investment and the acquisition qualifies as a business combination, we account for the acquisition in accordance with the guidance for a business combination achieved in stages. We remeasure our previously held interest in the unconsolidated entity at its acquisition-date fair value, derecognize the book value associated with that interest, and recognize any resulting gain or loss in earnings. If the acquisition qualifies as an asset acquisition, we account for the acquisition under a cost accumulation model, with the cost of the acquisition, including transaction costs allocated to the assets acquired on the basis of relative fair values.</w:t>
      </w:r>
    </w:p>
    <w:p>
      <w:pPr>
        <w:spacing w:after="0" w:line="136" w:lineRule="exact"/>
        <w:rPr>
          <w:sz w:val="20"/>
          <w:szCs w:val="20"/>
          <w:color w:val="auto"/>
        </w:rPr>
      </w:pPr>
    </w:p>
    <w:p>
      <w:pPr>
        <w:ind w:left="20" w:right="59" w:firstLine="228"/>
        <w:spacing w:after="0" w:line="247" w:lineRule="auto"/>
        <w:rPr>
          <w:sz w:val="20"/>
          <w:szCs w:val="20"/>
          <w:color w:val="auto"/>
        </w:rPr>
      </w:pPr>
      <w:r>
        <w:rPr>
          <w:rFonts w:ascii="Times New Roman" w:cs="Times New Roman" w:eastAsia="Times New Roman" w:hAnsi="Times New Roman"/>
          <w:sz w:val="13"/>
          <w:szCs w:val="13"/>
          <w:color w:val="auto"/>
        </w:rPr>
        <w:t>The fair values of the tangible assets of an acquired property are determined based on comparable land sales for land and replacement costs adjusted for physical and market obsolescence for the improvements. The fair values of the tangible assets of an acquired property in an asset acquisition are also determined by valuing the property as if it were vacant, and the “as-if-vacant” value is then allocated to land, building and tenant improvements based on management’s determination of the relative fair values of these assets. Management determines the as-if-vacant fair value of a property based on assumptions that a market participant would use, which is similar to methods used by independent appraisers. Factors considered by management in performing these analyses include an estimate of carrying costs during the expected lease-up periods considering current market conditions and costs to execute similar leases. In estimating carrying costs, management includes real estate taxes, insurance and other operating expenses and estimates of lost rental revenue during the expected lease-up periods based on current market demand. Management also estimates costs to execute similar leases including leasing commissions, tenant improvements, legal and other related costs.</w:t>
      </w:r>
    </w:p>
    <w:p>
      <w:pPr>
        <w:spacing w:after="0" w:line="136" w:lineRule="exact"/>
        <w:rPr>
          <w:sz w:val="20"/>
          <w:szCs w:val="20"/>
          <w:color w:val="auto"/>
        </w:rPr>
      </w:pPr>
    </w:p>
    <w:p>
      <w:pPr>
        <w:ind w:left="20" w:right="39" w:firstLine="228"/>
        <w:spacing w:after="0" w:line="271" w:lineRule="auto"/>
        <w:rPr>
          <w:sz w:val="20"/>
          <w:szCs w:val="20"/>
          <w:color w:val="auto"/>
        </w:rPr>
      </w:pPr>
      <w:r>
        <w:rPr>
          <w:rFonts w:ascii="Times New Roman" w:cs="Times New Roman" w:eastAsia="Times New Roman" w:hAnsi="Times New Roman"/>
          <w:sz w:val="12"/>
          <w:szCs w:val="12"/>
          <w:color w:val="auto"/>
        </w:rPr>
        <w:t>In allocating the fair value of the identified intangible assets and liabilities of an acquired property, above-market and below-market in-place lease values are recorded based on the present value (using an interest rate which reflects the risks associated with the leases acquired) of the difference between (i) the contractual amounts to be paid pursuant to the in-place leases and (ii) estimated fair market lease rates from the perspective of a market participant for the corresponding in-place leases, measured, for above-market leases, over a period equal to the remaining non-cancelable term of the lease and, for below-market leases, over a period equal to the initial term plus any below-market fixed rate renewal periods. The leases we have acquired do not currently include any below-market fixed rate renewal periods. The capitalized above-market lease values are amortized as a reduction of rental income over the remaining non-cancelable terms of the respective leases. The capitalized below-market lease values, also referred to as acquired lease obligations, are amortized as an increase to rental income over the initial terms of the respective leases and any below-market fixed rate renewal periods.</w:t>
      </w:r>
    </w:p>
    <w:p>
      <w:pPr>
        <w:spacing w:after="0" w:line="124" w:lineRule="exact"/>
        <w:rPr>
          <w:sz w:val="20"/>
          <w:szCs w:val="20"/>
          <w:color w:val="auto"/>
        </w:rPr>
      </w:pPr>
    </w:p>
    <w:p>
      <w:pPr>
        <w:ind w:left="20" w:right="139" w:firstLine="228"/>
        <w:spacing w:after="0" w:line="252" w:lineRule="auto"/>
        <w:rPr>
          <w:sz w:val="20"/>
          <w:szCs w:val="20"/>
          <w:color w:val="auto"/>
        </w:rPr>
      </w:pPr>
      <w:r>
        <w:rPr>
          <w:rFonts w:ascii="Times New Roman" w:cs="Times New Roman" w:eastAsia="Times New Roman" w:hAnsi="Times New Roman"/>
          <w:sz w:val="13"/>
          <w:szCs w:val="13"/>
          <w:color w:val="auto"/>
        </w:rPr>
        <w:t>In addition to the intangible value for above-market leases and the intangible negative value for below-market leases, there is intangible value related to having tenants leasing space in the purchased property, which is referred to as in-place lease value. Such value results primarily from the buyer of a leased property avoiding the costs associated with leasing the property and also avoiding rent losses and unreimbursed operating expenses during the lease-up period. Factors to be considered by management in its analysis of in-place lease values include an estimate of carrying costs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32" w:name="page133"/>
    <w:bookmarkEnd w:id="13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79"/>
        <w:spacing w:after="0" w:line="252" w:lineRule="auto"/>
        <w:rPr>
          <w:sz w:val="20"/>
          <w:szCs w:val="20"/>
          <w:color w:val="auto"/>
        </w:rPr>
      </w:pPr>
      <w:r>
        <w:rPr>
          <w:rFonts w:ascii="Times New Roman" w:cs="Times New Roman" w:eastAsia="Times New Roman" w:hAnsi="Times New Roman"/>
          <w:sz w:val="13"/>
          <w:szCs w:val="13"/>
          <w:color w:val="auto"/>
        </w:rPr>
        <w:t>during hypothetical expected lease-up periods considering current market conditions, and costs to execute similar leases. In estimating carrying costs, management includes real estate taxes, insurance and other operating expenses and estimates of lost rental revenue at market rates during the expected lease-up periods, depending on local market conditions. In estimating costs to execute similar leases, management considers leasing commissions, legal and other related expenses. The value of in-place leases is amortized to expense over the remaining initial terms of the respective leases.</w:t>
      </w:r>
    </w:p>
    <w:p>
      <w:pPr>
        <w:spacing w:after="0" w:line="132" w:lineRule="exact"/>
        <w:rPr>
          <w:sz w:val="20"/>
          <w:szCs w:val="20"/>
          <w:color w:val="auto"/>
        </w:rPr>
      </w:pPr>
    </w:p>
    <w:p>
      <w:pPr>
        <w:ind w:left="20" w:right="79" w:firstLine="228"/>
        <w:spacing w:after="0" w:line="249" w:lineRule="auto"/>
        <w:rPr>
          <w:sz w:val="20"/>
          <w:szCs w:val="20"/>
          <w:color w:val="auto"/>
        </w:rPr>
      </w:pPr>
      <w:r>
        <w:rPr>
          <w:rFonts w:ascii="Times New Roman" w:cs="Times New Roman" w:eastAsia="Times New Roman" w:hAnsi="Times New Roman"/>
          <w:sz w:val="13"/>
          <w:szCs w:val="13"/>
          <w:color w:val="auto"/>
        </w:rPr>
        <w:t>The Company uses the multi-period excess earnings method to value customer relationship value, if any. Such value exists in transactions that involve the acquisition of customers that are expected to generate recurring revenues beyond existing in-place lease terms. The primary factors to be considered by management in its analysis of customer relationship value include projected revenue growth from existing customers, historical customer lease renewals and attrition rates, rental renewal probabilities and related market terms, estimated operating costs, and discount rate. Customer relationship value is amortized to expense ratably over the anticipated life of substantially all of the customer relationships generating excess earnings, which is the primary period that generated this intangible asset.</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(g) Goodwill</w:t>
      </w:r>
    </w:p>
    <w:p>
      <w:pPr>
        <w:spacing w:after="0" w:line="156" w:lineRule="exact"/>
        <w:rPr>
          <w:sz w:val="20"/>
          <w:szCs w:val="20"/>
          <w:color w:val="auto"/>
        </w:rPr>
      </w:pPr>
    </w:p>
    <w:p>
      <w:pPr>
        <w:ind w:left="20" w:right="39" w:firstLine="228"/>
        <w:spacing w:after="0" w:line="245" w:lineRule="auto"/>
        <w:rPr>
          <w:sz w:val="20"/>
          <w:szCs w:val="20"/>
          <w:color w:val="auto"/>
        </w:rPr>
      </w:pPr>
      <w:r>
        <w:rPr>
          <w:rFonts w:ascii="Times New Roman" w:cs="Times New Roman" w:eastAsia="Times New Roman" w:hAnsi="Times New Roman"/>
          <w:sz w:val="13"/>
          <w:szCs w:val="13"/>
          <w:color w:val="auto"/>
        </w:rPr>
        <w:t>Goodwill represents the excess of the purchase price over the fair value of net tangible and intangible assets acquired and tangible and intangible liabilities assumed in a business combination. Goodwill is not amortized. We perform an annual impairment test for goodwill and between annual tests, we evaluate goodwill for impairment whenever events or changes in circumstances occur that would more likely than not reduce the fair value of a reporting unit below its carrying value. In January 2017, the FASB issued new accounting guidance on simplifying the test for goodwill impairment. Prior to 2020, the standard required an entity to perform a two-step test to determine the amount, if any, of goodwill impairment. In Step 1, an entity compared the fair value of a reporting unit with its carrying amount, including goodwill. If the carrying amount of the reporting unit exceeded its fair value, the entity performed Step 2 and compared the implied fair value of goodwill with the carrying amount of that goodwill for that reporting unit. An impairment charge equal to the amount by which the carrying amount of goodwill for the reporting unit exceeded the implied fair value of that goodwill is recorded, limited to the amount of goodwill allocated to that reporting unit. The new guidance removes Step 2. Under the new guidance,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The new guidance was effective for us in the first quarter of 2020 and was adopted on a prospective basis. The adoption of this guidance had no significant impact on our consolidated financial statements. We have not recognized any goodwill impairments since our inception. Since some of the goodwill is denominated in foreign currencies, changes to the goodwill balance occur over time due to changes in foreign currency exchange rates.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33" w:name="page134"/>
    <w:bookmarkEnd w:id="13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following is a summary of goodwill activity for the years ended December 31, 2020 and 2019 (in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Balance as of</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Impact of Change</w:t>
            </w:r>
          </w:p>
        </w:tc>
        <w:tc>
          <w:tcPr>
            <w:tcW w:w="120" w:type="dxa"/>
            <w:vAlign w:val="bottom"/>
          </w:tcPr>
          <w:p>
            <w:pPr>
              <w:spacing w:after="0"/>
              <w:rPr>
                <w:sz w:val="11"/>
                <w:szCs w:val="11"/>
                <w:color w:val="auto"/>
              </w:rPr>
            </w:pPr>
          </w:p>
        </w:tc>
        <w:tc>
          <w:tcPr>
            <w:tcW w:w="84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Balance as of</w:t>
            </w:r>
          </w:p>
        </w:tc>
      </w:tr>
      <w:tr>
        <w:trPr>
          <w:trHeight w:val="114"/>
        </w:trPr>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60"/>
              <w:spacing w:after="0" w:line="114"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100" w:type="dxa"/>
            <w:vAlign w:val="bottom"/>
          </w:tcPr>
          <w:p>
            <w:pPr>
              <w:spacing w:after="0"/>
              <w:rPr>
                <w:sz w:val="9"/>
                <w:szCs w:val="9"/>
                <w:color w:val="auto"/>
              </w:rPr>
            </w:pPr>
          </w:p>
        </w:tc>
        <w:tc>
          <w:tcPr>
            <w:tcW w:w="7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b w:val="1"/>
                <w:bCs w:val="1"/>
                <w:color w:val="auto"/>
                <w:w w:val="96"/>
              </w:rPr>
              <w:t>Merger /</w:t>
            </w: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240"/>
              <w:spacing w:after="0" w:line="114" w:lineRule="exact"/>
              <w:rPr>
                <w:sz w:val="20"/>
                <w:szCs w:val="20"/>
                <w:color w:val="auto"/>
              </w:rPr>
            </w:pPr>
            <w:r>
              <w:rPr>
                <w:rFonts w:ascii="Times New Roman" w:cs="Times New Roman" w:eastAsia="Times New Roman" w:hAnsi="Times New Roman"/>
                <w:sz w:val="11"/>
                <w:szCs w:val="11"/>
                <w:b w:val="1"/>
                <w:bCs w:val="1"/>
                <w:color w:val="auto"/>
                <w:w w:val="98"/>
              </w:rPr>
              <w:t>Goodwill</w:t>
            </w:r>
          </w:p>
        </w:tc>
        <w:tc>
          <w:tcPr>
            <w:tcW w:w="140" w:type="dxa"/>
            <w:vAlign w:val="bottom"/>
          </w:tcPr>
          <w:p>
            <w:pPr>
              <w:spacing w:after="0"/>
              <w:rPr>
                <w:sz w:val="9"/>
                <w:szCs w:val="9"/>
                <w:color w:val="auto"/>
              </w:rPr>
            </w:pPr>
          </w:p>
        </w:tc>
        <w:tc>
          <w:tcPr>
            <w:tcW w:w="1220" w:type="dxa"/>
            <w:vAlign w:val="bottom"/>
            <w:gridSpan w:val="2"/>
          </w:tcPr>
          <w:p>
            <w:pPr>
              <w:jc w:val="center"/>
              <w:ind w:right="260"/>
              <w:spacing w:after="0" w:line="114" w:lineRule="exact"/>
              <w:rPr>
                <w:sz w:val="20"/>
                <w:szCs w:val="20"/>
                <w:color w:val="auto"/>
              </w:rPr>
            </w:pPr>
            <w:r>
              <w:rPr>
                <w:rFonts w:ascii="Times New Roman" w:cs="Times New Roman" w:eastAsia="Times New Roman" w:hAnsi="Times New Roman"/>
                <w:sz w:val="11"/>
                <w:szCs w:val="11"/>
                <w:b w:val="1"/>
                <w:bCs w:val="1"/>
                <w:color w:val="auto"/>
                <w:w w:val="98"/>
              </w:rPr>
              <w:t>in Foreign</w:t>
            </w:r>
          </w:p>
        </w:tc>
        <w:tc>
          <w:tcPr>
            <w:tcW w:w="120" w:type="dxa"/>
            <w:vAlign w:val="bottom"/>
          </w:tcPr>
          <w:p>
            <w:pPr>
              <w:spacing w:after="0"/>
              <w:rPr>
                <w:sz w:val="9"/>
                <w:szCs w:val="9"/>
                <w:color w:val="auto"/>
              </w:rPr>
            </w:pPr>
          </w:p>
        </w:tc>
        <w:tc>
          <w:tcPr>
            <w:tcW w:w="840" w:type="dxa"/>
            <w:vAlign w:val="bottom"/>
          </w:tcPr>
          <w:p>
            <w:pPr>
              <w:jc w:val="center"/>
              <w:ind w:right="86"/>
              <w:spacing w:after="0" w:line="114" w:lineRule="exact"/>
              <w:rPr>
                <w:sz w:val="20"/>
                <w:szCs w:val="20"/>
                <w:color w:val="auto"/>
              </w:rPr>
            </w:pPr>
            <w:r>
              <w:rPr>
                <w:rFonts w:ascii="Times New Roman" w:cs="Times New Roman" w:eastAsia="Times New Roman" w:hAnsi="Times New Roman"/>
                <w:sz w:val="11"/>
                <w:szCs w:val="11"/>
                <w:b w:val="1"/>
                <w:bCs w:val="1"/>
                <w:color w:val="auto"/>
                <w:w w:val="96"/>
              </w:rPr>
              <w:t>December 31,</w:t>
            </w:r>
          </w:p>
        </w:tc>
      </w:tr>
      <w:tr>
        <w:trPr>
          <w:trHeight w:val="129"/>
        </w:trPr>
        <w:tc>
          <w:tcPr>
            <w:tcW w:w="23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Merger / Portfolio Acquisition</w:t>
            </w:r>
          </w:p>
        </w:tc>
        <w:tc>
          <w:tcPr>
            <w:tcW w:w="100" w:type="dxa"/>
            <w:vAlign w:val="bottom"/>
          </w:tcPr>
          <w:p>
            <w:pPr>
              <w:spacing w:after="0"/>
              <w:rPr>
                <w:sz w:val="11"/>
                <w:szCs w:val="11"/>
                <w:color w:val="auto"/>
              </w:rPr>
            </w:pPr>
          </w:p>
        </w:tc>
        <w:tc>
          <w:tcPr>
            <w:tcW w:w="8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2019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1"/>
                <w:szCs w:val="11"/>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Deconsolidation</w:t>
            </w:r>
          </w:p>
        </w:tc>
        <w:tc>
          <w:tcPr>
            <w:tcW w:w="10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140" w:type="dxa"/>
            <w:vAlign w:val="bottom"/>
          </w:tcPr>
          <w:p>
            <w:pPr>
              <w:spacing w:after="0"/>
              <w:rPr>
                <w:sz w:val="11"/>
                <w:szCs w:val="11"/>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Exchange Rates</w:t>
            </w:r>
          </w:p>
        </w:tc>
        <w:tc>
          <w:tcPr>
            <w:tcW w:w="120" w:type="dxa"/>
            <w:vAlign w:val="bottom"/>
          </w:tcPr>
          <w:p>
            <w:pPr>
              <w:spacing w:after="0"/>
              <w:rPr>
                <w:sz w:val="11"/>
                <w:szCs w:val="11"/>
                <w:color w:val="auto"/>
              </w:rPr>
            </w:pPr>
          </w:p>
        </w:tc>
        <w:tc>
          <w:tcPr>
            <w:tcW w:w="8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2020</w:t>
            </w:r>
          </w:p>
        </w:tc>
      </w:tr>
      <w:tr>
        <w:trPr>
          <w:trHeight w:val="103"/>
        </w:trPr>
        <w:tc>
          <w:tcPr>
            <w:tcW w:w="21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r>
      <w:tr>
        <w:trPr>
          <w:trHeight w:val="114"/>
        </w:trPr>
        <w:tc>
          <w:tcPr>
            <w:tcW w:w="23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Telx Acquisition</w:t>
            </w:r>
          </w:p>
        </w:tc>
        <w:tc>
          <w:tcPr>
            <w:tcW w:w="1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330,845</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shd w:val="clear" w:color="auto" w:fill="CCEEFF"/>
          </w:tcPr>
          <w:p>
            <w:pPr>
              <w:jc w:val="right"/>
              <w:ind w:right="6"/>
              <w:spacing w:after="0" w:line="114" w:lineRule="exact"/>
              <w:rPr>
                <w:sz w:val="20"/>
                <w:szCs w:val="20"/>
                <w:color w:val="auto"/>
              </w:rPr>
            </w:pPr>
            <w:r>
              <w:rPr>
                <w:rFonts w:ascii="Times New Roman" w:cs="Times New Roman" w:eastAsia="Times New Roman" w:hAnsi="Times New Roman"/>
                <w:sz w:val="11"/>
                <w:szCs w:val="11"/>
                <w:color w:val="auto"/>
              </w:rPr>
              <w:t>— $</w:t>
            </w:r>
          </w:p>
        </w:tc>
        <w:tc>
          <w:tcPr>
            <w:tcW w:w="110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330,845</w:t>
            </w:r>
          </w:p>
        </w:tc>
      </w:tr>
      <w:tr>
        <w:trPr>
          <w:trHeight w:val="114"/>
        </w:trPr>
        <w:tc>
          <w:tcPr>
            <w:tcW w:w="23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European Portfolio Acquisition</w:t>
            </w:r>
          </w:p>
        </w:tc>
        <w:tc>
          <w:tcPr>
            <w:tcW w:w="100" w:type="dxa"/>
            <w:vAlign w:val="bottom"/>
          </w:tcPr>
          <w:p>
            <w:pPr>
              <w:spacing w:after="0"/>
              <w:rPr>
                <w:sz w:val="9"/>
                <w:szCs w:val="9"/>
                <w:color w:val="auto"/>
              </w:rPr>
            </w:pPr>
          </w:p>
        </w:tc>
        <w:tc>
          <w:tcPr>
            <w:tcW w:w="8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440,079</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1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0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23,075</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463,154</w:t>
            </w:r>
          </w:p>
        </w:tc>
      </w:tr>
      <w:tr>
        <w:trPr>
          <w:trHeight w:val="114"/>
        </w:trPr>
        <w:tc>
          <w:tcPr>
            <w:tcW w:w="23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DFT Merger</w:t>
            </w: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2,592,146</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2,592,146</w:t>
            </w:r>
          </w:p>
        </w:tc>
      </w:tr>
      <w:tr>
        <w:trPr>
          <w:trHeight w:val="114"/>
        </w:trPr>
        <w:tc>
          <w:tcPr>
            <w:tcW w:w="23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Interxion Combination</w:t>
            </w:r>
          </w:p>
        </w:tc>
        <w:tc>
          <w:tcPr>
            <w:tcW w:w="100" w:type="dxa"/>
            <w:vAlign w:val="bottom"/>
          </w:tcPr>
          <w:p>
            <w:pPr>
              <w:spacing w:after="0"/>
              <w:rPr>
                <w:sz w:val="9"/>
                <w:szCs w:val="9"/>
                <w:color w:val="auto"/>
              </w:rPr>
            </w:pPr>
          </w:p>
        </w:tc>
        <w:tc>
          <w:tcPr>
            <w:tcW w:w="10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4,338,711</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0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380,156</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4,718,867</w:t>
            </w:r>
          </w:p>
        </w:tc>
      </w:tr>
      <w:tr>
        <w:trPr>
          <w:trHeight w:val="114"/>
        </w:trPr>
        <w:tc>
          <w:tcPr>
            <w:tcW w:w="23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Other combinations</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215,949</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10,035</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225,984</w:t>
            </w:r>
          </w:p>
        </w:tc>
      </w:tr>
      <w:tr>
        <w:trPr>
          <w:trHeight w:val="112"/>
        </w:trPr>
        <w:tc>
          <w:tcPr>
            <w:tcW w:w="2340" w:type="dxa"/>
            <w:vAlign w:val="bottom"/>
            <w:gridSpan w:val="2"/>
          </w:tcPr>
          <w:p>
            <w:pPr>
              <w:ind w:left="80"/>
              <w:spacing w:after="0" w:line="104" w:lineRule="exact"/>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3,363,070</w:t>
            </w:r>
          </w:p>
        </w:tc>
        <w:tc>
          <w:tcPr>
            <w:tcW w:w="16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4,554,660</w:t>
            </w: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2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413,266</w:t>
            </w:r>
          </w:p>
        </w:tc>
        <w:tc>
          <w:tcPr>
            <w:tcW w:w="14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8,330,996</w:t>
            </w:r>
          </w:p>
        </w:tc>
      </w:tr>
      <w:tr>
        <w:trPr>
          <w:trHeight w:val="213"/>
        </w:trPr>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Balance as of</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Impact of Change</w:t>
            </w:r>
          </w:p>
        </w:tc>
        <w:tc>
          <w:tcPr>
            <w:tcW w:w="120" w:type="dxa"/>
            <w:vAlign w:val="bottom"/>
          </w:tcPr>
          <w:p>
            <w:pPr>
              <w:spacing w:after="0"/>
              <w:rPr>
                <w:sz w:val="18"/>
                <w:szCs w:val="18"/>
                <w:color w:val="auto"/>
              </w:rPr>
            </w:pPr>
          </w:p>
        </w:tc>
        <w:tc>
          <w:tcPr>
            <w:tcW w:w="84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Balance as of</w:t>
            </w:r>
          </w:p>
        </w:tc>
      </w:tr>
      <w:tr>
        <w:trPr>
          <w:trHeight w:val="113"/>
        </w:trPr>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60"/>
              <w:spacing w:after="0" w:line="114"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100" w:type="dxa"/>
            <w:vAlign w:val="bottom"/>
          </w:tcPr>
          <w:p>
            <w:pPr>
              <w:spacing w:after="0"/>
              <w:rPr>
                <w:sz w:val="9"/>
                <w:szCs w:val="9"/>
                <w:color w:val="auto"/>
              </w:rPr>
            </w:pPr>
          </w:p>
        </w:tc>
        <w:tc>
          <w:tcPr>
            <w:tcW w:w="7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b w:val="1"/>
                <w:bCs w:val="1"/>
                <w:color w:val="auto"/>
                <w:w w:val="96"/>
              </w:rPr>
              <w:t>Merger /</w:t>
            </w: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240"/>
              <w:spacing w:after="0" w:line="114" w:lineRule="exact"/>
              <w:rPr>
                <w:sz w:val="20"/>
                <w:szCs w:val="20"/>
                <w:color w:val="auto"/>
              </w:rPr>
            </w:pPr>
            <w:r>
              <w:rPr>
                <w:rFonts w:ascii="Times New Roman" w:cs="Times New Roman" w:eastAsia="Times New Roman" w:hAnsi="Times New Roman"/>
                <w:sz w:val="11"/>
                <w:szCs w:val="11"/>
                <w:b w:val="1"/>
                <w:bCs w:val="1"/>
                <w:color w:val="auto"/>
                <w:w w:val="98"/>
              </w:rPr>
              <w:t>Goodwill</w:t>
            </w:r>
          </w:p>
        </w:tc>
        <w:tc>
          <w:tcPr>
            <w:tcW w:w="140" w:type="dxa"/>
            <w:vAlign w:val="bottom"/>
          </w:tcPr>
          <w:p>
            <w:pPr>
              <w:spacing w:after="0"/>
              <w:rPr>
                <w:sz w:val="9"/>
                <w:szCs w:val="9"/>
                <w:color w:val="auto"/>
              </w:rPr>
            </w:pPr>
          </w:p>
        </w:tc>
        <w:tc>
          <w:tcPr>
            <w:tcW w:w="1220" w:type="dxa"/>
            <w:vAlign w:val="bottom"/>
            <w:gridSpan w:val="2"/>
          </w:tcPr>
          <w:p>
            <w:pPr>
              <w:jc w:val="center"/>
              <w:ind w:right="260"/>
              <w:spacing w:after="0" w:line="114" w:lineRule="exact"/>
              <w:rPr>
                <w:sz w:val="20"/>
                <w:szCs w:val="20"/>
                <w:color w:val="auto"/>
              </w:rPr>
            </w:pPr>
            <w:r>
              <w:rPr>
                <w:rFonts w:ascii="Times New Roman" w:cs="Times New Roman" w:eastAsia="Times New Roman" w:hAnsi="Times New Roman"/>
                <w:sz w:val="11"/>
                <w:szCs w:val="11"/>
                <w:b w:val="1"/>
                <w:bCs w:val="1"/>
                <w:color w:val="auto"/>
                <w:w w:val="98"/>
              </w:rPr>
              <w:t>in Foreign</w:t>
            </w:r>
          </w:p>
        </w:tc>
        <w:tc>
          <w:tcPr>
            <w:tcW w:w="120" w:type="dxa"/>
            <w:vAlign w:val="bottom"/>
          </w:tcPr>
          <w:p>
            <w:pPr>
              <w:spacing w:after="0"/>
              <w:rPr>
                <w:sz w:val="9"/>
                <w:szCs w:val="9"/>
                <w:color w:val="auto"/>
              </w:rPr>
            </w:pPr>
          </w:p>
        </w:tc>
        <w:tc>
          <w:tcPr>
            <w:tcW w:w="840" w:type="dxa"/>
            <w:vAlign w:val="bottom"/>
          </w:tcPr>
          <w:p>
            <w:pPr>
              <w:jc w:val="center"/>
              <w:ind w:right="86"/>
              <w:spacing w:after="0" w:line="114" w:lineRule="exact"/>
              <w:rPr>
                <w:sz w:val="20"/>
                <w:szCs w:val="20"/>
                <w:color w:val="auto"/>
              </w:rPr>
            </w:pPr>
            <w:r>
              <w:rPr>
                <w:rFonts w:ascii="Times New Roman" w:cs="Times New Roman" w:eastAsia="Times New Roman" w:hAnsi="Times New Roman"/>
                <w:sz w:val="11"/>
                <w:szCs w:val="11"/>
                <w:b w:val="1"/>
                <w:bCs w:val="1"/>
                <w:color w:val="auto"/>
                <w:w w:val="96"/>
              </w:rPr>
              <w:t>December 31,</w:t>
            </w:r>
          </w:p>
        </w:tc>
      </w:tr>
      <w:tr>
        <w:trPr>
          <w:trHeight w:val="129"/>
        </w:trPr>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2018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1"/>
                <w:szCs w:val="11"/>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Deconsolidation</w:t>
            </w: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0"/>
                <w:szCs w:val="10"/>
                <w:b w:val="1"/>
                <w:bCs w:val="1"/>
                <w:color w:val="auto"/>
              </w:rPr>
              <w:t xml:space="preserve">Adjustments </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spacing w:after="0"/>
              <w:rPr>
                <w:sz w:val="11"/>
                <w:szCs w:val="11"/>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Exchange Rates</w:t>
            </w:r>
          </w:p>
        </w:tc>
        <w:tc>
          <w:tcPr>
            <w:tcW w:w="120" w:type="dxa"/>
            <w:vAlign w:val="bottom"/>
          </w:tcPr>
          <w:p>
            <w:pPr>
              <w:spacing w:after="0"/>
              <w:rPr>
                <w:sz w:val="11"/>
                <w:szCs w:val="11"/>
                <w:color w:val="auto"/>
              </w:rPr>
            </w:pPr>
          </w:p>
        </w:tc>
        <w:tc>
          <w:tcPr>
            <w:tcW w:w="8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2019</w:t>
            </w:r>
          </w:p>
        </w:tc>
      </w:tr>
      <w:tr>
        <w:trPr>
          <w:trHeight w:val="103"/>
        </w:trPr>
        <w:tc>
          <w:tcPr>
            <w:tcW w:w="2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r>
      <w:tr>
        <w:trPr>
          <w:trHeight w:val="114"/>
        </w:trPr>
        <w:tc>
          <w:tcPr>
            <w:tcW w:w="23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Telx Acquisition</w:t>
            </w:r>
          </w:p>
        </w:tc>
        <w:tc>
          <w:tcPr>
            <w:tcW w:w="1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330,845</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shd w:val="clear" w:color="auto" w:fill="CCEEFF"/>
          </w:tcPr>
          <w:p>
            <w:pPr>
              <w:jc w:val="right"/>
              <w:ind w:right="6"/>
              <w:spacing w:after="0" w:line="114" w:lineRule="exact"/>
              <w:rPr>
                <w:sz w:val="20"/>
                <w:szCs w:val="20"/>
                <w:color w:val="auto"/>
              </w:rPr>
            </w:pPr>
            <w:r>
              <w:rPr>
                <w:rFonts w:ascii="Times New Roman" w:cs="Times New Roman" w:eastAsia="Times New Roman" w:hAnsi="Times New Roman"/>
                <w:sz w:val="11"/>
                <w:szCs w:val="11"/>
                <w:color w:val="auto"/>
              </w:rPr>
              <w:t>— $</w:t>
            </w:r>
          </w:p>
        </w:tc>
        <w:tc>
          <w:tcPr>
            <w:tcW w:w="110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330,845</w:t>
            </w:r>
          </w:p>
        </w:tc>
      </w:tr>
      <w:tr>
        <w:trPr>
          <w:trHeight w:val="114"/>
        </w:trPr>
        <w:tc>
          <w:tcPr>
            <w:tcW w:w="23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European Portfolio Acquisition</w:t>
            </w:r>
          </w:p>
        </w:tc>
        <w:tc>
          <w:tcPr>
            <w:tcW w:w="100" w:type="dxa"/>
            <w:vAlign w:val="bottom"/>
          </w:tcPr>
          <w:p>
            <w:pPr>
              <w:spacing w:after="0"/>
              <w:rPr>
                <w:sz w:val="9"/>
                <w:szCs w:val="9"/>
                <w:color w:val="auto"/>
              </w:rPr>
            </w:pPr>
          </w:p>
        </w:tc>
        <w:tc>
          <w:tcPr>
            <w:tcW w:w="8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442,349</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1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1"/>
                <w:szCs w:val="11"/>
                <w:color w:val="auto"/>
              </w:rPr>
              <w:t>(9,436)</w:t>
            </w:r>
          </w:p>
        </w:tc>
        <w:tc>
          <w:tcPr>
            <w:tcW w:w="140" w:type="dxa"/>
            <w:vAlign w:val="bottom"/>
          </w:tcPr>
          <w:p>
            <w:pPr>
              <w:spacing w:after="0"/>
              <w:rPr>
                <w:sz w:val="9"/>
                <w:szCs w:val="9"/>
                <w:color w:val="auto"/>
              </w:rPr>
            </w:pPr>
          </w:p>
        </w:tc>
        <w:tc>
          <w:tcPr>
            <w:tcW w:w="10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7,166</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440,079</w:t>
            </w:r>
          </w:p>
        </w:tc>
      </w:tr>
      <w:tr>
        <w:trPr>
          <w:trHeight w:val="114"/>
        </w:trPr>
        <w:tc>
          <w:tcPr>
            <w:tcW w:w="23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DFT Merger</w:t>
            </w: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2,592,146</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2,592,146</w:t>
            </w:r>
          </w:p>
        </w:tc>
      </w:tr>
      <w:tr>
        <w:trPr>
          <w:trHeight w:val="114"/>
        </w:trPr>
        <w:tc>
          <w:tcPr>
            <w:tcW w:w="23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Ascenty Acquisition</w:t>
            </w:r>
          </w:p>
        </w:tc>
        <w:tc>
          <w:tcPr>
            <w:tcW w:w="100" w:type="dxa"/>
            <w:vAlign w:val="bottom"/>
          </w:tcPr>
          <w:p>
            <w:pPr>
              <w:spacing w:after="0"/>
              <w:rPr>
                <w:sz w:val="9"/>
                <w:szCs w:val="9"/>
                <w:color w:val="auto"/>
              </w:rPr>
            </w:pPr>
          </w:p>
        </w:tc>
        <w:tc>
          <w:tcPr>
            <w:tcW w:w="8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982,667</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1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1"/>
                <w:szCs w:val="11"/>
                <w:color w:val="auto"/>
              </w:rPr>
              <w:t>(967,189)</w:t>
            </w:r>
          </w:p>
        </w:tc>
        <w:tc>
          <w:tcPr>
            <w:tcW w:w="100" w:type="dxa"/>
            <w:vAlign w:val="bottom"/>
          </w:tcPr>
          <w:p>
            <w:pPr>
              <w:spacing w:after="0"/>
              <w:rPr>
                <w:sz w:val="9"/>
                <w:szCs w:val="9"/>
                <w:color w:val="auto"/>
              </w:rPr>
            </w:pPr>
          </w:p>
        </w:tc>
        <w:tc>
          <w:tcPr>
            <w:tcW w:w="106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2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1"/>
                <w:szCs w:val="11"/>
                <w:color w:val="auto"/>
              </w:rPr>
              <w:t>(15,478)</w:t>
            </w:r>
          </w:p>
        </w:tc>
        <w:tc>
          <w:tcPr>
            <w:tcW w:w="120" w:type="dxa"/>
            <w:vAlign w:val="bottom"/>
          </w:tcPr>
          <w:p>
            <w:pPr>
              <w:spacing w:after="0"/>
              <w:rPr>
                <w:sz w:val="9"/>
                <w:szCs w:val="9"/>
                <w:color w:val="auto"/>
              </w:rPr>
            </w:pPr>
          </w:p>
        </w:tc>
        <w:tc>
          <w:tcPr>
            <w:tcW w:w="8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r>
      <w:tr>
        <w:trPr>
          <w:trHeight w:val="112"/>
        </w:trPr>
        <w:tc>
          <w:tcPr>
            <w:tcW w:w="2340" w:type="dxa"/>
            <w:vAlign w:val="bottom"/>
            <w:tcBorders>
              <w:top w:val="single" w:sz="8" w:color="CCEEFF"/>
              <w:bottom w:val="single" w:sz="8" w:color="CCEEFF"/>
            </w:tcBorders>
            <w:gridSpan w:val="2"/>
            <w:shd w:val="clear" w:color="auto" w:fill="CCEEFF"/>
          </w:tcPr>
          <w:p>
            <w:pPr>
              <w:ind w:left="80"/>
              <w:spacing w:after="0" w:line="104" w:lineRule="exact"/>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4,348,007</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(967,189)</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(9,436)</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jc w:val="right"/>
              <w:ind w:right="2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(8,312)</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3,363,070</w:t>
            </w:r>
          </w:p>
        </w:tc>
      </w:tr>
    </w:tbl>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  As a result of a subsequent reduction to an acquired deferred tax liability that would not have impacted consideration paid, goodwill was adjusted.</w:t>
      </w:r>
    </w:p>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(h) Capitalization of Costs</w:t>
      </w:r>
    </w:p>
    <w:p>
      <w:pPr>
        <w:spacing w:after="0" w:line="156" w:lineRule="exact"/>
        <w:rPr>
          <w:sz w:val="20"/>
          <w:szCs w:val="20"/>
          <w:color w:val="auto"/>
        </w:rPr>
      </w:pPr>
    </w:p>
    <w:p>
      <w:pPr>
        <w:jc w:val="both"/>
        <w:ind w:left="20" w:right="119" w:firstLine="228"/>
        <w:spacing w:after="0" w:line="256" w:lineRule="auto"/>
        <w:rPr>
          <w:sz w:val="20"/>
          <w:szCs w:val="20"/>
          <w:color w:val="auto"/>
        </w:rPr>
      </w:pPr>
      <w:r>
        <w:rPr>
          <w:rFonts w:ascii="Times New Roman" w:cs="Times New Roman" w:eastAsia="Times New Roman" w:hAnsi="Times New Roman"/>
          <w:sz w:val="13"/>
          <w:szCs w:val="13"/>
          <w:color w:val="auto"/>
        </w:rPr>
        <w:t>Direct and indirect project costs that are clearly associated with the development of properties are capitalized as incurred. Project costs include all costs directly associated with the development of a property, including construction costs, interest, property taxes, insurance, legal fees and costs of personnel working on the project. Indirect costs that do not clearly relate to the projects under development are not capitalized and are charged to expense as incurred.</w:t>
      </w:r>
    </w:p>
    <w:p>
      <w:pPr>
        <w:spacing w:after="0" w:line="129" w:lineRule="exact"/>
        <w:rPr>
          <w:sz w:val="20"/>
          <w:szCs w:val="20"/>
          <w:color w:val="auto"/>
        </w:rPr>
      </w:pPr>
    </w:p>
    <w:p>
      <w:pPr>
        <w:ind w:left="20" w:right="79" w:firstLine="228"/>
        <w:spacing w:after="0" w:line="246" w:lineRule="auto"/>
        <w:rPr>
          <w:sz w:val="20"/>
          <w:szCs w:val="20"/>
          <w:color w:val="auto"/>
        </w:rPr>
      </w:pPr>
      <w:r>
        <w:rPr>
          <w:rFonts w:ascii="Times New Roman" w:cs="Times New Roman" w:eastAsia="Times New Roman" w:hAnsi="Times New Roman"/>
          <w:sz w:val="13"/>
          <w:szCs w:val="13"/>
          <w:color w:val="auto"/>
        </w:rPr>
        <w:t>Capitalization of costs begins when the activities necessary to get the development project ready for its intended use begins, which include costs incurred before the beginning of construction. Capitalization of costs ceases when the development project is substantially complete and ready for its intended use. Determining when a development project commences and when it is substantially complete and ready for its intended use involves a degree of judgment. We generally consider a development project to be substantially complete and ready for its intended use upon receipt of a certificate of occupancy. If and when development of a property is suspended pursuant to a formal change in the planned use of the property, we will evaluate whether the accumulated costs exceed the estimated value of the project and write off the amount of any such excess accumulated costs. For a development project that is suspended for reasons other than a formal change in the planned use of such property, the accumulated project costs are evaluated for impairment consistent with our impairment policies for long-lived assets. During the development period, all costs including the associated land are classified to construction in progress and space held for development. Upon completion of the development period for a project, accumulated construction in progress costs including the land related to a project are allocated to the specific components of a project that are benefited.</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34" w:name="page135"/>
    <w:bookmarkEnd w:id="13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159" w:firstLine="228"/>
        <w:spacing w:after="0" w:line="252" w:lineRule="auto"/>
        <w:rPr>
          <w:sz w:val="20"/>
          <w:szCs w:val="20"/>
          <w:color w:val="auto"/>
        </w:rPr>
      </w:pPr>
      <w:r>
        <w:rPr>
          <w:rFonts w:ascii="Times New Roman" w:cs="Times New Roman" w:eastAsia="Times New Roman" w:hAnsi="Times New Roman"/>
          <w:sz w:val="13"/>
          <w:szCs w:val="13"/>
          <w:color w:val="auto"/>
        </w:rPr>
        <w:t>Construction in progress and space held for development includes the cost of land, the cost of construction of buildings, improvements and fixed equipment, and costs for design and engineering. Other costs, such as interest, legal, property taxes and corporate project supervision, which can be directly associated with the project during construction, are also included in construction in progress and space held for development. Land held for development includes parcels of land owned by the Company, upon which the Company intends to develop and own data centers, but has yet to commence development.</w:t>
      </w:r>
    </w:p>
    <w:p>
      <w:pPr>
        <w:spacing w:after="0" w:line="132" w:lineRule="exact"/>
        <w:rPr>
          <w:sz w:val="20"/>
          <w:szCs w:val="20"/>
          <w:color w:val="auto"/>
        </w:rPr>
      </w:pPr>
    </w:p>
    <w:p>
      <w:pPr>
        <w:ind w:left="20" w:right="179" w:firstLine="228"/>
        <w:spacing w:after="0" w:line="256" w:lineRule="auto"/>
        <w:rPr>
          <w:sz w:val="20"/>
          <w:szCs w:val="20"/>
          <w:color w:val="auto"/>
        </w:rPr>
      </w:pPr>
      <w:r>
        <w:rPr>
          <w:rFonts w:ascii="Times New Roman" w:cs="Times New Roman" w:eastAsia="Times New Roman" w:hAnsi="Times New Roman"/>
          <w:sz w:val="13"/>
          <w:szCs w:val="13"/>
          <w:color w:val="auto"/>
        </w:rPr>
        <w:t>During the years ended December 31, 2020, 2019 and 2018, we capitalized interest of approximately $47.3 million, $40.2 million and $34.7 million, respectively. During the years ended December 31, 2020, 2019 and 2018, we capitalized amounts relating to compensation and other overhead expense of employees direct and incremental to construction activities of approximately $53.7 million, $46.5 million and $39.2 million, respectively.</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(i) Deferred Leasing Costs</w:t>
      </w:r>
    </w:p>
    <w:p>
      <w:pPr>
        <w:spacing w:after="0" w:line="156" w:lineRule="exact"/>
        <w:rPr>
          <w:sz w:val="20"/>
          <w:szCs w:val="20"/>
          <w:color w:val="auto"/>
        </w:rPr>
      </w:pPr>
    </w:p>
    <w:p>
      <w:pPr>
        <w:ind w:left="20" w:right="59" w:firstLine="228"/>
        <w:spacing w:after="0" w:line="248" w:lineRule="auto"/>
        <w:rPr>
          <w:sz w:val="20"/>
          <w:szCs w:val="20"/>
          <w:color w:val="auto"/>
        </w:rPr>
      </w:pPr>
      <w:r>
        <w:rPr>
          <w:rFonts w:ascii="Times New Roman" w:cs="Times New Roman" w:eastAsia="Times New Roman" w:hAnsi="Times New Roman"/>
          <w:sz w:val="13"/>
          <w:szCs w:val="13"/>
          <w:color w:val="auto"/>
        </w:rPr>
        <w:t>Leasing commissions and other direct and indirect costs associated with the acquisition of tenants are capitalized and amortized on a straight-line basis over the terms of the related leases. During the years ended December 31, 2020, 2019 and 2018, we capitalized amounts relating to variable compensation of employees direct and incremental to successful leasing activities of approximately $40.8 million, $30.8 million and $27.2 million, respectively. Deferred leasing costs is included in customer relationship value, deferred leasing costs and intangibles on the consolidated balance sheet and amounted to approximately $272.3 million and $291.8 million, net of accumulated amortization of $401.4 million and $329.5 million, as of December 31, 2020 and 2019, respectively. Amortization expense on leasing costs was approximately $76.0 million, $75.3 million, and $72.9 million for the years ended December 31, 2020, 2019 and 2018, respectively.</w:t>
      </w:r>
    </w:p>
    <w:p>
      <w:pPr>
        <w:spacing w:after="0" w:line="1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i w:val="1"/>
          <w:iCs w:val="1"/>
          <w:color w:val="auto"/>
        </w:rPr>
        <w:t>(j) Marketable Equity Securities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Company reports its marketable equity securities at fair value, based on quoted market prices (Level 1, as defined by the FASB standard for fair value measurements).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Unrealized gains and losses in marketable equity securities are included in interest and other income (expense), net on the consolidated income statements.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As of December 31, 2020 and 2019, marketable equity securities consisted of common stock traded on a public stock exchange.</w:t>
      </w:r>
    </w:p>
    <w:p>
      <w:pPr>
        <w:spacing w:after="0" w:line="154" w:lineRule="exact"/>
        <w:rPr>
          <w:sz w:val="20"/>
          <w:szCs w:val="20"/>
          <w:color w:val="auto"/>
        </w:rPr>
      </w:pPr>
    </w:p>
    <w:p>
      <w:pPr>
        <w:ind w:left="20" w:right="219" w:firstLine="228"/>
        <w:spacing w:after="0" w:line="252" w:lineRule="auto"/>
        <w:rPr>
          <w:sz w:val="20"/>
          <w:szCs w:val="20"/>
          <w:color w:val="auto"/>
        </w:rPr>
      </w:pPr>
      <w:r>
        <w:rPr>
          <w:rFonts w:ascii="Times New Roman" w:cs="Times New Roman" w:eastAsia="Times New Roman" w:hAnsi="Times New Roman"/>
          <w:sz w:val="13"/>
          <w:szCs w:val="13"/>
          <w:color w:val="auto"/>
        </w:rPr>
        <w:t>In June 2020, net proceeds from the sale of marketable equity securities totaled approximately $70.0 million, which resulted in a $17.9 million gain from the mark to market valuation as of March 31, 2020. There were no sales for the years ended December 31, 2019 and 2018. For the years ended December 31, 2020, 2019 and 2018, the portion of marketable equity security unrealized gains that were recognized in income totaled $0.6 million, $46.5 million and $1.6 million, respectively, and were included in interest and other income, net on the Company's consolidated income statements.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(k) Foreign Currency Translation</w:t>
      </w:r>
    </w:p>
    <w:p>
      <w:pPr>
        <w:spacing w:after="0" w:line="156" w:lineRule="exact"/>
        <w:rPr>
          <w:sz w:val="20"/>
          <w:szCs w:val="20"/>
          <w:color w:val="auto"/>
        </w:rPr>
      </w:pPr>
    </w:p>
    <w:p>
      <w:pPr>
        <w:jc w:val="both"/>
        <w:ind w:left="20" w:right="179" w:firstLine="228"/>
        <w:spacing w:after="0" w:line="256" w:lineRule="auto"/>
        <w:rPr>
          <w:sz w:val="20"/>
          <w:szCs w:val="20"/>
          <w:color w:val="auto"/>
        </w:rPr>
      </w:pPr>
      <w:r>
        <w:rPr>
          <w:rFonts w:ascii="Times New Roman" w:cs="Times New Roman" w:eastAsia="Times New Roman" w:hAnsi="Times New Roman"/>
          <w:sz w:val="13"/>
          <w:szCs w:val="13"/>
          <w:color w:val="auto"/>
        </w:rPr>
        <w:t>Assets and liabilities of our subsidiaries outside the United States with non-U.S. dollar functional currencies are translated into U.S. dollars using exchange rates as of the balance sheet dates. Income and expenses are translated using the average exchange rates for the reporting period. Foreign currency translation adjustments are recorded as a component of other comprehensive income. In the statement of cash flows, cash flows denominated in foreign currencies</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35" w:name="page136"/>
    <w:bookmarkEnd w:id="13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are translated using the exchange rates in effect at the time of the cash flows or an average exchange rate for the period, depending on the nature of the cash flow item.</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(l) Deferred Financing Costs</w:t>
      </w:r>
    </w:p>
    <w:p>
      <w:pPr>
        <w:spacing w:after="0" w:line="156" w:lineRule="exact"/>
        <w:rPr>
          <w:sz w:val="20"/>
          <w:szCs w:val="20"/>
          <w:color w:val="auto"/>
        </w:rPr>
      </w:pPr>
    </w:p>
    <w:p>
      <w:pPr>
        <w:ind w:left="20" w:right="179" w:firstLine="228"/>
        <w:spacing w:after="0" w:line="268" w:lineRule="auto"/>
        <w:rPr>
          <w:sz w:val="20"/>
          <w:szCs w:val="20"/>
          <w:color w:val="auto"/>
        </w:rPr>
      </w:pPr>
      <w:r>
        <w:rPr>
          <w:rFonts w:ascii="Times New Roman" w:cs="Times New Roman" w:eastAsia="Times New Roman" w:hAnsi="Times New Roman"/>
          <w:sz w:val="13"/>
          <w:szCs w:val="13"/>
          <w:color w:val="auto"/>
        </w:rPr>
        <w:t>Loan fees and costs are recorded as an adjustment to the carrying amount of the related debt and amortized over the life of the related loans on a straight-line basis, which approximates the effective interest method. Such amortization is included as a component of interest expense.</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(m) Offering Costs</w:t>
      </w:r>
    </w:p>
    <w:p>
      <w:pPr>
        <w:spacing w:after="0" w:line="156" w:lineRule="exact"/>
        <w:rPr>
          <w:sz w:val="20"/>
          <w:szCs w:val="20"/>
          <w:color w:val="auto"/>
        </w:rPr>
      </w:pPr>
    </w:p>
    <w:p>
      <w:pPr>
        <w:ind w:left="20" w:right="139" w:firstLine="228"/>
        <w:spacing w:after="0" w:line="268" w:lineRule="auto"/>
        <w:rPr>
          <w:sz w:val="20"/>
          <w:szCs w:val="20"/>
          <w:color w:val="auto"/>
        </w:rPr>
      </w:pPr>
      <w:r>
        <w:rPr>
          <w:rFonts w:ascii="Times New Roman" w:cs="Times New Roman" w:eastAsia="Times New Roman" w:hAnsi="Times New Roman"/>
          <w:sz w:val="13"/>
          <w:szCs w:val="13"/>
          <w:color w:val="auto"/>
        </w:rPr>
        <w:t>Underwriting commissions and other offering costs are reflected as a reduction in additional paid-in capital, or in the case of preferred stock, as a reduction of the carrying value of preferred stock.</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(n) Share-Based Compensation</w:t>
      </w:r>
    </w:p>
    <w:p>
      <w:pPr>
        <w:spacing w:after="0" w:line="156" w:lineRule="exact"/>
        <w:rPr>
          <w:sz w:val="20"/>
          <w:szCs w:val="20"/>
          <w:color w:val="auto"/>
        </w:rPr>
      </w:pPr>
    </w:p>
    <w:p>
      <w:pPr>
        <w:ind w:left="20" w:right="39" w:firstLine="228"/>
        <w:spacing w:after="0" w:line="256" w:lineRule="auto"/>
        <w:rPr>
          <w:sz w:val="20"/>
          <w:szCs w:val="20"/>
          <w:color w:val="auto"/>
        </w:rPr>
      </w:pPr>
      <w:r>
        <w:rPr>
          <w:rFonts w:ascii="Times New Roman" w:cs="Times New Roman" w:eastAsia="Times New Roman" w:hAnsi="Times New Roman"/>
          <w:sz w:val="13"/>
          <w:szCs w:val="13"/>
          <w:color w:val="auto"/>
        </w:rPr>
        <w:t>The Company measures all share-based compensation awards at fair value on the date they are granted to employees and directors, and recognizes compensation cost, net of forfeitures, over the requisite service period for awards with only a service condition. The estimated fair value of the long-term incentive units and Class D units (discussed in Note 15) granted by us is being amortized on a straight-line basis over the expected service period.</w:t>
      </w:r>
    </w:p>
    <w:p>
      <w:pPr>
        <w:spacing w:after="0" w:line="129" w:lineRule="exact"/>
        <w:rPr>
          <w:sz w:val="20"/>
          <w:szCs w:val="20"/>
          <w:color w:val="auto"/>
        </w:rPr>
      </w:pPr>
    </w:p>
    <w:p>
      <w:pPr>
        <w:ind w:left="20" w:right="99" w:firstLine="228"/>
        <w:spacing w:after="0" w:line="268" w:lineRule="auto"/>
        <w:rPr>
          <w:sz w:val="20"/>
          <w:szCs w:val="20"/>
          <w:color w:val="auto"/>
        </w:rPr>
      </w:pPr>
      <w:r>
        <w:rPr>
          <w:rFonts w:ascii="Times New Roman" w:cs="Times New Roman" w:eastAsia="Times New Roman" w:hAnsi="Times New Roman"/>
          <w:sz w:val="13"/>
          <w:szCs w:val="13"/>
          <w:color w:val="auto"/>
        </w:rPr>
        <w:t>The fair value of share-based compensation awards that contain a market condition is measured using a Monte Carlo simulation method and is not adjusted based on actual achievement of the market condition.</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(o) Derivative Instruments</w:t>
      </w:r>
    </w:p>
    <w:p>
      <w:pPr>
        <w:spacing w:after="0" w:line="156" w:lineRule="exact"/>
        <w:rPr>
          <w:sz w:val="20"/>
          <w:szCs w:val="20"/>
          <w:color w:val="auto"/>
        </w:rPr>
      </w:pPr>
    </w:p>
    <w:p>
      <w:pPr>
        <w:ind w:left="20" w:right="119" w:firstLine="228"/>
        <w:spacing w:after="0" w:line="256" w:lineRule="auto"/>
        <w:rPr>
          <w:sz w:val="20"/>
          <w:szCs w:val="20"/>
          <w:color w:val="auto"/>
        </w:rPr>
      </w:pPr>
      <w:r>
        <w:rPr>
          <w:rFonts w:ascii="Times New Roman" w:cs="Times New Roman" w:eastAsia="Times New Roman" w:hAnsi="Times New Roman"/>
          <w:sz w:val="13"/>
          <w:szCs w:val="13"/>
          <w:color w:val="auto"/>
        </w:rPr>
        <w:t>Derivative financial instruments are employed to manage risks, including foreign currency and interest rate exposures and are not used for trading or speculative purposes. As part of the Company’s risk management program, a variety of financial instruments, such as interest rate swaps and foreign exchange contracts, may be used to mitigate interest rate exposure and foreign currency exposure. The Company recognizes all derivative instruments in the balance sheet at fair value.</w:t>
      </w:r>
    </w:p>
    <w:p>
      <w:pPr>
        <w:spacing w:after="0" w:line="129" w:lineRule="exact"/>
        <w:rPr>
          <w:sz w:val="20"/>
          <w:szCs w:val="20"/>
          <w:color w:val="auto"/>
        </w:rPr>
      </w:pPr>
    </w:p>
    <w:p>
      <w:pPr>
        <w:ind w:left="20" w:right="99" w:firstLine="228"/>
        <w:spacing w:after="0" w:line="246" w:lineRule="auto"/>
        <w:rPr>
          <w:sz w:val="20"/>
          <w:szCs w:val="20"/>
          <w:color w:val="auto"/>
        </w:rPr>
      </w:pPr>
      <w:r>
        <w:rPr>
          <w:rFonts w:ascii="Times New Roman" w:cs="Times New Roman" w:eastAsia="Times New Roman" w:hAnsi="Times New Roman"/>
          <w:sz w:val="13"/>
          <w:szCs w:val="13"/>
          <w:color w:val="auto"/>
        </w:rPr>
        <w:t>Changes in the fair value of derivatives are recognized periodically either in earnings or in other comprehensive income (loss), depending on whether the derivative financial instrument is undesignated or qualifies for hedge accounting, and if so, whether it represents a fair value, cash flow, or net investment hedge. Gains and losses on derivatives designated as cash flow hedges, to the extent they are included in the assessment of effectiveness, are recorded in other comprehensive income (loss) and subsequently reclassified to earnings to offset the impact of the hedged items when they occur. In the event it becomes probable the forecasted transaction to which a cash flow hedge relates will not occur, the derivative would be terminated and the amount in other comprehensive income (loss) would be recognized in earnings. Changes in the fair value of derivatives that are designated and qualify as a hedge of the net investment in foreign operations, to the extent they are included in the assessment of effectiveness, are reported in other comprehensive income (loss) and are deferred until disposal of the underlying assets. Gains and losses representing components excluded from the assessment of effectiveness for cash flow and fair value hedges are recognized in earnings on a straight-line basis in the same caption as the hedged item over the term of the hedge. Gains and losses representing components excluded from the assessment of effectiveness for net investment hedges are recognized in earnings on a straight-line basis over the term of the hedge.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36" w:name="page137"/>
    <w:bookmarkEnd w:id="13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519" w:firstLine="228"/>
        <w:spacing w:after="0" w:line="268" w:lineRule="auto"/>
        <w:rPr>
          <w:sz w:val="20"/>
          <w:szCs w:val="20"/>
          <w:color w:val="auto"/>
        </w:rPr>
      </w:pPr>
      <w:r>
        <w:rPr>
          <w:rFonts w:ascii="Times New Roman" w:cs="Times New Roman" w:eastAsia="Times New Roman" w:hAnsi="Times New Roman"/>
          <w:sz w:val="13"/>
          <w:szCs w:val="13"/>
          <w:color w:val="auto"/>
        </w:rPr>
        <w:t>The net interest paid or received on interest rate swaps is recognized as interest expense. Gains and losses resulting from the early termination of interest rate swap agreements are deferred and amortized as adjustments to interest expense over the remaining period of the debt originally covered by the terminated swap.</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See Note 16 for further discussion on derivative instruments.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(p) Income Taxes</w:t>
      </w:r>
    </w:p>
    <w:p>
      <w:pPr>
        <w:spacing w:after="0" w:line="156" w:lineRule="exact"/>
        <w:rPr>
          <w:sz w:val="20"/>
          <w:szCs w:val="20"/>
          <w:color w:val="auto"/>
        </w:rPr>
      </w:pPr>
    </w:p>
    <w:p>
      <w:pPr>
        <w:ind w:left="20" w:right="259" w:firstLine="228"/>
        <w:spacing w:after="0" w:line="252" w:lineRule="auto"/>
        <w:rPr>
          <w:sz w:val="20"/>
          <w:szCs w:val="20"/>
          <w:color w:val="auto"/>
        </w:rPr>
      </w:pPr>
      <w:r>
        <w:rPr>
          <w:rFonts w:ascii="Times New Roman" w:cs="Times New Roman" w:eastAsia="Times New Roman" w:hAnsi="Times New Roman"/>
          <w:sz w:val="13"/>
          <w:szCs w:val="13"/>
          <w:color w:val="auto"/>
        </w:rPr>
        <w:t>Digital Realty Trust, Inc. has elected to be treated as a real estate investment trust (a “REIT”) for federal income tax purposes. As a REIT, Digital Realty Trust, Inc. generally is not required to pay U.S. federal corporate income tax to the extent taxable income is currently distributed to its stockholders. If Digital Realty Trust, Inc. fails to qualify as a REIT in any taxable year, it will be subject to U.S. federal income tax (including any applicable alternative minimum tax for taxable years prior to 2018) on its taxable income.</w:t>
      </w:r>
    </w:p>
    <w:p>
      <w:pPr>
        <w:spacing w:after="0" w:line="132" w:lineRule="exact"/>
        <w:rPr>
          <w:sz w:val="20"/>
          <w:szCs w:val="20"/>
          <w:color w:val="auto"/>
        </w:rPr>
      </w:pPr>
    </w:p>
    <w:p>
      <w:pPr>
        <w:ind w:left="20" w:right="139" w:firstLine="228"/>
        <w:spacing w:after="0" w:line="256" w:lineRule="auto"/>
        <w:rPr>
          <w:sz w:val="20"/>
          <w:szCs w:val="20"/>
          <w:color w:val="auto"/>
        </w:rPr>
      </w:pPr>
      <w:r>
        <w:rPr>
          <w:rFonts w:ascii="Times New Roman" w:cs="Times New Roman" w:eastAsia="Times New Roman" w:hAnsi="Times New Roman"/>
          <w:sz w:val="13"/>
          <w:szCs w:val="13"/>
          <w:color w:val="auto"/>
        </w:rPr>
        <w:t>The Company is subject to foreign, state and local income taxes in the jurisdictions in which it conducts business. The Company’s taxable REIT subsidiaries are subject to federal, state, local and foreign income taxes to the extent there is taxable income. Accordingly, the Company recognizes current and deferred income taxes for the Company and its taxable REIT subsidiaries, including for U.S. federal, state, local and foreign jurisdictions, as applicable.</w:t>
      </w:r>
    </w:p>
    <w:p>
      <w:pPr>
        <w:spacing w:after="0" w:line="129" w:lineRule="exact"/>
        <w:rPr>
          <w:sz w:val="20"/>
          <w:szCs w:val="20"/>
          <w:color w:val="auto"/>
        </w:rPr>
      </w:pPr>
    </w:p>
    <w:p>
      <w:pPr>
        <w:ind w:left="20" w:right="79" w:firstLine="228"/>
        <w:spacing w:after="0" w:line="248" w:lineRule="auto"/>
        <w:rPr>
          <w:sz w:val="20"/>
          <w:szCs w:val="20"/>
          <w:color w:val="auto"/>
        </w:rPr>
      </w:pPr>
      <w:r>
        <w:rPr>
          <w:rFonts w:ascii="Times New Roman" w:cs="Times New Roman" w:eastAsia="Times New Roman" w:hAnsi="Times New Roman"/>
          <w:sz w:val="13"/>
          <w:szCs w:val="13"/>
          <w:color w:val="auto"/>
        </w:rPr>
        <w:t>We assess our significant tax positions in accordance with U.S. GAAP for all open tax years and determine whether we have any material unrecognized liabilities from uncertain tax benefits. If a tax position is not considered “more-likely-than-not” to be sustained solely on its technical merits, no benefits of the tax position are to be recognized (for financial statement purposes). As of December 31, 2020 and 2019, we have no assets or liabilities for uncertain tax positions. We classify interest and penalties from significant uncertain tax positions as interest expense and operating expense, respectively, in our consolidated income statements. For the years ended December 31, 2020, 2019 and 2018, we had no such interest or penalties. The tax year 2017 and thereafter remain open to examination by the major taxing jurisdictions with which the Company files tax returns.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See Note 12 for further discussion on income taxes.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(q) Presentation of Transactional-based Taxes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We account for transactional-based taxes, such as value added tax, or VAT, for our international properties on a net basis.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(r) Redeemable Noncontrolling Interests</w:t>
      </w:r>
    </w:p>
    <w:p>
      <w:pPr>
        <w:spacing w:after="0" w:line="156" w:lineRule="exact"/>
        <w:rPr>
          <w:sz w:val="20"/>
          <w:szCs w:val="20"/>
          <w:color w:val="auto"/>
        </w:rPr>
      </w:pPr>
    </w:p>
    <w:p>
      <w:pPr>
        <w:ind w:left="20" w:right="79" w:firstLine="228"/>
        <w:spacing w:after="0" w:line="249" w:lineRule="auto"/>
        <w:rPr>
          <w:sz w:val="20"/>
          <w:szCs w:val="20"/>
          <w:color w:val="auto"/>
        </w:rPr>
      </w:pPr>
      <w:r>
        <w:rPr>
          <w:rFonts w:ascii="Times New Roman" w:cs="Times New Roman" w:eastAsia="Times New Roman" w:hAnsi="Times New Roman"/>
          <w:sz w:val="13"/>
          <w:szCs w:val="13"/>
          <w:color w:val="auto"/>
        </w:rPr>
        <w:t>Redeemable noncontrolling interests include amounts related to partnership units issued by consolidated subsidiaries of the Company in which redemption for equity is outside the control of the Company. Partnership units which are determined to be contingently redeemable for cash under the Financial Accounting Standards Board’s "Distinguishing Liabilities from Equity" guidance are classified as redeemable noncontrolling interests and presented in the mezzanine section between total liabilities and stockholder’s equity on the Company’s consolidated balance sheets. The amounts of consolidated net income attributable to the Company and to the noncontrolling interests are presented on the Company’s consolidated income statements.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37" w:name="page138"/>
    <w:bookmarkEnd w:id="13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(s) Lease Accounting</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Transition</w:t>
      </w:r>
    </w:p>
    <w:p>
      <w:pPr>
        <w:spacing w:after="0" w:line="156" w:lineRule="exact"/>
        <w:rPr>
          <w:sz w:val="20"/>
          <w:szCs w:val="20"/>
          <w:color w:val="auto"/>
        </w:rPr>
      </w:pPr>
    </w:p>
    <w:p>
      <w:pPr>
        <w:ind w:left="20" w:right="119" w:firstLine="228"/>
        <w:spacing w:after="0" w:line="252" w:lineRule="auto"/>
        <w:rPr>
          <w:sz w:val="20"/>
          <w:szCs w:val="20"/>
          <w:color w:val="auto"/>
        </w:rPr>
      </w:pPr>
      <w:r>
        <w:rPr>
          <w:rFonts w:ascii="Times New Roman" w:cs="Times New Roman" w:eastAsia="Times New Roman" w:hAnsi="Times New Roman"/>
          <w:sz w:val="13"/>
          <w:szCs w:val="13"/>
          <w:color w:val="auto"/>
        </w:rPr>
        <w:t>On January 1, 2019, we adopted ASU No. 2016-02 “Leases” and the several additional ASU’s intended to clarify certain aspects of ASU 2016-02 and to provide certain practical expedients entities can elect upon adoption (collectively “Topic 842”). Topic 842 sets out the principles for the recognition, measurement, presentation, and disclosure of leases for both parties to a lease agreement (i.e. lessees and lessors). Upon adoption of the new lease accounting standard, we elected the following practical expedients and accounting policies provided by this lease standard:</w:t>
      </w:r>
    </w:p>
    <w:p>
      <w:pPr>
        <w:spacing w:after="0" w:line="132" w:lineRule="exact"/>
        <w:rPr>
          <w:sz w:val="20"/>
          <w:szCs w:val="20"/>
          <w:color w:val="auto"/>
        </w:rPr>
      </w:pPr>
    </w:p>
    <w:p>
      <w:pPr>
        <w:ind w:left="720" w:hanging="220"/>
        <w:spacing w:after="0"/>
        <w:tabs>
          <w:tab w:leader="none" w:pos="7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Package (“all or nothing” expedients) - requires us not to reevaluate our existing or expired leases as of January 1, 2019, under Topic 842;</w:t>
      </w:r>
    </w:p>
    <w:p>
      <w:pPr>
        <w:spacing w:after="0" w:line="40"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Optional transition method - requires us to apply Topic 842 prospectively from the effective date of adoption (i.e., January 1, 2019);</w:t>
      </w:r>
    </w:p>
    <w:p>
      <w:pPr>
        <w:spacing w:after="0" w:line="40" w:lineRule="exact"/>
        <w:rPr>
          <w:rFonts w:ascii="Times New Roman" w:cs="Times New Roman" w:eastAsia="Times New Roman" w:hAnsi="Times New Roman"/>
          <w:sz w:val="13"/>
          <w:szCs w:val="13"/>
          <w:color w:val="auto"/>
        </w:rPr>
      </w:pPr>
    </w:p>
    <w:p>
      <w:pPr>
        <w:ind w:left="720" w:right="879" w:hanging="220"/>
        <w:spacing w:after="0" w:line="268" w:lineRule="auto"/>
        <w:tabs>
          <w:tab w:leader="none" w:pos="7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Land easements - requires us to account for land easements existing as of January 1, 2019, under the accounting standards applied to them prior to January 1, 2019;</w:t>
      </w:r>
    </w:p>
    <w:p>
      <w:pPr>
        <w:spacing w:after="0" w:line="7" w:lineRule="exact"/>
        <w:rPr>
          <w:rFonts w:ascii="Times New Roman" w:cs="Times New Roman" w:eastAsia="Times New Roman" w:hAnsi="Times New Roman"/>
          <w:sz w:val="13"/>
          <w:szCs w:val="13"/>
          <w:color w:val="auto"/>
        </w:rPr>
      </w:pPr>
    </w:p>
    <w:p>
      <w:pPr>
        <w:ind w:left="720" w:right="139" w:hanging="220"/>
        <w:spacing w:after="0" w:line="268" w:lineRule="auto"/>
        <w:tabs>
          <w:tab w:leader="none" w:pos="7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Lease and non-lease components (lessee) - requires us to account for lease and non-lease components associated with that lease under Topic 842 as a single lease component, for all classes of underlying assets;</w:t>
      </w:r>
    </w:p>
    <w:p>
      <w:pPr>
        <w:spacing w:after="0" w:line="7" w:lineRule="exact"/>
        <w:rPr>
          <w:rFonts w:ascii="Times New Roman" w:cs="Times New Roman" w:eastAsia="Times New Roman" w:hAnsi="Times New Roman"/>
          <w:sz w:val="13"/>
          <w:szCs w:val="13"/>
          <w:color w:val="auto"/>
        </w:rPr>
      </w:pPr>
    </w:p>
    <w:p>
      <w:pPr>
        <w:ind w:left="720" w:right="139" w:hanging="220"/>
        <w:spacing w:after="0" w:line="268" w:lineRule="auto"/>
        <w:tabs>
          <w:tab w:leader="none" w:pos="7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Lease and non-lease components (lessor) - requires us to account for lease and non-lease components associated with that lease under Topic 842 as a single lease component, if certain criteria are met, for all classes of underlying assets; and</w:t>
      </w:r>
    </w:p>
    <w:p>
      <w:pPr>
        <w:spacing w:after="0" w:line="7" w:lineRule="exact"/>
        <w:rPr>
          <w:rFonts w:ascii="Times New Roman" w:cs="Times New Roman" w:eastAsia="Times New Roman" w:hAnsi="Times New Roman"/>
          <w:sz w:val="13"/>
          <w:szCs w:val="13"/>
          <w:color w:val="auto"/>
        </w:rPr>
      </w:pPr>
    </w:p>
    <w:p>
      <w:pPr>
        <w:ind w:left="720" w:right="199" w:hanging="220"/>
        <w:spacing w:after="0" w:line="268" w:lineRule="auto"/>
        <w:tabs>
          <w:tab w:leader="none" w:pos="7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Short-term leases practical expedient (lessee) - for leases with a term of 12 months or less in which we are the lessee, this expedient requires us not to record on our balance sheets the related lease liabilities and right-of-use assets.</w:t>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Our election of the package of practical expedients and the optional transition method allowed us not to reassess:</w:t>
      </w:r>
    </w:p>
    <w:p>
      <w:pPr>
        <w:spacing w:after="0" w:line="78" w:lineRule="exact"/>
        <w:rPr>
          <w:sz w:val="20"/>
          <w:szCs w:val="20"/>
          <w:color w:val="auto"/>
        </w:rPr>
      </w:pPr>
    </w:p>
    <w:p>
      <w:pPr>
        <w:ind w:left="720" w:hanging="220"/>
        <w:spacing w:after="0"/>
        <w:tabs>
          <w:tab w:leader="none" w:pos="7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any expired or existing contracts as of January 1, 2019 are or contain leases as defined in Topic 842;</w:t>
      </w:r>
    </w:p>
    <w:p>
      <w:pPr>
        <w:spacing w:after="0" w:line="40"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lease classification for any expired or existing leases as of January 1, 2019; and</w:t>
      </w:r>
    </w:p>
    <w:p>
      <w:pPr>
        <w:spacing w:after="0" w:line="40" w:lineRule="exact"/>
        <w:rPr>
          <w:rFonts w:ascii="Times New Roman" w:cs="Times New Roman" w:eastAsia="Times New Roman" w:hAnsi="Times New Roman"/>
          <w:sz w:val="13"/>
          <w:szCs w:val="13"/>
          <w:color w:val="auto"/>
        </w:rPr>
      </w:pPr>
    </w:p>
    <w:p>
      <w:pPr>
        <w:ind w:left="720" w:hanging="220"/>
        <w:spacing w:after="0"/>
        <w:tabs>
          <w:tab w:leader="none" w:pos="7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Treatment of initial direct costs relating to any existing leases as of January 1, 2019.</w:t>
      </w:r>
    </w:p>
    <w:p>
      <w:pPr>
        <w:spacing w:after="0" w:line="230" w:lineRule="exact"/>
        <w:rPr>
          <w:sz w:val="20"/>
          <w:szCs w:val="20"/>
          <w:color w:val="auto"/>
        </w:rPr>
      </w:pPr>
    </w:p>
    <w:p>
      <w:pPr>
        <w:jc w:val="both"/>
        <w:ind w:left="20" w:right="79" w:firstLine="228"/>
        <w:spacing w:after="0" w:line="256" w:lineRule="auto"/>
        <w:rPr>
          <w:sz w:val="20"/>
          <w:szCs w:val="20"/>
          <w:color w:val="auto"/>
        </w:rPr>
      </w:pPr>
      <w:r>
        <w:rPr>
          <w:rFonts w:ascii="Times New Roman" w:cs="Times New Roman" w:eastAsia="Times New Roman" w:hAnsi="Times New Roman"/>
          <w:sz w:val="13"/>
          <w:szCs w:val="13"/>
          <w:color w:val="auto"/>
        </w:rPr>
        <w:t>We applied the package of practical expedients consistently to all leases (i.e., in which we are the lessee or the lessor) that commenced before January 1, 2019. The election of this package permits us to “run off” our leases that commenced before January 1, 2019, for the remainder of their lease terms and to apply the new lease accounting standard to leases commencing or modified after January 1, 2019.</w:t>
      </w:r>
    </w:p>
    <w:p>
      <w:pPr>
        <w:spacing w:after="0" w:line="129" w:lineRule="exact"/>
        <w:rPr>
          <w:sz w:val="20"/>
          <w:szCs w:val="20"/>
          <w:color w:val="auto"/>
        </w:rPr>
      </w:pPr>
    </w:p>
    <w:p>
      <w:pPr>
        <w:ind w:left="20" w:right="159" w:firstLine="228"/>
        <w:spacing w:after="0" w:line="256" w:lineRule="auto"/>
        <w:rPr>
          <w:sz w:val="20"/>
          <w:szCs w:val="20"/>
          <w:color w:val="auto"/>
        </w:rPr>
      </w:pPr>
      <w:r>
        <w:rPr>
          <w:rFonts w:ascii="Times New Roman" w:cs="Times New Roman" w:eastAsia="Times New Roman" w:hAnsi="Times New Roman"/>
          <w:sz w:val="13"/>
          <w:szCs w:val="13"/>
          <w:color w:val="auto"/>
        </w:rPr>
        <w:t>For our leases that commenced prior to January 1, 2019, under the package of practical expedients and optional transition method, we are not required to reassess whether initial direct leasing costs capitalized prior to the adoption of the new lease accounting standard in connection with such leases qualify for capitalization under the new lease accounting standard. Therefore, we continue to amortize these initial direct leasing costs over their respective lease terms.</w:t>
      </w:r>
    </w:p>
    <w:p>
      <w:pPr>
        <w:spacing w:after="0" w:line="129" w:lineRule="exact"/>
        <w:rPr>
          <w:sz w:val="20"/>
          <w:szCs w:val="20"/>
          <w:color w:val="auto"/>
        </w:rPr>
      </w:pPr>
    </w:p>
    <w:p>
      <w:pPr>
        <w:ind w:left="20" w:right="319" w:firstLine="228"/>
        <w:spacing w:after="0" w:line="268" w:lineRule="auto"/>
        <w:rPr>
          <w:sz w:val="20"/>
          <w:szCs w:val="20"/>
          <w:color w:val="auto"/>
        </w:rPr>
      </w:pPr>
      <w:r>
        <w:rPr>
          <w:rFonts w:ascii="Times New Roman" w:cs="Times New Roman" w:eastAsia="Times New Roman" w:hAnsi="Times New Roman"/>
          <w:sz w:val="13"/>
          <w:szCs w:val="13"/>
          <w:color w:val="auto"/>
        </w:rPr>
        <w:t>In addition, we applied the modified retrospective transition method to build-to-suit leases for which assets and liabilities have been recognized solely as a result of the transactions’ build-to-suit designation in accordance with Topic</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38" w:name="page139"/>
    <w:bookmarkEnd w:id="13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79" w:firstLine="5"/>
        <w:spacing w:after="0" w:line="287" w:lineRule="auto"/>
        <w:tabs>
          <w:tab w:leader="none" w:pos="273"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Therefore, we derecognized those assets and liabilities at the effective date of adoption for build-to-suit leases where construction had completed, with the difference of approximately $6.3 million recorded as an increase to accumulated dividends in excess of earnings at the adoption date. We accounted for the leases therefrom, following lessee transition guidance. The remainder of our capital leases were classified as finance leases and there was no change in their carrying value or classification at the adoption date.</w:t>
      </w:r>
    </w:p>
    <w:p>
      <w:pPr>
        <w:spacing w:after="0" w:line="112" w:lineRule="exact"/>
        <w:rPr>
          <w:sz w:val="20"/>
          <w:szCs w:val="20"/>
          <w:color w:val="auto"/>
        </w:rPr>
      </w:pPr>
    </w:p>
    <w:p>
      <w:pPr>
        <w:ind w:left="20" w:right="59" w:firstLine="228"/>
        <w:spacing w:after="0" w:line="246" w:lineRule="auto"/>
        <w:rPr>
          <w:sz w:val="20"/>
          <w:szCs w:val="20"/>
          <w:color w:val="auto"/>
        </w:rPr>
      </w:pPr>
      <w:r>
        <w:rPr>
          <w:rFonts w:ascii="Times New Roman" w:cs="Times New Roman" w:eastAsia="Times New Roman" w:hAnsi="Times New Roman"/>
          <w:sz w:val="13"/>
          <w:szCs w:val="13"/>
          <w:color w:val="auto"/>
        </w:rPr>
        <w:t>Under the package of practical expedients that we elected upon adoption of the new lease accounting standard, all of our operating leases existing as of January 1, 2019, in which we are the lessee, continue to be classified as operating leases subsequent to the adoption of the new lease accounting standard. In accordance with the new lease accounting standard, we were required to record an operating lease liability in our consolidated balance sheet equal to the present value of remaining future rental payments in which we are the lessee existing as of January 1, 2019 and the related operating lease right-of-use asset. Consequently, on January 1, 2019, we recorded an operating lease liability aggregating $757.2 million, which included approximately $73.3 million reclassified out of the deferred rent liabilities balance in accordance with the new lease standard. We have also recorded a corresponding operating lease right-of-use asset of $683.9 million. The present value of the remaining lease payments was calculated for each operating lease existing as of January 1, 2019, in which we were the lessee by using each respective remaining lease term and a corresponding estimated incremental borrowing rate. The incremental borrowing rate is the interest rate that we estimated we would have to pay to borrow on a collateralized basis over a similar term for an amount equal to the lease payments.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Subsequent application of the new lease accounting guidance</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Definition of a lease</w:t>
      </w:r>
    </w:p>
    <w:p>
      <w:pPr>
        <w:spacing w:after="0" w:line="156" w:lineRule="exact"/>
        <w:rPr>
          <w:sz w:val="20"/>
          <w:szCs w:val="20"/>
          <w:color w:val="auto"/>
        </w:rPr>
      </w:pPr>
    </w:p>
    <w:p>
      <w:pPr>
        <w:ind w:left="20" w:right="459" w:firstLine="228"/>
        <w:spacing w:after="0" w:line="268" w:lineRule="auto"/>
        <w:rPr>
          <w:sz w:val="20"/>
          <w:szCs w:val="20"/>
          <w:color w:val="auto"/>
        </w:rPr>
      </w:pPr>
      <w:r>
        <w:rPr>
          <w:rFonts w:ascii="Times New Roman" w:cs="Times New Roman" w:eastAsia="Times New Roman" w:hAnsi="Times New Roman"/>
          <w:sz w:val="13"/>
          <w:szCs w:val="13"/>
          <w:color w:val="auto"/>
        </w:rPr>
        <w:t>Effective January 1, 2019, when we enter into a contract or amend an existing contract, we evaluate whether the contract meets the definition of a lease. To meet the definition of a lease, the contract must meet all three criteria:</w:t>
      </w:r>
    </w:p>
    <w:p>
      <w:pPr>
        <w:spacing w:after="0" w:line="122" w:lineRule="exact"/>
        <w:rPr>
          <w:sz w:val="20"/>
          <w:szCs w:val="20"/>
          <w:color w:val="auto"/>
        </w:rPr>
      </w:pPr>
    </w:p>
    <w:p>
      <w:pPr>
        <w:ind w:left="700" w:hanging="286"/>
        <w:spacing w:after="0"/>
        <w:tabs>
          <w:tab w:leader="none" w:pos="7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party (lessor) must hold an identified asset;</w:t>
      </w:r>
    </w:p>
    <w:p>
      <w:pPr>
        <w:spacing w:after="0" w:line="40" w:lineRule="exact"/>
        <w:rPr>
          <w:rFonts w:ascii="Times New Roman" w:cs="Times New Roman" w:eastAsia="Times New Roman" w:hAnsi="Times New Roman"/>
          <w:sz w:val="13"/>
          <w:szCs w:val="13"/>
          <w:color w:val="auto"/>
        </w:rPr>
      </w:pPr>
    </w:p>
    <w:p>
      <w:pPr>
        <w:ind w:left="700" w:right="239" w:hanging="321"/>
        <w:spacing w:after="0" w:line="268" w:lineRule="auto"/>
        <w:tabs>
          <w:tab w:leader="none" w:pos="7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counterparty (lessee) must have the right to obtain substantially all of the economic benefits from the use of the asset throughout the period of the contract; and</w:t>
      </w:r>
    </w:p>
    <w:p>
      <w:pPr>
        <w:spacing w:after="0" w:line="7" w:lineRule="exact"/>
        <w:rPr>
          <w:rFonts w:ascii="Times New Roman" w:cs="Times New Roman" w:eastAsia="Times New Roman" w:hAnsi="Times New Roman"/>
          <w:sz w:val="13"/>
          <w:szCs w:val="13"/>
          <w:color w:val="auto"/>
        </w:rPr>
      </w:pPr>
    </w:p>
    <w:p>
      <w:pPr>
        <w:ind w:left="700" w:hanging="356"/>
        <w:spacing w:after="0"/>
        <w:tabs>
          <w:tab w:leader="none" w:pos="7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counterparty (lessee) must have the right to direct the use of the identified asset throughout the period of the contract.</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Lease classification</w:t>
      </w:r>
    </w:p>
    <w:p>
      <w:pPr>
        <w:spacing w:after="0" w:line="156" w:lineRule="exact"/>
        <w:rPr>
          <w:sz w:val="20"/>
          <w:szCs w:val="20"/>
          <w:color w:val="auto"/>
        </w:rPr>
      </w:pPr>
    </w:p>
    <w:p>
      <w:pPr>
        <w:ind w:left="20" w:right="339" w:firstLine="228"/>
        <w:spacing w:after="0" w:line="268" w:lineRule="auto"/>
        <w:rPr>
          <w:sz w:val="20"/>
          <w:szCs w:val="20"/>
          <w:color w:val="auto"/>
        </w:rPr>
      </w:pPr>
      <w:r>
        <w:rPr>
          <w:rFonts w:ascii="Times New Roman" w:cs="Times New Roman" w:eastAsia="Times New Roman" w:hAnsi="Times New Roman"/>
          <w:sz w:val="13"/>
          <w:szCs w:val="13"/>
          <w:color w:val="auto"/>
        </w:rPr>
        <w:t>The new lease accounting standard also sets new criteria for determining the classification of finance leases for lessees and sales-type leases for lessors. The criteria to determine whether a lease should be accounted for as a finance/sales-type lease include any of the following:</w:t>
      </w:r>
    </w:p>
    <w:p>
      <w:pPr>
        <w:spacing w:after="0" w:line="122" w:lineRule="exact"/>
        <w:rPr>
          <w:sz w:val="20"/>
          <w:szCs w:val="20"/>
          <w:color w:val="auto"/>
        </w:rPr>
      </w:pPr>
    </w:p>
    <w:p>
      <w:pPr>
        <w:ind w:left="700" w:hanging="286"/>
        <w:spacing w:after="0"/>
        <w:tabs>
          <w:tab w:leader="none" w:pos="7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Ownership is transferred from lessor to lessee by the end of the lease term;</w:t>
      </w:r>
    </w:p>
    <w:p>
      <w:pPr>
        <w:spacing w:after="0" w:line="40" w:lineRule="exact"/>
        <w:rPr>
          <w:rFonts w:ascii="Times New Roman" w:cs="Times New Roman" w:eastAsia="Times New Roman" w:hAnsi="Times New Roman"/>
          <w:sz w:val="13"/>
          <w:szCs w:val="13"/>
          <w:color w:val="auto"/>
        </w:rPr>
      </w:pPr>
    </w:p>
    <w:p>
      <w:pPr>
        <w:ind w:left="700" w:hanging="321"/>
        <w:spacing w:after="0"/>
        <w:tabs>
          <w:tab w:leader="none" w:pos="7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option to purchase is reasonably certain to be exercised;</w:t>
      </w:r>
    </w:p>
    <w:p>
      <w:pPr>
        <w:spacing w:after="0" w:line="40" w:lineRule="exact"/>
        <w:rPr>
          <w:rFonts w:ascii="Times New Roman" w:cs="Times New Roman" w:eastAsia="Times New Roman" w:hAnsi="Times New Roman"/>
          <w:sz w:val="13"/>
          <w:szCs w:val="13"/>
          <w:color w:val="auto"/>
        </w:rPr>
      </w:pPr>
    </w:p>
    <w:p>
      <w:pPr>
        <w:ind w:left="700" w:hanging="356"/>
        <w:spacing w:after="0"/>
        <w:tabs>
          <w:tab w:leader="none" w:pos="7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lease term is for the major part of the underlying asset’s remaining economic life;</w:t>
      </w:r>
    </w:p>
    <w:p>
      <w:pPr>
        <w:spacing w:after="0" w:line="40" w:lineRule="exact"/>
        <w:rPr>
          <w:rFonts w:ascii="Times New Roman" w:cs="Times New Roman" w:eastAsia="Times New Roman" w:hAnsi="Times New Roman"/>
          <w:sz w:val="13"/>
          <w:szCs w:val="13"/>
          <w:color w:val="auto"/>
        </w:rPr>
      </w:pPr>
    </w:p>
    <w:p>
      <w:pPr>
        <w:ind w:left="700" w:hanging="341"/>
        <w:spacing w:after="0"/>
        <w:tabs>
          <w:tab w:leader="none" w:pos="7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present value of lease payments equals or exceeds substantially all of the fair value of the underlying asset; or</w:t>
      </w:r>
    </w:p>
    <w:p>
      <w:pPr>
        <w:spacing w:after="0" w:line="40" w:lineRule="exact"/>
        <w:rPr>
          <w:rFonts w:ascii="Times New Roman" w:cs="Times New Roman" w:eastAsia="Times New Roman" w:hAnsi="Times New Roman"/>
          <w:sz w:val="13"/>
          <w:szCs w:val="13"/>
          <w:color w:val="auto"/>
        </w:rPr>
      </w:pPr>
    </w:p>
    <w:p>
      <w:pPr>
        <w:ind w:left="700" w:hanging="306"/>
        <w:spacing w:after="0"/>
        <w:tabs>
          <w:tab w:leader="none" w:pos="7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underlying asset is specialized and is expected to have no alternative use at the end of the lease term.</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39" w:name="page140"/>
    <w:bookmarkEnd w:id="13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356" w:lineRule="exact"/>
        <w:rPr>
          <w:sz w:val="20"/>
          <w:szCs w:val="20"/>
          <w:color w:val="auto"/>
        </w:rPr>
      </w:pPr>
    </w:p>
    <w:p>
      <w:pPr>
        <w:ind w:left="20" w:right="59" w:firstLine="228"/>
        <w:spacing w:after="0" w:line="248" w:lineRule="auto"/>
        <w:rPr>
          <w:sz w:val="20"/>
          <w:szCs w:val="20"/>
          <w:color w:val="auto"/>
        </w:rPr>
      </w:pPr>
      <w:r>
        <w:rPr>
          <w:rFonts w:ascii="Times New Roman" w:cs="Times New Roman" w:eastAsia="Times New Roman" w:hAnsi="Times New Roman"/>
          <w:sz w:val="13"/>
          <w:szCs w:val="13"/>
          <w:color w:val="auto"/>
        </w:rPr>
        <w:t>If any of these criteria is met, a lease is classified as a finance lease by the lessee and as a sales-type lease by the lessor. If none of the criteria are met, a lease is classified as an operating lease by the lessee but may still qualify as a direct financing lease or an operating lease for the lessor. The existence of a residual value guarantee from an unrelated third party other than the lessee may qualify the lease as a direct financing lease by the lessor. Otherwise, the lease is classified as an operating lease by the lessor. Therefore, under the new lease accounting standard, lessees apply a dual approach by classifying leases as either finance or operating leases based on the principle of whether the lease is effectively a financed purchase of the leased asset by the lessee. This classification will determine whether the lease expense is recognized based on an effective interest method or on a straight-line basis over the term of the lease, which corresponds to a similar evaluation performed by lessors.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Lessor accounting</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Costs to execute leases</w:t>
      </w:r>
    </w:p>
    <w:p>
      <w:pPr>
        <w:spacing w:after="0" w:line="154" w:lineRule="exact"/>
        <w:rPr>
          <w:sz w:val="20"/>
          <w:szCs w:val="20"/>
          <w:color w:val="auto"/>
        </w:rPr>
      </w:pPr>
    </w:p>
    <w:p>
      <w:pPr>
        <w:ind w:left="20" w:right="119" w:firstLine="228"/>
        <w:spacing w:after="0" w:line="256" w:lineRule="auto"/>
        <w:rPr>
          <w:sz w:val="20"/>
          <w:szCs w:val="20"/>
          <w:color w:val="auto"/>
        </w:rPr>
      </w:pPr>
      <w:r>
        <w:rPr>
          <w:rFonts w:ascii="Times New Roman" w:cs="Times New Roman" w:eastAsia="Times New Roman" w:hAnsi="Times New Roman"/>
          <w:sz w:val="13"/>
          <w:szCs w:val="13"/>
          <w:color w:val="auto"/>
        </w:rPr>
        <w:t>The new lease accounting standard requires that lessors (and, if applicable, lessees) capitalize, as initial direct costs, only incremental costs of a lease that would not have been incurred if the lease had not been obtained. Costs that we incur to negotiate or arrange a lease, regardless of its outcome, such as for fixed employee compensation, tax, or legal advice to negotiate lease terms, and other costs, are expensed as incurred.</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Operating leases</w:t>
      </w:r>
    </w:p>
    <w:p>
      <w:pPr>
        <w:spacing w:after="0" w:line="154" w:lineRule="exact"/>
        <w:rPr>
          <w:sz w:val="20"/>
          <w:szCs w:val="20"/>
          <w:color w:val="auto"/>
        </w:rPr>
      </w:pPr>
    </w:p>
    <w:p>
      <w:pPr>
        <w:ind w:left="20" w:right="339" w:firstLine="228"/>
        <w:spacing w:after="0" w:line="268" w:lineRule="auto"/>
        <w:rPr>
          <w:sz w:val="20"/>
          <w:szCs w:val="20"/>
          <w:color w:val="auto"/>
        </w:rPr>
      </w:pPr>
      <w:r>
        <w:rPr>
          <w:rFonts w:ascii="Times New Roman" w:cs="Times New Roman" w:eastAsia="Times New Roman" w:hAnsi="Times New Roman"/>
          <w:sz w:val="13"/>
          <w:szCs w:val="13"/>
          <w:color w:val="auto"/>
        </w:rPr>
        <w:t>We account for the revenue from our lease contracts by utilizing the single component accounting policy. This policy requires us to account for, by class of underlying asset, the lease component and non-lease component(s) associated with each lease as a single component if two criteria are met:</w:t>
      </w:r>
    </w:p>
    <w:p>
      <w:pPr>
        <w:spacing w:after="0" w:line="122" w:lineRule="exact"/>
        <w:rPr>
          <w:sz w:val="20"/>
          <w:szCs w:val="20"/>
          <w:color w:val="auto"/>
        </w:rPr>
      </w:pPr>
    </w:p>
    <w:p>
      <w:pPr>
        <w:ind w:left="700" w:hanging="286"/>
        <w:spacing w:after="0"/>
        <w:tabs>
          <w:tab w:leader="none" w:pos="7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and pattern of transfer of the lease component and the non-lease component(s) are the same; and</w:t>
      </w:r>
    </w:p>
    <w:p>
      <w:pPr>
        <w:spacing w:after="0" w:line="40" w:lineRule="exact"/>
        <w:rPr>
          <w:rFonts w:ascii="Times New Roman" w:cs="Times New Roman" w:eastAsia="Times New Roman" w:hAnsi="Times New Roman"/>
          <w:sz w:val="13"/>
          <w:szCs w:val="13"/>
          <w:color w:val="auto"/>
        </w:rPr>
      </w:pPr>
    </w:p>
    <w:p>
      <w:pPr>
        <w:ind w:left="700" w:hanging="321"/>
        <w:spacing w:after="0"/>
        <w:tabs>
          <w:tab w:leader="none" w:pos="7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lease component would be classified as an operating lease if it were accounted for separately.</w:t>
      </w:r>
    </w:p>
    <w:p>
      <w:pPr>
        <w:spacing w:after="0" w:line="230" w:lineRule="exact"/>
        <w:rPr>
          <w:sz w:val="20"/>
          <w:szCs w:val="20"/>
          <w:color w:val="auto"/>
        </w:rPr>
      </w:pPr>
    </w:p>
    <w:p>
      <w:pPr>
        <w:ind w:left="20" w:right="139" w:firstLine="228"/>
        <w:spacing w:after="0" w:line="249" w:lineRule="auto"/>
        <w:rPr>
          <w:sz w:val="20"/>
          <w:szCs w:val="20"/>
          <w:color w:val="auto"/>
        </w:rPr>
      </w:pPr>
      <w:r>
        <w:rPr>
          <w:rFonts w:ascii="Times New Roman" w:cs="Times New Roman" w:eastAsia="Times New Roman" w:hAnsi="Times New Roman"/>
          <w:sz w:val="13"/>
          <w:szCs w:val="13"/>
          <w:color w:val="auto"/>
        </w:rPr>
        <w:t>Lease components consist primarily of fixed rental payments, which represent scheduled rental amounts due under our leases, and contingent rental payments. Non-lease components consist primarily of customer recoveries representing reimbursements of rental operating expenses under our triple net lease structure, including recoveries for utilities, repairs and maintenance, and common area expenses. If a lessee makes payments for taxes and insurance directly to a third party on behalf of a lessor, lessors are required to exclude them from variable payments and from recognition in the lessors’ income statements. Otherwise, customer recoveries for taxes and insurance are classified as additional lease revenue recognized by the lessor on a gross basis in their income statements.</w:t>
      </w:r>
    </w:p>
    <w:p>
      <w:pPr>
        <w:spacing w:after="0" w:line="136" w:lineRule="exact"/>
        <w:rPr>
          <w:sz w:val="20"/>
          <w:szCs w:val="20"/>
          <w:color w:val="auto"/>
        </w:rPr>
      </w:pPr>
    </w:p>
    <w:p>
      <w:pPr>
        <w:ind w:left="20" w:right="79" w:firstLine="228"/>
        <w:spacing w:after="0" w:line="249" w:lineRule="auto"/>
        <w:rPr>
          <w:sz w:val="20"/>
          <w:szCs w:val="20"/>
          <w:color w:val="auto"/>
        </w:rPr>
      </w:pPr>
      <w:r>
        <w:rPr>
          <w:rFonts w:ascii="Times New Roman" w:cs="Times New Roman" w:eastAsia="Times New Roman" w:hAnsi="Times New Roman"/>
          <w:sz w:val="13"/>
          <w:szCs w:val="13"/>
          <w:color w:val="auto"/>
        </w:rPr>
        <w:t>On January 1, 2019, we adopted the practical expedient that allowed us to not separate expenses reimbursed by our customers (“rental recoveries”) from the associated rental revenue if certain criteria were met. We assessed these criteria and concluded that the timing and pattern of transfer for rental revenue and the associated rental recoveries are the same and as our leases qualify as operating leases, we accounted for and presented rental revenue and rental recoveries as a single component under rental and other services in our consolidated income statements. Tenant recoveries are recognized as revenue in the period during which the applicable expenses are incurred and the tenant’s obligation to reimburse us arises.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40" w:name="page141"/>
    <w:bookmarkEnd w:id="14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59" w:firstLine="228"/>
        <w:spacing w:after="0" w:line="279" w:lineRule="auto"/>
        <w:rPr>
          <w:sz w:val="20"/>
          <w:szCs w:val="20"/>
          <w:color w:val="auto"/>
        </w:rPr>
      </w:pPr>
      <w:r>
        <w:rPr>
          <w:rFonts w:ascii="Times New Roman" w:cs="Times New Roman" w:eastAsia="Times New Roman" w:hAnsi="Times New Roman"/>
          <w:sz w:val="12"/>
          <w:szCs w:val="12"/>
          <w:color w:val="auto"/>
        </w:rPr>
        <w:t>If the lease component is the predominant component, we account for all revenues under such lease as a single component in accordance with the new lease accounting standard. Conversely, if the non-lease component is the predominant component, all revenues under such lease are accounted for in accordance with the revenue recognition accounting standard. Our operating leases qualify for the single component accounting, and the lease component in each of our leases is predominant. Therefore, we account for all revenues from our operating leases under the new lease accounting standard and classify these revenues as rental and other services in our consolidated income statements.</w:t>
      </w:r>
    </w:p>
    <w:p>
      <w:pPr>
        <w:spacing w:after="0" w:line="118" w:lineRule="exact"/>
        <w:rPr>
          <w:sz w:val="20"/>
          <w:szCs w:val="20"/>
          <w:color w:val="auto"/>
        </w:rPr>
      </w:pPr>
    </w:p>
    <w:p>
      <w:pPr>
        <w:ind w:left="20" w:right="39" w:firstLine="228"/>
        <w:spacing w:after="0" w:line="247" w:lineRule="auto"/>
        <w:rPr>
          <w:sz w:val="20"/>
          <w:szCs w:val="20"/>
          <w:color w:val="auto"/>
        </w:rPr>
      </w:pPr>
      <w:r>
        <w:rPr>
          <w:rFonts w:ascii="Times New Roman" w:cs="Times New Roman" w:eastAsia="Times New Roman" w:hAnsi="Times New Roman"/>
          <w:sz w:val="13"/>
          <w:szCs w:val="13"/>
          <w:color w:val="auto"/>
        </w:rPr>
        <w:t>We commence recognition of income from rentals related to the operating leases at the date the property is ready for its intended use by the tenant and the tenant takes possession, or controls the physical use, of the leased asset. Our leases are classified as operating leases and minimum rents are recognized on a straight-line basis over the terms of the leases, which may span multiple years. The excess of rents recognized over amounts contractually due pursuant to the underlying leases is included in deferred rent in the accompanying consolidated balance sheets and contractually due but unpaid rents are included in accounts and other receivables. As of December 31, 2020 and 2019, the balance of rent receivable, net of allowance, was $358.0 million and $186.8 million, respectively. Amounts received currently but recognized as revenue in future periods are classified in accounts payable and other accrued liabilities in our consolidated balance sheets. The allowance for doubtful accounts as of December 31, 2020 and 2019 was approximately $18.8 million and $13.8 million, respectively.</w:t>
      </w:r>
    </w:p>
    <w:p>
      <w:pPr>
        <w:spacing w:after="0" w:line="138" w:lineRule="exact"/>
        <w:rPr>
          <w:sz w:val="20"/>
          <w:szCs w:val="20"/>
          <w:color w:val="auto"/>
        </w:rPr>
      </w:pPr>
    </w:p>
    <w:p>
      <w:pPr>
        <w:ind w:left="20" w:right="79" w:firstLine="228"/>
        <w:spacing w:after="0" w:line="256" w:lineRule="auto"/>
        <w:rPr>
          <w:sz w:val="20"/>
          <w:szCs w:val="20"/>
          <w:color w:val="auto"/>
        </w:rPr>
      </w:pPr>
      <w:r>
        <w:rPr>
          <w:rFonts w:ascii="Times New Roman" w:cs="Times New Roman" w:eastAsia="Times New Roman" w:hAnsi="Times New Roman"/>
          <w:sz w:val="13"/>
          <w:szCs w:val="13"/>
          <w:color w:val="auto"/>
        </w:rPr>
        <w:t>Lease termination fees are recognized over the remaining term of the lease, effective as of the date the lease modification is finalized, assuming collection is not considered doubtful. We recognize amortization of the value of acquired above or below-market tenant leases as a reduction of rental revenue in the case of above-market leases or an increase to rental revenue in the case of below-market leases.</w:t>
      </w:r>
    </w:p>
    <w:p>
      <w:pPr>
        <w:spacing w:after="0" w:line="129" w:lineRule="exact"/>
        <w:rPr>
          <w:sz w:val="20"/>
          <w:szCs w:val="20"/>
          <w:color w:val="auto"/>
        </w:rPr>
      </w:pPr>
    </w:p>
    <w:p>
      <w:pPr>
        <w:ind w:left="20" w:right="59" w:firstLine="228"/>
        <w:spacing w:after="0" w:line="246" w:lineRule="auto"/>
        <w:rPr>
          <w:sz w:val="20"/>
          <w:szCs w:val="20"/>
          <w:color w:val="auto"/>
        </w:rPr>
      </w:pPr>
      <w:r>
        <w:rPr>
          <w:rFonts w:ascii="Times New Roman" w:cs="Times New Roman" w:eastAsia="Times New Roman" w:hAnsi="Times New Roman"/>
          <w:sz w:val="13"/>
          <w:szCs w:val="13"/>
          <w:color w:val="auto"/>
        </w:rPr>
        <w:t>We make subjective estimates as to the probability of collection of substantially all lease payments over the term of a lease. We specifically analyze customer creditworthiness, accounts receivable and historical bad debts and current economic trends when evaluating the probability of collection. If collection of substantially all lease payments over the term of a lease is deemed not probable, rental revenue would be recognized when payment is received and revenue would not be recognized on a straight-line basis. We monitor the probability of collection over the lease term and in the event the collection of substantially all lease payments is no longer probable, we cease recognizing revenue on a straight-line basis and write-off the balance of all deferred rent related to the lease and commence recording rental revenue on a cash collected basis. In addition, we record a full valuation allowance on the balance of any rent receivable, less the balance of any security deposits or letters of credit. In the event that we subsequently determine the collection is probable, we resume recognizing rental revenue on a straight-line basis and record the incremental revenue such that the cumulative rental revenue is equal to the amount of revenue that would have been recorded on a straight-line basis since the inception of the lease. We also would reverse the allowance for bad debt recorded on the balance of accounts receivable.</w:t>
      </w:r>
    </w:p>
    <w:p>
      <w:pPr>
        <w:spacing w:after="0" w:line="140" w:lineRule="exact"/>
        <w:rPr>
          <w:sz w:val="20"/>
          <w:szCs w:val="20"/>
          <w:color w:val="auto"/>
        </w:rPr>
      </w:pPr>
    </w:p>
    <w:p>
      <w:pPr>
        <w:jc w:val="both"/>
        <w:ind w:left="20" w:right="139" w:firstLine="228"/>
        <w:spacing w:after="0" w:line="256" w:lineRule="auto"/>
        <w:rPr>
          <w:sz w:val="20"/>
          <w:szCs w:val="20"/>
          <w:color w:val="auto"/>
        </w:rPr>
      </w:pPr>
      <w:r>
        <w:rPr>
          <w:rFonts w:ascii="Times New Roman" w:cs="Times New Roman" w:eastAsia="Times New Roman" w:hAnsi="Times New Roman"/>
          <w:sz w:val="13"/>
          <w:szCs w:val="13"/>
          <w:color w:val="auto"/>
        </w:rPr>
        <w:t>The Company is closely monitoring the impact of the COVID-19 pandemic on all aspects of its business and geographies, including how it is impacting its customers and business partners. While the Company did not incur significant disruptions during the year ended December 31, 2020 from the COVID-19 pandemic, it is unable to predict the impact that the COVID-19 pandemic will have on its financial condition, results of operations and cash flows due to numerous uncertainties.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(t) Revenue Recognition</w:t>
      </w:r>
    </w:p>
    <w:p>
      <w:pPr>
        <w:spacing w:after="0" w:line="156" w:lineRule="exact"/>
        <w:rPr>
          <w:sz w:val="20"/>
          <w:szCs w:val="20"/>
          <w:color w:val="auto"/>
        </w:rPr>
      </w:pPr>
    </w:p>
    <w:p>
      <w:pPr>
        <w:ind w:left="20" w:right="359" w:firstLine="228"/>
        <w:spacing w:after="0" w:line="268" w:lineRule="auto"/>
        <w:rPr>
          <w:sz w:val="20"/>
          <w:szCs w:val="20"/>
          <w:color w:val="auto"/>
        </w:rPr>
      </w:pPr>
      <w:r>
        <w:rPr>
          <w:rFonts w:ascii="Times New Roman" w:cs="Times New Roman" w:eastAsia="Times New Roman" w:hAnsi="Times New Roman"/>
          <w:sz w:val="13"/>
          <w:szCs w:val="13"/>
          <w:color w:val="auto"/>
        </w:rPr>
        <w:t>Interconnection services are included in rental and other services on the consolidated income statements and are generally provided on a month-to-month, one-year or multi-year term. Interconnection services include port and cross-</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41" w:name="page142"/>
    <w:bookmarkEnd w:id="14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99"/>
        <w:spacing w:after="0" w:line="252" w:lineRule="auto"/>
        <w:rPr>
          <w:sz w:val="20"/>
          <w:szCs w:val="20"/>
          <w:color w:val="auto"/>
        </w:rPr>
      </w:pPr>
      <w:r>
        <w:rPr>
          <w:rFonts w:ascii="Times New Roman" w:cs="Times New Roman" w:eastAsia="Times New Roman" w:hAnsi="Times New Roman"/>
          <w:sz w:val="13"/>
          <w:szCs w:val="13"/>
          <w:color w:val="auto"/>
        </w:rPr>
        <w:t>connect services. Port services are typically sold on a one-year or multi-year term and revenue is recognized on a recurring monthly basis (straight-line). The Company bills customers on a monthly basis and recognizes the revenue over the period the service is provided. Revenue for cross-connect installations is generally recognized in the period the cross-connect is installed. Interconnection services that are not specific to a particular space are accounted for under Topic 606 and have terms that are generally one year or less.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Occasionally, customers engage the Company for certain services. The nature of these services historically involves property management and construction management.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proper revenue recognition of these services can be different, depending on whether the arrangements are service revenue or contractor type revenue.</w:t>
      </w:r>
    </w:p>
    <w:p>
      <w:pPr>
        <w:spacing w:after="0" w:line="141" w:lineRule="exact"/>
        <w:rPr>
          <w:sz w:val="20"/>
          <w:szCs w:val="20"/>
          <w:color w:val="auto"/>
        </w:rPr>
      </w:pPr>
    </w:p>
    <w:p>
      <w:pPr>
        <w:ind w:left="20" w:right="479" w:firstLine="228"/>
        <w:spacing w:after="0" w:line="268" w:lineRule="auto"/>
        <w:rPr>
          <w:sz w:val="20"/>
          <w:szCs w:val="20"/>
          <w:color w:val="auto"/>
        </w:rPr>
      </w:pPr>
      <w:r>
        <w:rPr>
          <w:rFonts w:ascii="Times New Roman" w:cs="Times New Roman" w:eastAsia="Times New Roman" w:hAnsi="Times New Roman"/>
          <w:sz w:val="13"/>
          <w:szCs w:val="13"/>
          <w:color w:val="auto"/>
        </w:rPr>
        <w:t>Service revenues are typically recognized on an equal monthly basis based on the minimum fee to be earned. The monthly amounts could be adjusted depending on whether certain performance milestones are met.</w:t>
      </w:r>
    </w:p>
    <w:p>
      <w:pPr>
        <w:spacing w:after="0" w:line="122" w:lineRule="exact"/>
        <w:rPr>
          <w:sz w:val="20"/>
          <w:szCs w:val="20"/>
          <w:color w:val="auto"/>
        </w:rPr>
      </w:pPr>
    </w:p>
    <w:p>
      <w:pPr>
        <w:ind w:left="20" w:right="279" w:firstLine="228"/>
        <w:spacing w:after="0" w:line="256" w:lineRule="auto"/>
        <w:rPr>
          <w:sz w:val="20"/>
          <w:szCs w:val="20"/>
          <w:color w:val="auto"/>
        </w:rPr>
      </w:pPr>
      <w:r>
        <w:rPr>
          <w:rFonts w:ascii="Times New Roman" w:cs="Times New Roman" w:eastAsia="Times New Roman" w:hAnsi="Times New Roman"/>
          <w:sz w:val="13"/>
          <w:szCs w:val="13"/>
          <w:color w:val="auto"/>
        </w:rPr>
        <w:t>Fee income arises primarily from contractual management agreements with entities in which we have a noncontrolling interest. The management fees are recognized as earned under the respective agreements. Management and other fee income related to partially owned noncontrolled entities are recognized to the extent attributable to the unaffiliated interest.</w:t>
      </w:r>
    </w:p>
    <w:p>
      <w:pPr>
        <w:spacing w:after="0" w:line="129" w:lineRule="exact"/>
        <w:rPr>
          <w:sz w:val="20"/>
          <w:szCs w:val="20"/>
          <w:color w:val="auto"/>
        </w:rPr>
      </w:pPr>
    </w:p>
    <w:p>
      <w:pPr>
        <w:ind w:left="20" w:right="199" w:firstLine="228"/>
        <w:spacing w:after="0" w:line="287" w:lineRule="auto"/>
        <w:rPr>
          <w:sz w:val="20"/>
          <w:szCs w:val="20"/>
          <w:color w:val="auto"/>
        </w:rPr>
      </w:pPr>
      <w:r>
        <w:rPr>
          <w:rFonts w:ascii="Times New Roman" w:cs="Times New Roman" w:eastAsia="Times New Roman" w:hAnsi="Times New Roman"/>
          <w:sz w:val="12"/>
          <w:szCs w:val="12"/>
          <w:color w:val="auto"/>
        </w:rPr>
        <w:t>The majority of our revenue is derived from lease arrangements, which we account for in accordance with Topic 842. Upon the adoption of Topic 842, we elected the practical expedient that requires us to account for lease and non-lease components associated with that lease as a single lease component and which are recorded within rental and other services. Revenue recognized as a result of applying Topic 606 was less than 6% of total operating revenue for the years ended December 31, 2020, 2019 and 2018.</w:t>
      </w:r>
    </w:p>
    <w:p>
      <w:pPr>
        <w:spacing w:after="0" w:line="1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(u) Assets and Liabilities Measured at Fair Value</w:t>
      </w:r>
    </w:p>
    <w:p>
      <w:pPr>
        <w:spacing w:after="0" w:line="156" w:lineRule="exact"/>
        <w:rPr>
          <w:sz w:val="20"/>
          <w:szCs w:val="20"/>
          <w:color w:val="auto"/>
        </w:rPr>
      </w:pPr>
    </w:p>
    <w:p>
      <w:pPr>
        <w:ind w:left="20" w:right="159" w:firstLine="228"/>
        <w:spacing w:after="0" w:line="249" w:lineRule="auto"/>
        <w:rPr>
          <w:sz w:val="20"/>
          <w:szCs w:val="20"/>
          <w:color w:val="auto"/>
        </w:rPr>
      </w:pPr>
      <w:r>
        <w:rPr>
          <w:rFonts w:ascii="Times New Roman" w:cs="Times New Roman" w:eastAsia="Times New Roman" w:hAnsi="Times New Roman"/>
          <w:sz w:val="13"/>
          <w:szCs w:val="13"/>
          <w:color w:val="auto"/>
        </w:rPr>
        <w:t>Fair value under U.S. GAAP is a market-based measurement, not an entity-specific measurement. Therefore, our fair value measurements are determined based on the assumptions that market participants would use in pricing the asset or liability. As a basis for considering market participant assumptions in fair-value measurements, we use a fair-value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136" w:lineRule="exact"/>
        <w:rPr>
          <w:sz w:val="20"/>
          <w:szCs w:val="20"/>
          <w:color w:val="auto"/>
        </w:rPr>
      </w:pPr>
    </w:p>
    <w:p>
      <w:pPr>
        <w:ind w:left="20" w:right="59" w:firstLine="228"/>
        <w:spacing w:after="0" w:line="247" w:lineRule="auto"/>
        <w:rPr>
          <w:sz w:val="20"/>
          <w:szCs w:val="20"/>
          <w:color w:val="auto"/>
        </w:rPr>
      </w:pPr>
      <w:r>
        <w:rPr>
          <w:rFonts w:ascii="Times New Roman" w:cs="Times New Roman" w:eastAsia="Times New Roman" w:hAnsi="Times New Roman"/>
          <w:sz w:val="13"/>
          <w:szCs w:val="13"/>
          <w:color w:val="auto"/>
        </w:rPr>
        <w:t>Level 1 inputs utilize quoted prices (unadjusted)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are typically based on an entity’s own assumptions, as there is little, if any, related market activity. In instances where the determination of the fair-value measurement is based on inputs from different levels of the fair-value hierarchy, the lowest level input that is significant would be used to determine the fair-value measurement in its entirety. Our assessment of the significance of a particular input to the fair-value measurement in its entirety requires judgment, and considers factors specific to the asset or liability.</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42" w:name="page143"/>
    <w:bookmarkEnd w:id="14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(v) Transaction and Integration Expense</w:t>
      </w:r>
    </w:p>
    <w:p>
      <w:pPr>
        <w:spacing w:after="0" w:line="156" w:lineRule="exact"/>
        <w:rPr>
          <w:sz w:val="20"/>
          <w:szCs w:val="20"/>
          <w:color w:val="auto"/>
        </w:rPr>
      </w:pPr>
    </w:p>
    <w:p>
      <w:pPr>
        <w:ind w:left="20" w:right="119" w:firstLine="228"/>
        <w:spacing w:after="0" w:line="248" w:lineRule="auto"/>
        <w:rPr>
          <w:sz w:val="20"/>
          <w:szCs w:val="20"/>
          <w:color w:val="auto"/>
        </w:rPr>
      </w:pPr>
      <w:r>
        <w:rPr>
          <w:rFonts w:ascii="Times New Roman" w:cs="Times New Roman" w:eastAsia="Times New Roman" w:hAnsi="Times New Roman"/>
          <w:sz w:val="13"/>
          <w:szCs w:val="13"/>
          <w:color w:val="auto"/>
        </w:rPr>
        <w:t>Transaction and integration expense includes business combination expenses, other business development expenses and other expenses to integrate newly acquired investments, which are expensed as incurred. Transaction expenses include closing costs, broker commissions and other professional fees, including legal and accounting fees related to business combinations or acquisitions that were not consummated. Integration costs include transition costs associated with organizational restructuring (such as severance and retention payments and recruiting expenses), third-party consulting expenses directly related to the integration of acquired companies (in areas such as cost savings and synergy realization, technology and systems work), and internal costs such as training, travel and labor, reflecting time spent by Company personnel on integration activities and projects. Recurring costs are recorded in general and administrative expense.</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(w) Gains on Disposition of Properties</w:t>
      </w:r>
    </w:p>
    <w:p>
      <w:pPr>
        <w:spacing w:after="0" w:line="156" w:lineRule="exact"/>
        <w:rPr>
          <w:sz w:val="20"/>
          <w:szCs w:val="20"/>
          <w:color w:val="auto"/>
        </w:rPr>
      </w:pPr>
    </w:p>
    <w:p>
      <w:pPr>
        <w:ind w:left="20" w:right="99" w:firstLine="228"/>
        <w:spacing w:after="0" w:line="249" w:lineRule="auto"/>
        <w:rPr>
          <w:sz w:val="20"/>
          <w:szCs w:val="20"/>
          <w:color w:val="auto"/>
        </w:rPr>
      </w:pPr>
      <w:r>
        <w:rPr>
          <w:rFonts w:ascii="Times New Roman" w:cs="Times New Roman" w:eastAsia="Times New Roman" w:hAnsi="Times New Roman"/>
          <w:sz w:val="13"/>
          <w:szCs w:val="13"/>
          <w:color w:val="auto"/>
        </w:rPr>
        <w:t>As of January 1, 2018, we began accounting for the sale or contribution of real estate properties under Financial Accounting Standards Board, or FASB, Accounting Standards Update, or ASU, No. 2017-05, Other Income—Gains and Losses from the Derecognition of Nonfinancial Assets (Subtopic 610-20), which provides for gain and loss recognition based on transfer of ownership. We recognize gains on the disposition of real estate when the recognition criteria have been met, generally at the time the risks and rewards and title have transferred, and we no longer have substantial continuing involvement with the real estate sold. We recognize losses from the disposition of real estate when known.</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(x) Gain on Deconsolidation</w:t>
      </w:r>
    </w:p>
    <w:p>
      <w:pPr>
        <w:spacing w:after="0" w:line="156" w:lineRule="exact"/>
        <w:rPr>
          <w:sz w:val="20"/>
          <w:szCs w:val="20"/>
          <w:color w:val="auto"/>
        </w:rPr>
      </w:pPr>
    </w:p>
    <w:p>
      <w:pPr>
        <w:ind w:left="20" w:right="359" w:firstLine="228"/>
        <w:spacing w:after="0" w:line="275" w:lineRule="auto"/>
        <w:rPr>
          <w:sz w:val="20"/>
          <w:szCs w:val="20"/>
          <w:color w:val="auto"/>
        </w:rPr>
      </w:pPr>
      <w:r>
        <w:rPr>
          <w:rFonts w:ascii="Times New Roman" w:cs="Times New Roman" w:eastAsia="Times New Roman" w:hAnsi="Times New Roman"/>
          <w:sz w:val="12"/>
          <w:szCs w:val="12"/>
          <w:color w:val="auto"/>
        </w:rPr>
        <w:t>We deconsolidate our subsidiaries in accordance with ASC 810, Consolidation, as of the date we cease to have a controlling financial interest in our subsidiaries. We account for the deconsolidation of our subsidiaries by recognizing a gain or loss in accordance with ASC 810. This gain or loss is measured at the date our subsidiaries are deconsolidated as the difference between (a) the aggregate of the fair value of any consideration received, the fair value of any retained non-controlling interest in our subsidiaries being deconsolidated, and the carrying amount of any non-controlling interest in our subsidiaries being deconsolidated, including any accumulated other comprehensive income/loss attributable to the non-controlling interest, and (b) the carrying amount of the assets and liabilities of our subsidiaries being deconsolidated.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(y) Management’s Estimates</w:t>
      </w:r>
    </w:p>
    <w:p>
      <w:pPr>
        <w:spacing w:after="0" w:line="156" w:lineRule="exact"/>
        <w:rPr>
          <w:sz w:val="20"/>
          <w:szCs w:val="20"/>
          <w:color w:val="auto"/>
        </w:rPr>
      </w:pPr>
    </w:p>
    <w:p>
      <w:pPr>
        <w:ind w:left="20" w:right="119" w:firstLine="228"/>
        <w:spacing w:after="0" w:line="248"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made. On an on-going basis, we evaluate our estimates, including those related to the valuation of our real estate properties, customer relationship value, goodwill, accounts receivable and deferred rent, performance-based equity compensation plans and the completeness of accrued liabilities. We base our estimates on historical experience, current market conditions, and various other assumptions that are believed to be reasonable under the circumstances. Actual results may vary from those estimates and those estimates could vary under different assumptions or conditions.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43" w:name="page144"/>
    <w:bookmarkEnd w:id="14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(z) Segment and Geographic Information</w:t>
      </w:r>
    </w:p>
    <w:p>
      <w:pPr>
        <w:spacing w:after="0" w:line="156" w:lineRule="exact"/>
        <w:rPr>
          <w:sz w:val="20"/>
          <w:szCs w:val="20"/>
          <w:color w:val="auto"/>
        </w:rPr>
      </w:pPr>
    </w:p>
    <w:p>
      <w:pPr>
        <w:jc w:val="both"/>
        <w:ind w:left="20" w:right="79" w:firstLine="228"/>
        <w:spacing w:after="0" w:line="256" w:lineRule="auto"/>
        <w:rPr>
          <w:sz w:val="20"/>
          <w:szCs w:val="20"/>
          <w:color w:val="auto"/>
        </w:rPr>
      </w:pPr>
      <w:r>
        <w:rPr>
          <w:rFonts w:ascii="Times New Roman" w:cs="Times New Roman" w:eastAsia="Times New Roman" w:hAnsi="Times New Roman"/>
          <w:sz w:val="13"/>
          <w:szCs w:val="13"/>
          <w:color w:val="auto"/>
        </w:rPr>
        <w:t>The Company is managed on a consolidated basis based on customer demand considerations. Deployment of capital is geared to satisfy this demand. In this regard, the sale and delivery of our products is consistent throughout the portfolio. Services are provided to customers typical of the data center industry. Rent and the cost of services are billed and collected. The Company has one operating segment and therefore one reporting segment.</w:t>
      </w:r>
    </w:p>
    <w:p>
      <w:pPr>
        <w:spacing w:after="0" w:line="129" w:lineRule="exact"/>
        <w:rPr>
          <w:sz w:val="20"/>
          <w:szCs w:val="20"/>
          <w:color w:val="auto"/>
        </w:rPr>
      </w:pPr>
    </w:p>
    <w:p>
      <w:pPr>
        <w:ind w:left="20" w:right="59" w:firstLine="228"/>
        <w:spacing w:after="0" w:line="256" w:lineRule="auto"/>
        <w:rPr>
          <w:sz w:val="20"/>
          <w:szCs w:val="20"/>
          <w:color w:val="auto"/>
        </w:rPr>
      </w:pPr>
      <w:r>
        <w:rPr>
          <w:rFonts w:ascii="Times New Roman" w:cs="Times New Roman" w:eastAsia="Times New Roman" w:hAnsi="Times New Roman"/>
          <w:sz w:val="13"/>
          <w:szCs w:val="13"/>
          <w:color w:val="auto"/>
        </w:rPr>
        <w:t>Operating revenues from properties in the United States were $2.6 billion, $2.6 billion and $2.5 billion and outside the United States were $1.3 billion, $0.6 billion and $0.6 billion for the years ended December 31, 2020, 2019 and 2018, respectively. We had investments in real estate located in the United States of $11.3 billion, $10.6 billion and $11.1 billion and outside the United States of $9.3 billion, $3.7 billion and $3.8 billion as of December 31, 2020, 2019 and 2018, respectively.</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44" w:name="page145"/>
    <w:bookmarkEnd w:id="14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(aa) New Accounting Pronouncements</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New Accounting Standards Adopted</w:t>
      </w:r>
    </w:p>
    <w:p>
      <w:pPr>
        <w:spacing w:after="0" w:line="149" w:lineRule="exact"/>
        <w:rPr>
          <w:sz w:val="20"/>
          <w:szCs w:val="20"/>
          <w:color w:val="auto"/>
        </w:rPr>
      </w:pPr>
    </w:p>
    <w:tbl>
      <w:tblPr>
        <w:tblLayout w:type="fixed"/>
        <w:tblInd w:w="30" w:type="dxa"/>
        <w:tblCellMar>
          <w:top w:w="0" w:type="dxa"/>
          <w:left w:w="0" w:type="dxa"/>
          <w:bottom w:w="0" w:type="dxa"/>
          <w:right w:w="0" w:type="dxa"/>
        </w:tblCellMar>
      </w:tblPr>
      <w:tr>
        <w:trPr>
          <w:trHeight w:val="142"/>
        </w:trPr>
        <w:tc>
          <w:tcPr>
            <w:tcW w:w="3000" w:type="dxa"/>
            <w:vAlign w:val="bottom"/>
            <w:tcBorders>
              <w:top w:val="single" w:sz="8" w:color="auto"/>
              <w:left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0"/>
                <w:szCs w:val="10"/>
                <w:b w:val="1"/>
                <w:bCs w:val="1"/>
                <w:color w:val="auto"/>
              </w:rPr>
              <w:t>Standard/Description</w:t>
            </w:r>
          </w:p>
        </w:tc>
        <w:tc>
          <w:tcPr>
            <w:tcW w:w="2980" w:type="dxa"/>
            <w:vAlign w:val="bottom"/>
            <w:tcBorders>
              <w:top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0"/>
                <w:szCs w:val="10"/>
                <w:b w:val="1"/>
                <w:bCs w:val="1"/>
                <w:color w:val="auto"/>
              </w:rPr>
              <w:t>Effective Date and Adoption Considerations</w:t>
            </w:r>
          </w:p>
        </w:tc>
        <w:tc>
          <w:tcPr>
            <w:tcW w:w="298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Effect on Financial Statements or Other Significant Matters</w:t>
            </w:r>
          </w:p>
        </w:tc>
      </w:tr>
      <w:tr>
        <w:trPr>
          <w:trHeight w:val="219"/>
        </w:trPr>
        <w:tc>
          <w:tcPr>
            <w:tcW w:w="3000" w:type="dxa"/>
            <w:vAlign w:val="bottom"/>
            <w:tcBorders>
              <w:left w:val="single" w:sz="8" w:color="auto"/>
              <w:bottom w:val="single" w:sz="8" w:color="auto"/>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r>
      <w:tr>
        <w:trPr>
          <w:trHeight w:val="77"/>
        </w:trPr>
        <w:tc>
          <w:tcPr>
            <w:tcW w:w="3000" w:type="dxa"/>
            <w:vAlign w:val="bottom"/>
            <w:tcBorders>
              <w:left w:val="single" w:sz="8" w:color="auto"/>
              <w:right w:val="single" w:sz="8" w:color="auto"/>
            </w:tcBorders>
          </w:tcPr>
          <w:p>
            <w:pPr>
              <w:ind w:left="80"/>
              <w:spacing w:after="0" w:line="78" w:lineRule="exact"/>
              <w:rPr>
                <w:sz w:val="20"/>
                <w:szCs w:val="20"/>
                <w:color w:val="auto"/>
              </w:rPr>
            </w:pPr>
            <w:r>
              <w:rPr>
                <w:rFonts w:ascii="Times New Roman" w:cs="Times New Roman" w:eastAsia="Times New Roman" w:hAnsi="Times New Roman"/>
                <w:sz w:val="8"/>
                <w:szCs w:val="8"/>
                <w:color w:val="auto"/>
              </w:rPr>
              <w:t xml:space="preserve">ASU 2016-13, </w:t>
            </w:r>
            <w:r>
              <w:rPr>
                <w:rFonts w:ascii="Times New Roman" w:cs="Times New Roman" w:eastAsia="Times New Roman" w:hAnsi="Times New Roman"/>
                <w:sz w:val="8"/>
                <w:szCs w:val="8"/>
                <w:i w:val="1"/>
                <w:iCs w:val="1"/>
                <w:color w:val="auto"/>
              </w:rPr>
              <w:t>Measurement of Credit Losses on Financial</w:t>
            </w:r>
          </w:p>
        </w:tc>
        <w:tc>
          <w:tcPr>
            <w:tcW w:w="2980" w:type="dxa"/>
            <w:vAlign w:val="bottom"/>
            <w:tcBorders>
              <w:right w:val="single" w:sz="8" w:color="auto"/>
            </w:tcBorders>
          </w:tcPr>
          <w:p>
            <w:pPr>
              <w:ind w:left="60"/>
              <w:spacing w:after="0" w:line="78" w:lineRule="exact"/>
              <w:rPr>
                <w:sz w:val="20"/>
                <w:szCs w:val="20"/>
                <w:color w:val="auto"/>
              </w:rPr>
            </w:pPr>
            <w:r>
              <w:rPr>
                <w:rFonts w:ascii="Times New Roman" w:cs="Times New Roman" w:eastAsia="Times New Roman" w:hAnsi="Times New Roman"/>
                <w:sz w:val="8"/>
                <w:szCs w:val="8"/>
                <w:color w:val="auto"/>
              </w:rPr>
              <w:t>We adopted the new standard as of January 1, 2020.</w:t>
            </w:r>
          </w:p>
        </w:tc>
        <w:tc>
          <w:tcPr>
            <w:tcW w:w="2980" w:type="dxa"/>
            <w:vAlign w:val="bottom"/>
            <w:tcBorders>
              <w:right w:val="single" w:sz="8" w:color="auto"/>
            </w:tcBorders>
          </w:tcPr>
          <w:p>
            <w:pPr>
              <w:ind w:left="60"/>
              <w:spacing w:after="0" w:line="78" w:lineRule="exact"/>
              <w:rPr>
                <w:sz w:val="20"/>
                <w:szCs w:val="20"/>
                <w:color w:val="auto"/>
              </w:rPr>
            </w:pPr>
            <w:r>
              <w:rPr>
                <w:rFonts w:ascii="Times New Roman" w:cs="Times New Roman" w:eastAsia="Times New Roman" w:hAnsi="Times New Roman"/>
                <w:sz w:val="8"/>
                <w:szCs w:val="8"/>
                <w:color w:val="auto"/>
              </w:rPr>
              <w:t>The adoption of the new standard did not have a material effect on our</w:t>
            </w:r>
          </w:p>
        </w:tc>
      </w:tr>
      <w:tr>
        <w:trPr>
          <w:trHeight w:val="106"/>
        </w:trPr>
        <w:tc>
          <w:tcPr>
            <w:tcW w:w="3000" w:type="dxa"/>
            <w:vAlign w:val="bottom"/>
            <w:tcBorders>
              <w:left w:val="single" w:sz="8" w:color="auto"/>
              <w:right w:val="single" w:sz="8" w:color="auto"/>
            </w:tcBorders>
          </w:tcPr>
          <w:p>
            <w:pPr>
              <w:ind w:left="80"/>
              <w:spacing w:after="0" w:line="107" w:lineRule="exact"/>
              <w:rPr>
                <w:sz w:val="20"/>
                <w:szCs w:val="20"/>
                <w:color w:val="auto"/>
              </w:rPr>
            </w:pPr>
            <w:r>
              <w:rPr>
                <w:rFonts w:ascii="Times New Roman" w:cs="Times New Roman" w:eastAsia="Times New Roman" w:hAnsi="Times New Roman"/>
                <w:sz w:val="10"/>
                <w:szCs w:val="10"/>
                <w:i w:val="1"/>
                <w:iCs w:val="1"/>
                <w:color w:val="auto"/>
              </w:rPr>
              <w:t>Instruments</w:t>
            </w:r>
            <w:r>
              <w:rPr>
                <w:rFonts w:ascii="Times New Roman" w:cs="Times New Roman" w:eastAsia="Times New Roman" w:hAnsi="Times New Roman"/>
                <w:sz w:val="10"/>
                <w:szCs w:val="10"/>
                <w:color w:val="auto"/>
              </w:rPr>
              <w:t>. This standard requires financial assets measured on an</w:t>
            </w: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ind w:left="60"/>
              <w:spacing w:after="0" w:line="107" w:lineRule="exact"/>
              <w:rPr>
                <w:sz w:val="20"/>
                <w:szCs w:val="20"/>
                <w:color w:val="auto"/>
              </w:rPr>
            </w:pPr>
            <w:r>
              <w:rPr>
                <w:rFonts w:ascii="Times New Roman" w:cs="Times New Roman" w:eastAsia="Times New Roman" w:hAnsi="Times New Roman"/>
                <w:sz w:val="10"/>
                <w:szCs w:val="10"/>
                <w:color w:val="auto"/>
              </w:rPr>
              <w:t>consolidated financial statements.</w:t>
            </w:r>
          </w:p>
        </w:tc>
      </w:tr>
      <w:tr>
        <w:trPr>
          <w:trHeight w:val="104"/>
        </w:trPr>
        <w:tc>
          <w:tcPr>
            <w:tcW w:w="3000" w:type="dxa"/>
            <w:vAlign w:val="bottom"/>
            <w:tcBorders>
              <w:left w:val="single" w:sz="8" w:color="auto"/>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0"/>
                <w:szCs w:val="10"/>
                <w:color w:val="auto"/>
              </w:rPr>
              <w:t>amortized cost basis, including trade receivables, to be presented at</w:t>
            </w: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r>
      <w:tr>
        <w:trPr>
          <w:trHeight w:val="130"/>
        </w:trPr>
        <w:tc>
          <w:tcPr>
            <w:tcW w:w="30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0"/>
                <w:szCs w:val="10"/>
                <w:color w:val="auto"/>
              </w:rPr>
              <w:t>the net amount expected to be collected.</w:t>
            </w:r>
          </w:p>
        </w:tc>
        <w:tc>
          <w:tcPr>
            <w:tcW w:w="2980" w:type="dxa"/>
            <w:vAlign w:val="bottom"/>
            <w:tcBorders>
              <w:right w:val="single" w:sz="8" w:color="auto"/>
            </w:tcBorders>
          </w:tcPr>
          <w:p>
            <w:pPr>
              <w:spacing w:after="0"/>
              <w:rPr>
                <w:sz w:val="11"/>
                <w:szCs w:val="11"/>
                <w:color w:val="auto"/>
              </w:rPr>
            </w:pPr>
          </w:p>
        </w:tc>
        <w:tc>
          <w:tcPr>
            <w:tcW w:w="2980" w:type="dxa"/>
            <w:vAlign w:val="bottom"/>
            <w:tcBorders>
              <w:right w:val="single" w:sz="8" w:color="auto"/>
            </w:tcBorders>
          </w:tcPr>
          <w:p>
            <w:pPr>
              <w:spacing w:after="0"/>
              <w:rPr>
                <w:sz w:val="11"/>
                <w:szCs w:val="11"/>
                <w:color w:val="auto"/>
              </w:rPr>
            </w:pPr>
          </w:p>
        </w:tc>
      </w:tr>
      <w:tr>
        <w:trPr>
          <w:trHeight w:val="141"/>
        </w:trPr>
        <w:tc>
          <w:tcPr>
            <w:tcW w:w="300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r>
      <w:tr>
        <w:trPr>
          <w:trHeight w:val="77"/>
        </w:trPr>
        <w:tc>
          <w:tcPr>
            <w:tcW w:w="3000" w:type="dxa"/>
            <w:vAlign w:val="bottom"/>
            <w:tcBorders>
              <w:left w:val="single" w:sz="8" w:color="auto"/>
              <w:right w:val="single" w:sz="8" w:color="auto"/>
            </w:tcBorders>
          </w:tcPr>
          <w:p>
            <w:pPr>
              <w:ind w:left="80"/>
              <w:spacing w:after="0" w:line="78" w:lineRule="exact"/>
              <w:rPr>
                <w:sz w:val="20"/>
                <w:szCs w:val="20"/>
                <w:color w:val="auto"/>
              </w:rPr>
            </w:pPr>
            <w:r>
              <w:rPr>
                <w:rFonts w:ascii="Times New Roman" w:cs="Times New Roman" w:eastAsia="Times New Roman" w:hAnsi="Times New Roman"/>
                <w:sz w:val="8"/>
                <w:szCs w:val="8"/>
                <w:color w:val="auto"/>
              </w:rPr>
              <w:t xml:space="preserve">ASU 2017-04, </w:t>
            </w:r>
            <w:r>
              <w:rPr>
                <w:rFonts w:ascii="Times New Roman" w:cs="Times New Roman" w:eastAsia="Times New Roman" w:hAnsi="Times New Roman"/>
                <w:sz w:val="8"/>
                <w:szCs w:val="8"/>
                <w:i w:val="1"/>
                <w:iCs w:val="1"/>
                <w:color w:val="auto"/>
              </w:rPr>
              <w:t>Intangibles – Goodwill and Other: Simplifying the Test</w:t>
            </w:r>
          </w:p>
        </w:tc>
        <w:tc>
          <w:tcPr>
            <w:tcW w:w="2980" w:type="dxa"/>
            <w:vAlign w:val="bottom"/>
            <w:tcBorders>
              <w:right w:val="single" w:sz="8" w:color="auto"/>
            </w:tcBorders>
          </w:tcPr>
          <w:p>
            <w:pPr>
              <w:ind w:left="60"/>
              <w:spacing w:after="0" w:line="78" w:lineRule="exact"/>
              <w:rPr>
                <w:sz w:val="20"/>
                <w:szCs w:val="20"/>
                <w:color w:val="auto"/>
              </w:rPr>
            </w:pPr>
            <w:r>
              <w:rPr>
                <w:rFonts w:ascii="Times New Roman" w:cs="Times New Roman" w:eastAsia="Times New Roman" w:hAnsi="Times New Roman"/>
                <w:sz w:val="8"/>
                <w:szCs w:val="8"/>
                <w:color w:val="auto"/>
              </w:rPr>
              <w:t>We adopted the new standard as of January 1, 2020.</w:t>
            </w:r>
          </w:p>
        </w:tc>
        <w:tc>
          <w:tcPr>
            <w:tcW w:w="2980" w:type="dxa"/>
            <w:vAlign w:val="bottom"/>
            <w:tcBorders>
              <w:right w:val="single" w:sz="8" w:color="auto"/>
            </w:tcBorders>
          </w:tcPr>
          <w:p>
            <w:pPr>
              <w:ind w:left="60"/>
              <w:spacing w:after="0" w:line="78" w:lineRule="exact"/>
              <w:rPr>
                <w:sz w:val="20"/>
                <w:szCs w:val="20"/>
                <w:color w:val="auto"/>
              </w:rPr>
            </w:pPr>
            <w:r>
              <w:rPr>
                <w:rFonts w:ascii="Times New Roman" w:cs="Times New Roman" w:eastAsia="Times New Roman" w:hAnsi="Times New Roman"/>
                <w:sz w:val="8"/>
                <w:szCs w:val="8"/>
                <w:color w:val="auto"/>
              </w:rPr>
              <w:t>The adoption of the new standard did not have a material effect on our</w:t>
            </w:r>
          </w:p>
        </w:tc>
      </w:tr>
      <w:tr>
        <w:trPr>
          <w:trHeight w:val="106"/>
        </w:trPr>
        <w:tc>
          <w:tcPr>
            <w:tcW w:w="3000" w:type="dxa"/>
            <w:vAlign w:val="bottom"/>
            <w:tcBorders>
              <w:left w:val="single" w:sz="8" w:color="auto"/>
              <w:right w:val="single" w:sz="8" w:color="auto"/>
            </w:tcBorders>
          </w:tcPr>
          <w:p>
            <w:pPr>
              <w:ind w:left="80"/>
              <w:spacing w:after="0" w:line="107" w:lineRule="exact"/>
              <w:rPr>
                <w:sz w:val="20"/>
                <w:szCs w:val="20"/>
                <w:color w:val="auto"/>
              </w:rPr>
            </w:pPr>
            <w:r>
              <w:rPr>
                <w:rFonts w:ascii="Times New Roman" w:cs="Times New Roman" w:eastAsia="Times New Roman" w:hAnsi="Times New Roman"/>
                <w:sz w:val="10"/>
                <w:szCs w:val="10"/>
                <w:i w:val="1"/>
                <w:iCs w:val="1"/>
                <w:color w:val="auto"/>
              </w:rPr>
              <w:t xml:space="preserve">for Goodwill Impairment. </w:t>
            </w:r>
            <w:r>
              <w:rPr>
                <w:rFonts w:ascii="Times New Roman" w:cs="Times New Roman" w:eastAsia="Times New Roman" w:hAnsi="Times New Roman"/>
                <w:sz w:val="10"/>
                <w:szCs w:val="10"/>
                <w:color w:val="auto"/>
              </w:rPr>
              <w:t>This standard simplifies the accounting for</w:t>
            </w: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ind w:left="60"/>
              <w:spacing w:after="0" w:line="107" w:lineRule="exact"/>
              <w:rPr>
                <w:sz w:val="20"/>
                <w:szCs w:val="20"/>
                <w:color w:val="auto"/>
              </w:rPr>
            </w:pPr>
            <w:r>
              <w:rPr>
                <w:rFonts w:ascii="Times New Roman" w:cs="Times New Roman" w:eastAsia="Times New Roman" w:hAnsi="Times New Roman"/>
                <w:sz w:val="10"/>
                <w:szCs w:val="10"/>
                <w:color w:val="auto"/>
              </w:rPr>
              <w:t>consolidated financial statements.</w:t>
            </w:r>
          </w:p>
        </w:tc>
      </w:tr>
      <w:tr>
        <w:trPr>
          <w:trHeight w:val="104"/>
        </w:trPr>
        <w:tc>
          <w:tcPr>
            <w:tcW w:w="3000" w:type="dxa"/>
            <w:vAlign w:val="bottom"/>
            <w:tcBorders>
              <w:left w:val="single" w:sz="8" w:color="auto"/>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0"/>
                <w:szCs w:val="10"/>
                <w:color w:val="auto"/>
              </w:rPr>
              <w:t>goodwill impairment by eliminating the process of measuring the</w:t>
            </w: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r>
      <w:tr>
        <w:trPr>
          <w:trHeight w:val="104"/>
        </w:trPr>
        <w:tc>
          <w:tcPr>
            <w:tcW w:w="3000" w:type="dxa"/>
            <w:vAlign w:val="bottom"/>
            <w:tcBorders>
              <w:left w:val="single" w:sz="8" w:color="auto"/>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0"/>
                <w:szCs w:val="10"/>
                <w:color w:val="auto"/>
              </w:rPr>
              <w:t>implied value of goodwill, known as step two, from the goodwill</w:t>
            </w: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r>
      <w:tr>
        <w:trPr>
          <w:trHeight w:val="104"/>
        </w:trPr>
        <w:tc>
          <w:tcPr>
            <w:tcW w:w="3000" w:type="dxa"/>
            <w:vAlign w:val="bottom"/>
            <w:tcBorders>
              <w:left w:val="single" w:sz="8" w:color="auto"/>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0"/>
                <w:szCs w:val="10"/>
                <w:color w:val="auto"/>
              </w:rPr>
              <w:t>impairment test. Instead, if the carrying amount of a reporting unit</w:t>
            </w: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r>
      <w:tr>
        <w:trPr>
          <w:trHeight w:val="104"/>
        </w:trPr>
        <w:tc>
          <w:tcPr>
            <w:tcW w:w="3000" w:type="dxa"/>
            <w:vAlign w:val="bottom"/>
            <w:tcBorders>
              <w:left w:val="single" w:sz="8" w:color="auto"/>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0"/>
                <w:szCs w:val="10"/>
                <w:color w:val="auto"/>
              </w:rPr>
              <w:t>exceeds its fair value, an impairment loss shall be recognized in an</w:t>
            </w: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r>
      <w:tr>
        <w:trPr>
          <w:trHeight w:val="104"/>
        </w:trPr>
        <w:tc>
          <w:tcPr>
            <w:tcW w:w="3000" w:type="dxa"/>
            <w:vAlign w:val="bottom"/>
            <w:tcBorders>
              <w:left w:val="single" w:sz="8" w:color="auto"/>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0"/>
                <w:szCs w:val="10"/>
                <w:color w:val="auto"/>
              </w:rPr>
              <w:t>amount equal to that excess, limited to the total amount of goodwill</w:t>
            </w: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r>
      <w:tr>
        <w:trPr>
          <w:trHeight w:val="130"/>
        </w:trPr>
        <w:tc>
          <w:tcPr>
            <w:tcW w:w="30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0"/>
                <w:szCs w:val="10"/>
                <w:color w:val="auto"/>
              </w:rPr>
              <w:t>allocated to that reporting unit.</w:t>
            </w:r>
          </w:p>
        </w:tc>
        <w:tc>
          <w:tcPr>
            <w:tcW w:w="2980" w:type="dxa"/>
            <w:vAlign w:val="bottom"/>
            <w:tcBorders>
              <w:right w:val="single" w:sz="8" w:color="auto"/>
            </w:tcBorders>
          </w:tcPr>
          <w:p>
            <w:pPr>
              <w:spacing w:after="0"/>
              <w:rPr>
                <w:sz w:val="11"/>
                <w:szCs w:val="11"/>
                <w:color w:val="auto"/>
              </w:rPr>
            </w:pPr>
          </w:p>
        </w:tc>
        <w:tc>
          <w:tcPr>
            <w:tcW w:w="2980" w:type="dxa"/>
            <w:vAlign w:val="bottom"/>
            <w:tcBorders>
              <w:right w:val="single" w:sz="8" w:color="auto"/>
            </w:tcBorders>
          </w:tcPr>
          <w:p>
            <w:pPr>
              <w:spacing w:after="0"/>
              <w:rPr>
                <w:sz w:val="11"/>
                <w:szCs w:val="11"/>
                <w:color w:val="auto"/>
              </w:rPr>
            </w:pPr>
          </w:p>
        </w:tc>
      </w:tr>
      <w:tr>
        <w:trPr>
          <w:trHeight w:val="141"/>
        </w:trPr>
        <w:tc>
          <w:tcPr>
            <w:tcW w:w="300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r>
      <w:tr>
        <w:trPr>
          <w:trHeight w:val="77"/>
        </w:trPr>
        <w:tc>
          <w:tcPr>
            <w:tcW w:w="3000" w:type="dxa"/>
            <w:vAlign w:val="bottom"/>
            <w:tcBorders>
              <w:left w:val="single" w:sz="8" w:color="auto"/>
              <w:right w:val="single" w:sz="8" w:color="auto"/>
            </w:tcBorders>
          </w:tcPr>
          <w:p>
            <w:pPr>
              <w:ind w:left="80"/>
              <w:spacing w:after="0" w:line="78" w:lineRule="exact"/>
              <w:rPr>
                <w:sz w:val="20"/>
                <w:szCs w:val="20"/>
                <w:color w:val="auto"/>
              </w:rPr>
            </w:pPr>
            <w:r>
              <w:rPr>
                <w:rFonts w:ascii="Times New Roman" w:cs="Times New Roman" w:eastAsia="Times New Roman" w:hAnsi="Times New Roman"/>
                <w:sz w:val="8"/>
                <w:szCs w:val="8"/>
                <w:color w:val="auto"/>
              </w:rPr>
              <w:t xml:space="preserve">ASU 2020-04, </w:t>
            </w:r>
            <w:r>
              <w:rPr>
                <w:rFonts w:ascii="Times New Roman" w:cs="Times New Roman" w:eastAsia="Times New Roman" w:hAnsi="Times New Roman"/>
                <w:sz w:val="8"/>
                <w:szCs w:val="8"/>
                <w:i w:val="1"/>
                <w:iCs w:val="1"/>
                <w:color w:val="auto"/>
              </w:rPr>
              <w:t>Reference Rate Reform - Facilitation of the Effects of</w:t>
            </w:r>
          </w:p>
        </w:tc>
        <w:tc>
          <w:tcPr>
            <w:tcW w:w="2980" w:type="dxa"/>
            <w:vAlign w:val="bottom"/>
            <w:tcBorders>
              <w:right w:val="single" w:sz="8" w:color="auto"/>
            </w:tcBorders>
          </w:tcPr>
          <w:p>
            <w:pPr>
              <w:ind w:left="60"/>
              <w:spacing w:after="0" w:line="78" w:lineRule="exact"/>
              <w:rPr>
                <w:sz w:val="20"/>
                <w:szCs w:val="20"/>
                <w:color w:val="auto"/>
              </w:rPr>
            </w:pPr>
            <w:r>
              <w:rPr>
                <w:rFonts w:ascii="Times New Roman" w:cs="Times New Roman" w:eastAsia="Times New Roman" w:hAnsi="Times New Roman"/>
                <w:sz w:val="8"/>
                <w:szCs w:val="8"/>
                <w:color w:val="auto"/>
              </w:rPr>
              <w:t>We elected certain optional practical expedients as of January 1, 2020</w:t>
            </w:r>
          </w:p>
        </w:tc>
        <w:tc>
          <w:tcPr>
            <w:tcW w:w="2980" w:type="dxa"/>
            <w:vAlign w:val="bottom"/>
            <w:tcBorders>
              <w:right w:val="single" w:sz="8" w:color="auto"/>
            </w:tcBorders>
          </w:tcPr>
          <w:p>
            <w:pPr>
              <w:ind w:left="60"/>
              <w:spacing w:after="0" w:line="78" w:lineRule="exact"/>
              <w:rPr>
                <w:sz w:val="20"/>
                <w:szCs w:val="20"/>
                <w:color w:val="auto"/>
              </w:rPr>
            </w:pPr>
            <w:r>
              <w:rPr>
                <w:rFonts w:ascii="Times New Roman" w:cs="Times New Roman" w:eastAsia="Times New Roman" w:hAnsi="Times New Roman"/>
                <w:sz w:val="8"/>
                <w:szCs w:val="8"/>
                <w:color w:val="auto"/>
              </w:rPr>
              <w:t>The guidance in ASU 2020-04 is optional and may be elected over</w:t>
            </w:r>
          </w:p>
        </w:tc>
      </w:tr>
      <w:tr>
        <w:trPr>
          <w:trHeight w:val="106"/>
        </w:trPr>
        <w:tc>
          <w:tcPr>
            <w:tcW w:w="3000" w:type="dxa"/>
            <w:vAlign w:val="bottom"/>
            <w:tcBorders>
              <w:left w:val="single" w:sz="8" w:color="auto"/>
              <w:right w:val="single" w:sz="8" w:color="auto"/>
            </w:tcBorders>
          </w:tcPr>
          <w:p>
            <w:pPr>
              <w:ind w:left="80"/>
              <w:spacing w:after="0" w:line="107" w:lineRule="exact"/>
              <w:rPr>
                <w:sz w:val="20"/>
                <w:szCs w:val="20"/>
                <w:color w:val="auto"/>
              </w:rPr>
            </w:pPr>
            <w:r>
              <w:rPr>
                <w:rFonts w:ascii="Times New Roman" w:cs="Times New Roman" w:eastAsia="Times New Roman" w:hAnsi="Times New Roman"/>
                <w:sz w:val="10"/>
                <w:szCs w:val="10"/>
                <w:i w:val="1"/>
                <w:iCs w:val="1"/>
                <w:color w:val="auto"/>
              </w:rPr>
              <w:t>Reference Rate Reform on Financial Reporting</w:t>
            </w:r>
            <w:r>
              <w:rPr>
                <w:rFonts w:ascii="Times New Roman" w:cs="Times New Roman" w:eastAsia="Times New Roman" w:hAnsi="Times New Roman"/>
                <w:sz w:val="10"/>
                <w:szCs w:val="10"/>
                <w:color w:val="auto"/>
              </w:rPr>
              <w:t>. This standard</w:t>
            </w: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ind w:left="60"/>
              <w:spacing w:after="0" w:line="107" w:lineRule="exact"/>
              <w:rPr>
                <w:sz w:val="20"/>
                <w:szCs w:val="20"/>
                <w:color w:val="auto"/>
              </w:rPr>
            </w:pPr>
            <w:r>
              <w:rPr>
                <w:rFonts w:ascii="Times New Roman" w:cs="Times New Roman" w:eastAsia="Times New Roman" w:hAnsi="Times New Roman"/>
                <w:sz w:val="10"/>
                <w:szCs w:val="10"/>
                <w:color w:val="auto"/>
              </w:rPr>
              <w:t>time as reference rate reform activities occur. As of January 1, 2020,</w:t>
            </w:r>
          </w:p>
        </w:tc>
      </w:tr>
      <w:tr>
        <w:trPr>
          <w:trHeight w:val="104"/>
        </w:trPr>
        <w:tc>
          <w:tcPr>
            <w:tcW w:w="3000" w:type="dxa"/>
            <w:vAlign w:val="bottom"/>
            <w:tcBorders>
              <w:left w:val="single" w:sz="8" w:color="auto"/>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0"/>
                <w:szCs w:val="10"/>
                <w:color w:val="auto"/>
              </w:rPr>
              <w:t>contains optional practical expedients and exceptions for applying</w:t>
            </w: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ind w:left="60"/>
              <w:spacing w:after="0" w:line="104" w:lineRule="exact"/>
              <w:rPr>
                <w:sz w:val="20"/>
                <w:szCs w:val="20"/>
                <w:color w:val="auto"/>
              </w:rPr>
            </w:pPr>
            <w:r>
              <w:rPr>
                <w:rFonts w:ascii="Times New Roman" w:cs="Times New Roman" w:eastAsia="Times New Roman" w:hAnsi="Times New Roman"/>
                <w:sz w:val="10"/>
                <w:szCs w:val="10"/>
                <w:color w:val="auto"/>
              </w:rPr>
              <w:t>we have elected to apply the hedge accounting expedients related to</w:t>
            </w:r>
          </w:p>
        </w:tc>
      </w:tr>
      <w:tr>
        <w:trPr>
          <w:trHeight w:val="104"/>
        </w:trPr>
        <w:tc>
          <w:tcPr>
            <w:tcW w:w="3000" w:type="dxa"/>
            <w:vAlign w:val="bottom"/>
            <w:tcBorders>
              <w:left w:val="single" w:sz="8" w:color="auto"/>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0"/>
                <w:szCs w:val="10"/>
                <w:color w:val="auto"/>
              </w:rPr>
              <w:t>Generally Accepted Accounting Principles (“GAAP”) to contracts,</w:t>
            </w: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ind w:left="60"/>
              <w:spacing w:after="0" w:line="104" w:lineRule="exact"/>
              <w:rPr>
                <w:sz w:val="20"/>
                <w:szCs w:val="20"/>
                <w:color w:val="auto"/>
              </w:rPr>
            </w:pPr>
            <w:r>
              <w:rPr>
                <w:rFonts w:ascii="Times New Roman" w:cs="Times New Roman" w:eastAsia="Times New Roman" w:hAnsi="Times New Roman"/>
                <w:sz w:val="10"/>
                <w:szCs w:val="10"/>
                <w:color w:val="auto"/>
              </w:rPr>
              <w:t>probability and the assessments of effectiveness for future LIBOR-</w:t>
            </w:r>
          </w:p>
        </w:tc>
      </w:tr>
      <w:tr>
        <w:trPr>
          <w:trHeight w:val="104"/>
        </w:trPr>
        <w:tc>
          <w:tcPr>
            <w:tcW w:w="3000" w:type="dxa"/>
            <w:vAlign w:val="bottom"/>
            <w:tcBorders>
              <w:left w:val="single" w:sz="8" w:color="auto"/>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0"/>
                <w:szCs w:val="10"/>
                <w:color w:val="auto"/>
              </w:rPr>
              <w:t>hedging relations, and other transactions affected by reference rate</w:t>
            </w: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ind w:left="60"/>
              <w:spacing w:after="0" w:line="104" w:lineRule="exact"/>
              <w:rPr>
                <w:sz w:val="20"/>
                <w:szCs w:val="20"/>
                <w:color w:val="auto"/>
              </w:rPr>
            </w:pPr>
            <w:r>
              <w:rPr>
                <w:rFonts w:ascii="Times New Roman" w:cs="Times New Roman" w:eastAsia="Times New Roman" w:hAnsi="Times New Roman"/>
                <w:sz w:val="10"/>
                <w:szCs w:val="10"/>
                <w:color w:val="auto"/>
              </w:rPr>
              <w:t>indexed cash flows to assume that the index upon which future</w:t>
            </w:r>
          </w:p>
        </w:tc>
      </w:tr>
      <w:tr>
        <w:trPr>
          <w:trHeight w:val="104"/>
        </w:trPr>
        <w:tc>
          <w:tcPr>
            <w:tcW w:w="3000" w:type="dxa"/>
            <w:vAlign w:val="bottom"/>
            <w:tcBorders>
              <w:left w:val="single" w:sz="8" w:color="auto"/>
              <w:right w:val="single" w:sz="8" w:color="auto"/>
            </w:tcBorders>
          </w:tcPr>
          <w:p>
            <w:pPr>
              <w:ind w:left="80"/>
              <w:spacing w:after="0" w:line="104" w:lineRule="exact"/>
              <w:rPr>
                <w:sz w:val="20"/>
                <w:szCs w:val="20"/>
                <w:color w:val="auto"/>
              </w:rPr>
            </w:pPr>
            <w:r>
              <w:rPr>
                <w:rFonts w:ascii="Times New Roman" w:cs="Times New Roman" w:eastAsia="Times New Roman" w:hAnsi="Times New Roman"/>
                <w:sz w:val="10"/>
                <w:szCs w:val="10"/>
                <w:color w:val="auto"/>
              </w:rPr>
              <w:t>reform if certain criteria are met.</w:t>
            </w: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ind w:left="60"/>
              <w:spacing w:after="0" w:line="104" w:lineRule="exact"/>
              <w:rPr>
                <w:sz w:val="20"/>
                <w:szCs w:val="20"/>
                <w:color w:val="auto"/>
              </w:rPr>
            </w:pPr>
            <w:r>
              <w:rPr>
                <w:rFonts w:ascii="Times New Roman" w:cs="Times New Roman" w:eastAsia="Times New Roman" w:hAnsi="Times New Roman"/>
                <w:sz w:val="10"/>
                <w:szCs w:val="10"/>
                <w:color w:val="auto"/>
              </w:rPr>
              <w:t>hedged transactions will be based matches the index on the</w:t>
            </w:r>
          </w:p>
        </w:tc>
      </w:tr>
      <w:tr>
        <w:trPr>
          <w:trHeight w:val="104"/>
        </w:trPr>
        <w:tc>
          <w:tcPr>
            <w:tcW w:w="3000" w:type="dxa"/>
            <w:vAlign w:val="bottom"/>
            <w:tcBorders>
              <w:left w:val="single" w:sz="8" w:color="auto"/>
              <w:righ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ind w:left="60"/>
              <w:spacing w:after="0" w:line="104" w:lineRule="exact"/>
              <w:rPr>
                <w:sz w:val="20"/>
                <w:szCs w:val="20"/>
                <w:color w:val="auto"/>
              </w:rPr>
            </w:pPr>
            <w:r>
              <w:rPr>
                <w:rFonts w:ascii="Times New Roman" w:cs="Times New Roman" w:eastAsia="Times New Roman" w:hAnsi="Times New Roman"/>
                <w:sz w:val="10"/>
                <w:szCs w:val="10"/>
                <w:color w:val="auto"/>
              </w:rPr>
              <w:t>corresponding derivatives. Application of these expedients preserves</w:t>
            </w:r>
          </w:p>
        </w:tc>
      </w:tr>
      <w:tr>
        <w:trPr>
          <w:trHeight w:val="104"/>
        </w:trPr>
        <w:tc>
          <w:tcPr>
            <w:tcW w:w="3000" w:type="dxa"/>
            <w:vAlign w:val="bottom"/>
            <w:tcBorders>
              <w:left w:val="single" w:sz="8" w:color="auto"/>
              <w:righ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ind w:left="60"/>
              <w:spacing w:after="0" w:line="104" w:lineRule="exact"/>
              <w:rPr>
                <w:sz w:val="20"/>
                <w:szCs w:val="20"/>
                <w:color w:val="auto"/>
              </w:rPr>
            </w:pPr>
            <w:r>
              <w:rPr>
                <w:rFonts w:ascii="Times New Roman" w:cs="Times New Roman" w:eastAsia="Times New Roman" w:hAnsi="Times New Roman"/>
                <w:sz w:val="10"/>
                <w:szCs w:val="10"/>
                <w:color w:val="auto"/>
              </w:rPr>
              <w:t>the presentation of derivatives consistent with past presentation. We</w:t>
            </w:r>
          </w:p>
        </w:tc>
      </w:tr>
      <w:tr>
        <w:trPr>
          <w:trHeight w:val="104"/>
        </w:trPr>
        <w:tc>
          <w:tcPr>
            <w:tcW w:w="3000" w:type="dxa"/>
            <w:vAlign w:val="bottom"/>
            <w:tcBorders>
              <w:left w:val="single" w:sz="8" w:color="auto"/>
              <w:righ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c>
          <w:tcPr>
            <w:tcW w:w="2980" w:type="dxa"/>
            <w:vAlign w:val="bottom"/>
            <w:tcBorders>
              <w:right w:val="single" w:sz="8" w:color="auto"/>
            </w:tcBorders>
          </w:tcPr>
          <w:p>
            <w:pPr>
              <w:ind w:left="60"/>
              <w:spacing w:after="0" w:line="104" w:lineRule="exact"/>
              <w:rPr>
                <w:sz w:val="20"/>
                <w:szCs w:val="20"/>
                <w:color w:val="auto"/>
              </w:rPr>
            </w:pPr>
            <w:r>
              <w:rPr>
                <w:rFonts w:ascii="Times New Roman" w:cs="Times New Roman" w:eastAsia="Times New Roman" w:hAnsi="Times New Roman"/>
                <w:sz w:val="10"/>
                <w:szCs w:val="10"/>
                <w:color w:val="auto"/>
              </w:rPr>
              <w:t>continue to evaluate the impact of the guidance and may apply other</w:t>
            </w:r>
          </w:p>
        </w:tc>
      </w:tr>
      <w:tr>
        <w:trPr>
          <w:trHeight w:val="130"/>
        </w:trPr>
        <w:tc>
          <w:tcPr>
            <w:tcW w:w="3000" w:type="dxa"/>
            <w:vAlign w:val="bottom"/>
            <w:tcBorders>
              <w:left w:val="single" w:sz="8" w:color="auto"/>
              <w:right w:val="single" w:sz="8" w:color="auto"/>
            </w:tcBorders>
          </w:tcPr>
          <w:p>
            <w:pPr>
              <w:spacing w:after="0"/>
              <w:rPr>
                <w:sz w:val="11"/>
                <w:szCs w:val="11"/>
                <w:color w:val="auto"/>
              </w:rPr>
            </w:pPr>
          </w:p>
        </w:tc>
        <w:tc>
          <w:tcPr>
            <w:tcW w:w="2980" w:type="dxa"/>
            <w:vAlign w:val="bottom"/>
            <w:tcBorders>
              <w:right w:val="single" w:sz="8" w:color="auto"/>
            </w:tcBorders>
          </w:tcPr>
          <w:p>
            <w:pPr>
              <w:spacing w:after="0"/>
              <w:rPr>
                <w:sz w:val="11"/>
                <w:szCs w:val="11"/>
                <w:color w:val="auto"/>
              </w:rPr>
            </w:pPr>
          </w:p>
        </w:tc>
        <w:tc>
          <w:tcPr>
            <w:tcW w:w="2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elections as applicable as additional changes in the market occur.</w:t>
            </w:r>
          </w:p>
        </w:tc>
      </w:tr>
      <w:tr>
        <w:trPr>
          <w:trHeight w:val="141"/>
        </w:trPr>
        <w:tc>
          <w:tcPr>
            <w:tcW w:w="300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r>
    </w:tbl>
    <w:p>
      <w:pPr>
        <w:spacing w:after="0" w:line="291" w:lineRule="exact"/>
        <w:rPr>
          <w:sz w:val="20"/>
          <w:szCs w:val="20"/>
          <w:color w:val="auto"/>
        </w:rPr>
      </w:pPr>
    </w:p>
    <w:p>
      <w:pPr>
        <w:ind w:left="20" w:right="199" w:firstLine="228"/>
        <w:spacing w:after="0" w:line="268" w:lineRule="auto"/>
        <w:rPr>
          <w:sz w:val="20"/>
          <w:szCs w:val="20"/>
          <w:color w:val="auto"/>
        </w:rPr>
      </w:pPr>
      <w:r>
        <w:rPr>
          <w:rFonts w:ascii="Times New Roman" w:cs="Times New Roman" w:eastAsia="Times New Roman" w:hAnsi="Times New Roman"/>
          <w:sz w:val="13"/>
          <w:szCs w:val="13"/>
          <w:color w:val="auto"/>
        </w:rPr>
        <w:t>We determined that all other recently issued accounting pronouncements that have yet to be adopted by the Company will not have a material impact on our consolidated financial statements or do not apply to our operations.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(bb) Reclassification</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We have reclassified certain items in the December 31, 2019 consolidated balance sheet to conform to the current year presentation.</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45" w:name="page146"/>
    <w:bookmarkEnd w:id="14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60" w:right="6479" w:hanging="235"/>
        <w:spacing w:after="0" w:line="489" w:lineRule="auto"/>
        <w:tabs>
          <w:tab w:leader="none" w:pos="159" w:val="left"/>
        </w:tabs>
        <w:numPr>
          <w:ilvl w:val="0"/>
          <w:numId w:val="6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Business Combinations and Deconsolidation </w:t>
      </w:r>
      <w:r>
        <w:rPr>
          <w:rFonts w:ascii="Times New Roman" w:cs="Times New Roman" w:eastAsia="Times New Roman" w:hAnsi="Times New Roman"/>
          <w:sz w:val="13"/>
          <w:szCs w:val="13"/>
          <w:b w:val="1"/>
          <w:bCs w:val="1"/>
          <w:i w:val="1"/>
          <w:iCs w:val="1"/>
          <w:color w:val="auto"/>
        </w:rPr>
        <w:t>Interxion Combination</w:t>
      </w:r>
    </w:p>
    <w:p>
      <w:pPr>
        <w:ind w:left="20" w:right="639" w:firstLine="228"/>
        <w:spacing w:after="0" w:line="268" w:lineRule="auto"/>
        <w:rPr>
          <w:sz w:val="20"/>
          <w:szCs w:val="20"/>
          <w:color w:val="auto"/>
        </w:rPr>
      </w:pPr>
      <w:r>
        <w:rPr>
          <w:rFonts w:ascii="Times New Roman" w:cs="Times New Roman" w:eastAsia="Times New Roman" w:hAnsi="Times New Roman"/>
          <w:sz w:val="13"/>
          <w:szCs w:val="13"/>
          <w:color w:val="auto"/>
        </w:rPr>
        <w:t>We obtained control of Interxion on March 9, 2020 and completed the Interxion Combination on March 12, 2020 for total equity consideration of approximately $7.0 billion, including approximately $108.5 million of assumed cash and cash equivalents.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following table summarizes the acquired assets and liabilities recorded at their fair values as of the acquisition date (in thousands):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32"/>
        </w:trPr>
        <w:tc>
          <w:tcPr>
            <w:tcW w:w="7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378"/>
              <w:spacing w:after="0"/>
              <w:rPr>
                <w:sz w:val="20"/>
                <w:szCs w:val="20"/>
                <w:color w:val="auto"/>
              </w:rPr>
            </w:pPr>
            <w:r>
              <w:rPr>
                <w:rFonts w:ascii="Times New Roman" w:cs="Times New Roman" w:eastAsia="Times New Roman" w:hAnsi="Times New Roman"/>
                <w:sz w:val="10"/>
                <w:szCs w:val="10"/>
                <w:b w:val="1"/>
                <w:bCs w:val="1"/>
                <w:color w:val="auto"/>
              </w:rPr>
              <w:t>Final</w:t>
            </w:r>
          </w:p>
        </w:tc>
      </w:tr>
      <w:tr>
        <w:trPr>
          <w:trHeight w:val="141"/>
        </w:trPr>
        <w:tc>
          <w:tcPr>
            <w:tcW w:w="77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0"/>
                <w:szCs w:val="10"/>
                <w:b w:val="1"/>
                <w:bCs w:val="1"/>
                <w:color w:val="auto"/>
              </w:rPr>
              <w:t>Amounts</w:t>
            </w:r>
          </w:p>
        </w:tc>
      </w:tr>
      <w:tr>
        <w:trPr>
          <w:trHeight w:val="141"/>
        </w:trPr>
        <w:tc>
          <w:tcPr>
            <w:tcW w:w="7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Land</w:t>
            </w: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190,970</w:t>
            </w:r>
          </w:p>
        </w:tc>
      </w:tr>
      <w:tr>
        <w:trPr>
          <w:trHeight w:val="152"/>
        </w:trPr>
        <w:tc>
          <w:tcPr>
            <w:tcW w:w="7740" w:type="dxa"/>
            <w:vAlign w:val="bottom"/>
          </w:tcPr>
          <w:p>
            <w:pPr>
              <w:spacing w:after="0"/>
              <w:rPr>
                <w:sz w:val="20"/>
                <w:szCs w:val="20"/>
                <w:color w:val="auto"/>
              </w:rPr>
            </w:pPr>
            <w:r>
              <w:rPr>
                <w:rFonts w:ascii="Times New Roman" w:cs="Times New Roman" w:eastAsia="Times New Roman" w:hAnsi="Times New Roman"/>
                <w:sz w:val="13"/>
                <w:szCs w:val="13"/>
                <w:color w:val="auto"/>
              </w:rPr>
              <w:t>Build and improvements</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3,166,988</w:t>
            </w:r>
          </w:p>
        </w:tc>
      </w:tr>
      <w:tr>
        <w:trPr>
          <w:trHeight w:val="152"/>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Construction in progress and space held for development</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397,825</w:t>
            </w:r>
          </w:p>
        </w:tc>
      </w:tr>
      <w:tr>
        <w:trPr>
          <w:trHeight w:val="152"/>
        </w:trPr>
        <w:tc>
          <w:tcPr>
            <w:tcW w:w="774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553,987</w:t>
            </w:r>
          </w:p>
        </w:tc>
      </w:tr>
      <w:tr>
        <w:trPr>
          <w:trHeight w:val="152"/>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4,338,711</w:t>
            </w:r>
          </w:p>
        </w:tc>
      </w:tr>
      <w:tr>
        <w:trPr>
          <w:trHeight w:val="152"/>
        </w:trPr>
        <w:tc>
          <w:tcPr>
            <w:tcW w:w="774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 xml:space="preserve">Customer relationship value and other intangibles </w:t>
            </w:r>
            <w:r>
              <w:rPr>
                <w:rFonts w:ascii="Times New Roman" w:cs="Times New Roman" w:eastAsia="Times New Roman" w:hAnsi="Times New Roman"/>
                <w:sz w:val="17"/>
                <w:szCs w:val="17"/>
                <w:color w:val="auto"/>
                <w:vertAlign w:val="superscript"/>
              </w:rPr>
              <w:t>(1)</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1,052,811</w:t>
            </w:r>
          </w:p>
        </w:tc>
      </w:tr>
      <w:tr>
        <w:trPr>
          <w:trHeight w:val="152"/>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Debt assumed</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(1,662,276)</w:t>
            </w:r>
          </w:p>
        </w:tc>
      </w:tr>
      <w:tr>
        <w:trPr>
          <w:trHeight w:val="152"/>
        </w:trPr>
        <w:tc>
          <w:tcPr>
            <w:tcW w:w="7740" w:type="dxa"/>
            <w:vAlign w:val="bottom"/>
          </w:tcPr>
          <w:p>
            <w:pPr>
              <w:spacing w:after="0"/>
              <w:rPr>
                <w:sz w:val="20"/>
                <w:szCs w:val="20"/>
                <w:color w:val="auto"/>
              </w:rPr>
            </w:pPr>
            <w:r>
              <w:rPr>
                <w:rFonts w:ascii="Times New Roman" w:cs="Times New Roman" w:eastAsia="Times New Roman" w:hAnsi="Times New Roman"/>
                <w:sz w:val="13"/>
                <w:szCs w:val="13"/>
                <w:color w:val="auto"/>
              </w:rPr>
              <w:t>Finance lease obligations</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(47,797)</w:t>
            </w:r>
          </w:p>
        </w:tc>
      </w:tr>
      <w:tr>
        <w:trPr>
          <w:trHeight w:val="152"/>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(553,987)</w:t>
            </w:r>
          </w:p>
        </w:tc>
      </w:tr>
      <w:tr>
        <w:trPr>
          <w:trHeight w:val="152"/>
        </w:trPr>
        <w:tc>
          <w:tcPr>
            <w:tcW w:w="774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liability, net</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(535,990)</w:t>
            </w:r>
          </w:p>
        </w:tc>
      </w:tr>
      <w:tr>
        <w:trPr>
          <w:trHeight w:val="152"/>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Working capital liabilities, net</w:t>
            </w: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(24,738)</w:t>
            </w:r>
          </w:p>
        </w:tc>
      </w:tr>
      <w:tr>
        <w:trPr>
          <w:trHeight w:val="141"/>
        </w:trPr>
        <w:tc>
          <w:tcPr>
            <w:tcW w:w="7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auto"/>
              </w:rPr>
              <w:t>Total purchase consideration</w:t>
            </w:r>
          </w:p>
        </w:tc>
        <w:tc>
          <w:tcPr>
            <w:tcW w:w="220" w:type="dxa"/>
            <w:vAlign w:val="bottom"/>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6,876,504</w:t>
            </w:r>
          </w:p>
        </w:tc>
      </w:tr>
      <w:tr>
        <w:trPr>
          <w:trHeight w:val="152"/>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Assumed cash and cash equivalents</w:t>
            </w: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108,548</w:t>
            </w:r>
          </w:p>
        </w:tc>
      </w:tr>
      <w:tr>
        <w:trPr>
          <w:trHeight w:val="150"/>
        </w:trPr>
        <w:tc>
          <w:tcPr>
            <w:tcW w:w="7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auto"/>
              </w:rPr>
              <w:t>Total equity consideration</w:t>
            </w: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6,985,052</w:t>
            </w:r>
          </w:p>
        </w:tc>
      </w:tr>
    </w:tbl>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 The weighted average amortization life for customer relationship value is 20 years.</w:t>
      </w:r>
    </w:p>
    <w:p>
      <w:pPr>
        <w:spacing w:after="0" w:line="164" w:lineRule="exact"/>
        <w:rPr>
          <w:sz w:val="20"/>
          <w:szCs w:val="20"/>
          <w:color w:val="auto"/>
        </w:rPr>
      </w:pPr>
    </w:p>
    <w:p>
      <w:pPr>
        <w:ind w:left="20" w:right="139" w:firstLine="228"/>
        <w:spacing w:after="0" w:line="249" w:lineRule="auto"/>
        <w:rPr>
          <w:sz w:val="20"/>
          <w:szCs w:val="20"/>
          <w:color w:val="auto"/>
        </w:rPr>
      </w:pPr>
      <w:r>
        <w:rPr>
          <w:rFonts w:ascii="Times New Roman" w:cs="Times New Roman" w:eastAsia="Times New Roman" w:hAnsi="Times New Roman"/>
          <w:sz w:val="13"/>
          <w:szCs w:val="13"/>
          <w:color w:val="auto"/>
        </w:rPr>
        <w:t>Goodwill represents the excess of the purchase price over the fair value of net tangible and intangible assets acquired and tangible and intangible liabilities assumed in the acquisition. As shown above, we recorded approximately $4.3 billion of goodwill related to the Interxion Combination. The goodwill is not expected to be deductible for local tax purposes. The strategic benefits of the acquisition include the Company’s ability to continue its strategy to provide solutions on a global basis with a diversified product offering of data center solutions for both small and large footprint deployments as well as interconnection services. These factors contributed to the goodwill that was recorded upon consummation of the transaction.</w:t>
      </w:r>
    </w:p>
    <w:p>
      <w:pPr>
        <w:spacing w:after="0" w:line="136" w:lineRule="exact"/>
        <w:rPr>
          <w:sz w:val="20"/>
          <w:szCs w:val="20"/>
          <w:color w:val="auto"/>
        </w:rPr>
      </w:pPr>
    </w:p>
    <w:p>
      <w:pPr>
        <w:ind w:left="20" w:right="59" w:firstLine="228"/>
        <w:spacing w:after="0" w:line="252" w:lineRule="auto"/>
        <w:rPr>
          <w:sz w:val="20"/>
          <w:szCs w:val="20"/>
          <w:color w:val="auto"/>
        </w:rPr>
      </w:pPr>
      <w:r>
        <w:rPr>
          <w:rFonts w:ascii="Times New Roman" w:cs="Times New Roman" w:eastAsia="Times New Roman" w:hAnsi="Times New Roman"/>
          <w:sz w:val="13"/>
          <w:szCs w:val="13"/>
          <w:color w:val="auto"/>
        </w:rPr>
        <w:t>The unaudited pro forma financial information set forth below is based on our historical consolidated income statements for the years ended December 31, 2020 and 2019, adjusted to give effect to the Interxion Combination as if it occurred on January 1, 2019. The pro forma adjustments primarily relate to merger expenses, depreciation expense on acquired buildings and improvements, amortization of acquired intangibles, and estimated interest expense related to financing transactions, the proceeds of which were used to fund the repayment of Interxion debt in connection with the Interxion Combination.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46" w:name="page147"/>
    <w:bookmarkEnd w:id="14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120" w:type="dxa"/>
            <w:vAlign w:val="bottom"/>
          </w:tcPr>
          <w:p>
            <w:pPr>
              <w:spacing w:after="0"/>
              <w:rPr>
                <w:sz w:val="10"/>
                <w:szCs w:val="10"/>
                <w:color w:val="auto"/>
              </w:rPr>
            </w:pP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Pro forma (unaudited, in thousands)</w:t>
            </w:r>
          </w:p>
        </w:tc>
        <w:tc>
          <w:tcPr>
            <w:tcW w:w="0" w:type="dxa"/>
            <w:vAlign w:val="bottom"/>
          </w:tcPr>
          <w:p>
            <w:pPr>
              <w:spacing w:after="0"/>
              <w:rPr>
                <w:sz w:val="1"/>
                <w:szCs w:val="1"/>
                <w:color w:val="auto"/>
              </w:rPr>
            </w:pPr>
          </w:p>
        </w:tc>
      </w:tr>
      <w:tr>
        <w:trPr>
          <w:trHeight w:val="121"/>
        </w:trPr>
        <w:tc>
          <w:tcPr>
            <w:tcW w:w="61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i w:val="1"/>
                <w:iCs w:val="1"/>
                <w:color w:val="auto"/>
              </w:rPr>
              <w:t>Digital Realty Trust, Inc.</w:t>
            </w:r>
          </w:p>
        </w:tc>
        <w:tc>
          <w:tcPr>
            <w:tcW w:w="80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3"/>
          </w:tcPr>
          <w:p>
            <w:pPr>
              <w:jc w:val="center"/>
              <w:ind w:right="769"/>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0" w:type="dxa"/>
            <w:vAlign w:val="bottom"/>
          </w:tcPr>
          <w:p>
            <w:pPr>
              <w:spacing w:after="0"/>
              <w:rPr>
                <w:sz w:val="1"/>
                <w:szCs w:val="1"/>
                <w:color w:val="auto"/>
              </w:rPr>
            </w:pPr>
          </w:p>
        </w:tc>
      </w:tr>
      <w:tr>
        <w:trPr>
          <w:trHeight w:val="94"/>
        </w:trPr>
        <w:tc>
          <w:tcPr>
            <w:tcW w:w="6120" w:type="dxa"/>
            <w:vAlign w:val="bottom"/>
            <w:vMerge w:val="continue"/>
          </w:tcPr>
          <w:p>
            <w:pPr>
              <w:spacing w:after="0"/>
              <w:rPr>
                <w:sz w:val="8"/>
                <w:szCs w:val="8"/>
                <w:color w:val="auto"/>
              </w:rPr>
            </w:pPr>
          </w:p>
        </w:tc>
        <w:tc>
          <w:tcPr>
            <w:tcW w:w="800" w:type="dxa"/>
            <w:vAlign w:val="bottom"/>
            <w:tcBorders>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Borders>
              <w:bottom w:val="single" w:sz="8" w:color="auto"/>
            </w:tcBorders>
          </w:tcPr>
          <w:p>
            <w:pPr>
              <w:jc w:val="right"/>
              <w:ind w:right="509"/>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-5080</wp:posOffset>
            </wp:positionV>
            <wp:extent cx="5683885" cy="1022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83885" cy="10223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33"/>
        </w:trPr>
        <w:tc>
          <w:tcPr>
            <w:tcW w:w="43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Total revenue</w:t>
            </w:r>
          </w:p>
        </w:tc>
        <w:tc>
          <w:tcPr>
            <w:tcW w:w="2100" w:type="dxa"/>
            <w:vAlign w:val="bottom"/>
          </w:tcPr>
          <w:p>
            <w:pPr>
              <w:jc w:val="right"/>
              <w:ind w:right="157"/>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82"/>
              <w:spacing w:after="0" w:line="133" w:lineRule="exact"/>
              <w:rPr>
                <w:sz w:val="20"/>
                <w:szCs w:val="20"/>
                <w:color w:val="auto"/>
              </w:rPr>
            </w:pPr>
            <w:r>
              <w:rPr>
                <w:rFonts w:ascii="Times New Roman" w:cs="Times New Roman" w:eastAsia="Times New Roman" w:hAnsi="Times New Roman"/>
                <w:sz w:val="13"/>
                <w:szCs w:val="13"/>
                <w:color w:val="auto"/>
              </w:rPr>
              <w:t>4,051,608</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3,758,054</w:t>
            </w:r>
          </w:p>
        </w:tc>
      </w:tr>
      <w:tr>
        <w:trPr>
          <w:trHeight w:val="249"/>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Net income available to common stockholders </w:t>
            </w:r>
            <w:r>
              <w:rPr>
                <w:rFonts w:ascii="Times New Roman" w:cs="Times New Roman" w:eastAsia="Times New Roman" w:hAnsi="Times New Roman"/>
                <w:sz w:val="18"/>
                <w:szCs w:val="18"/>
                <w:color w:val="auto"/>
                <w:vertAlign w:val="superscript"/>
              </w:rPr>
              <w:t>(1)</w:t>
            </w:r>
          </w:p>
        </w:tc>
        <w:tc>
          <w:tcPr>
            <w:tcW w:w="21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auto"/>
              </w:rPr>
              <w:t>323,889</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267,600</w:t>
            </w:r>
          </w:p>
        </w:tc>
      </w:tr>
      <w:tr>
        <w:trPr>
          <w:trHeight w:val="426"/>
        </w:trPr>
        <w:tc>
          <w:tcPr>
            <w:tcW w:w="4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right"/>
              <w:ind w:right="319"/>
              <w:spacing w:after="0"/>
              <w:rPr>
                <w:sz w:val="20"/>
                <w:szCs w:val="20"/>
                <w:color w:val="auto"/>
              </w:rPr>
            </w:pPr>
            <w:r>
              <w:rPr>
                <w:rFonts w:ascii="Times New Roman" w:cs="Times New Roman" w:eastAsia="Times New Roman" w:hAnsi="Times New Roman"/>
                <w:sz w:val="10"/>
                <w:szCs w:val="10"/>
                <w:b w:val="1"/>
                <w:bCs w:val="1"/>
                <w:color w:val="auto"/>
              </w:rPr>
              <w:t>Pro forma (unaudited, in thousands)</w:t>
            </w:r>
          </w:p>
        </w:tc>
      </w:tr>
      <w:tr>
        <w:trPr>
          <w:trHeight w:val="121"/>
        </w:trPr>
        <w:tc>
          <w:tcPr>
            <w:tcW w:w="4320" w:type="dxa"/>
            <w:vAlign w:val="bottom"/>
            <w:tcBorders>
              <w:bottom w:val="single" w:sz="8" w:color="CCEEFF"/>
            </w:tcBorders>
          </w:tcPr>
          <w:p>
            <w:pPr>
              <w:spacing w:after="0"/>
              <w:rPr>
                <w:sz w:val="10"/>
                <w:szCs w:val="10"/>
                <w:color w:val="auto"/>
              </w:rPr>
            </w:pPr>
          </w:p>
        </w:tc>
        <w:tc>
          <w:tcPr>
            <w:tcW w:w="210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5"/>
          </w:tcPr>
          <w:p>
            <w:pPr>
              <w:jc w:val="right"/>
              <w:ind w:right="559"/>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r>
      <w:tr>
        <w:trPr>
          <w:trHeight w:val="94"/>
        </w:trPr>
        <w:tc>
          <w:tcPr>
            <w:tcW w:w="4320" w:type="dxa"/>
            <w:vAlign w:val="bottom"/>
            <w:tcBorders>
              <w:bottom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b w:val="1"/>
                <w:bCs w:val="1"/>
                <w:i w:val="1"/>
                <w:iCs w:val="1"/>
                <w:color w:val="auto"/>
              </w:rPr>
              <w:t>Digital Realty Trust, L.P.</w:t>
            </w:r>
          </w:p>
        </w:tc>
        <w:tc>
          <w:tcPr>
            <w:tcW w:w="2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jc w:val="right"/>
              <w:ind w:right="342"/>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jc w:val="right"/>
              <w:ind w:right="379"/>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r>
      <w:tr>
        <w:trPr>
          <w:trHeight w:val="141"/>
        </w:trPr>
        <w:tc>
          <w:tcPr>
            <w:tcW w:w="43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Total revenue</w:t>
            </w: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4,051,608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3,758,054</w:t>
            </w:r>
          </w:p>
        </w:tc>
      </w:tr>
      <w:tr>
        <w:trPr>
          <w:trHeight w:val="249"/>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Net income available to common unitholders </w:t>
            </w:r>
            <w:r>
              <w:rPr>
                <w:rFonts w:ascii="Times New Roman" w:cs="Times New Roman" w:eastAsia="Times New Roman" w:hAnsi="Times New Roman"/>
                <w:sz w:val="18"/>
                <w:szCs w:val="18"/>
                <w:color w:val="auto"/>
                <w:vertAlign w:val="superscript"/>
              </w:rPr>
              <w:t>(1)</w:t>
            </w:r>
          </w:p>
        </w:tc>
        <w:tc>
          <w:tcPr>
            <w:tcW w:w="2100" w:type="dxa"/>
            <w:vAlign w:val="bottom"/>
          </w:tcPr>
          <w:p>
            <w:pPr>
              <w:spacing w:after="0"/>
              <w:rPr>
                <w:sz w:val="21"/>
                <w:szCs w:val="21"/>
                <w:color w:val="auto"/>
              </w:rPr>
            </w:pPr>
          </w:p>
        </w:tc>
        <w:tc>
          <w:tcPr>
            <w:tcW w:w="36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333,389</w:t>
            </w:r>
          </w:p>
        </w:tc>
        <w:tc>
          <w:tcPr>
            <w:tcW w:w="480" w:type="dxa"/>
            <w:vAlign w:val="bottom"/>
            <w:gridSpan w:val="3"/>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-13335</wp:posOffset>
            </wp:positionV>
            <wp:extent cx="1422400" cy="120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22400" cy="12065"/>
                    </a:xfrm>
                    <a:prstGeom prst="rect">
                      <a:avLst/>
                    </a:prstGeom>
                    <a:noFill/>
                  </pic:spPr>
                </pic:pic>
              </a:graphicData>
            </a:graphic>
          </wp:anchor>
        </w:drawing>
      </w:r>
    </w:p>
    <w:p>
      <w:pPr>
        <w:spacing w:after="0" w:line="21" w:lineRule="exact"/>
        <w:rPr>
          <w:sz w:val="20"/>
          <w:szCs w:val="20"/>
          <w:color w:val="auto"/>
        </w:rPr>
      </w:pPr>
    </w:p>
    <w:p>
      <w:pPr>
        <w:ind w:left="260" w:right="279" w:hanging="235"/>
        <w:spacing w:after="0" w:line="268" w:lineRule="auto"/>
        <w:tabs>
          <w:tab w:leader="none" w:pos="2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 forma net income available to common stockholders/unitholders was adjusted to exclude $65.7 million of merger-related costs incurred by the Company during the year ended December 31, 2020 and to include these charges for the year ended December 31, 2019.</w:t>
      </w:r>
    </w:p>
    <w:p>
      <w:pPr>
        <w:spacing w:after="0" w:line="122" w:lineRule="exact"/>
        <w:rPr>
          <w:sz w:val="20"/>
          <w:szCs w:val="20"/>
          <w:color w:val="auto"/>
        </w:rPr>
      </w:pPr>
    </w:p>
    <w:p>
      <w:pPr>
        <w:ind w:left="20" w:right="359" w:firstLine="228"/>
        <w:spacing w:after="0" w:line="268" w:lineRule="auto"/>
        <w:rPr>
          <w:sz w:val="20"/>
          <w:szCs w:val="20"/>
          <w:color w:val="auto"/>
        </w:rPr>
      </w:pPr>
      <w:r>
        <w:rPr>
          <w:rFonts w:ascii="Times New Roman" w:cs="Times New Roman" w:eastAsia="Times New Roman" w:hAnsi="Times New Roman"/>
          <w:sz w:val="13"/>
          <w:szCs w:val="13"/>
          <w:color w:val="auto"/>
        </w:rPr>
        <w:t>Revenues of approximately $691.4 million and net income of approximately $59.4 million associated with the Interxion Combination are included in the consolidated income statement for the year ended December 31, 2020.</w:t>
      </w:r>
    </w:p>
    <w:p>
      <w:pPr>
        <w:spacing w:after="0" w:line="122" w:lineRule="exact"/>
        <w:rPr>
          <w:sz w:val="20"/>
          <w:szCs w:val="20"/>
          <w:color w:val="auto"/>
        </w:rPr>
      </w:pPr>
    </w:p>
    <w:p>
      <w:pPr>
        <w:ind w:left="20" w:right="179" w:firstLine="228"/>
        <w:spacing w:after="0" w:line="268" w:lineRule="auto"/>
        <w:rPr>
          <w:sz w:val="20"/>
          <w:szCs w:val="20"/>
          <w:color w:val="auto"/>
        </w:rPr>
      </w:pPr>
      <w:r>
        <w:rPr>
          <w:rFonts w:ascii="Times New Roman" w:cs="Times New Roman" w:eastAsia="Times New Roman" w:hAnsi="Times New Roman"/>
          <w:sz w:val="13"/>
          <w:szCs w:val="13"/>
          <w:color w:val="auto"/>
        </w:rPr>
        <w:t>In addition to Interxion, we acquired controlling interests in Icolo, Altus IT, and Lamda Hellix in 2020. These business combinations were immaterial to our consolidated financial statements – both individually and in the aggregate.</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Ascenty Deconsolidation</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On March 29, 2019, we formed a joint venture with Brookfield Infrastructure, an affiliate of Brookfield Asset Management. Brookfield invested</w:t>
      </w:r>
    </w:p>
    <w:p>
      <w:pPr>
        <w:spacing w:after="0" w:line="15" w:lineRule="exact"/>
        <w:rPr>
          <w:sz w:val="20"/>
          <w:szCs w:val="20"/>
          <w:color w:val="auto"/>
        </w:rPr>
      </w:pPr>
    </w:p>
    <w:p>
      <w:pPr>
        <w:ind w:left="20" w:right="39"/>
        <w:spacing w:after="0" w:line="244" w:lineRule="auto"/>
        <w:rPr>
          <w:sz w:val="20"/>
          <w:szCs w:val="20"/>
          <w:color w:val="auto"/>
        </w:rPr>
      </w:pPr>
      <w:r>
        <w:rPr>
          <w:rFonts w:ascii="Times New Roman" w:cs="Times New Roman" w:eastAsia="Times New Roman" w:hAnsi="Times New Roman"/>
          <w:sz w:val="13"/>
          <w:szCs w:val="13"/>
          <w:color w:val="auto"/>
        </w:rPr>
        <w:t>approximately $702 million in exchange for approximately 49% of the total equity interests and a subsidiary of the Operating Partnership retained the remaining 51% equity interests (including an approximate 2% ownership interest held by a non-controlling interest in our entity that holds the investment in the Ascenty joint venture) in the joint venture which owns and operates Ascenty. The governing documents related to the Ascenty joint venture provide Brookfield and the Company share power to direct the activities of the Ascenty joint venture that most significantly impact the Ascenty joint venture's economic performance. As a result of the formation of the joint venture, the Company determined that the joint venture is a variable interest entity (VIE) since the Ascenty joint venture's equity investment at risk is not sufficient to finance the Ascenty joint venture's ongoing data center development activities without additional subordinated financial support. The Company concluded that it is not the primary beneficiary because power is shared and it does not have substantive kick-out rights to obtain control and deconsolidated Ascenty. We recognized a gain of approximately $67.5 million (net of the accumulated foreign currency translation loss related to Ascenty) on the deconsolidation and subsequent recognition of our subsidiary's 51% equity investment in the Ascenty joint venture at its estimated fair value of $727 million on March 29, 2019. The fair value of the Company’s retained equity investment is based on Level 2 measurements within the fair value hierarchy based on the cash price paid by Brookfield for their 49% interest. The gain was calculated based on the: (i) the sum of the cash proceeds of $702 million received from Brookfield for its 49% interest and the estimated fair value of $727 million for our 51% retained interest less (ii) the carrying value of the Ascenty assets and liabilities deconsolidated as of March 29, 2019. The gain related to the remeasurement of the Company's retained equity interests to fair value was approximately $43.7 million. The reported gain of $67.5 million was net of a foreign currency translation loss of approximately $21.7 million previously included in accumulated other comprehensive loss, net, which accumulated during the period the Company consolidated Ascenty and translated the Brazilian real, Ascenty's functional currency,</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47" w:name="page148"/>
    <w:bookmarkEnd w:id="14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79"/>
        <w:spacing w:after="0" w:line="249" w:lineRule="auto"/>
        <w:rPr>
          <w:sz w:val="20"/>
          <w:szCs w:val="20"/>
          <w:color w:val="auto"/>
        </w:rPr>
      </w:pPr>
      <w:r>
        <w:rPr>
          <w:rFonts w:ascii="Times New Roman" w:cs="Times New Roman" w:eastAsia="Times New Roman" w:hAnsi="Times New Roman"/>
          <w:sz w:val="13"/>
          <w:szCs w:val="13"/>
          <w:color w:val="auto"/>
        </w:rPr>
        <w:t xml:space="preserve">into the Company's functional currency. The Company has no other subsidiaries or businesses with the Brazilian real as its functional currency and, therefore, the deconsolidation of Ascenty resulted in the reclassification out of accumulated other comprehensive loss into a component of income from continuing operations in the 2019 consolidated income statement. The Ascenty deconsolidation did not meet the criteria to be presented as a discontinued operation in accordance with ASC 205-20, </w:t>
      </w:r>
      <w:r>
        <w:rPr>
          <w:rFonts w:ascii="Times New Roman" w:cs="Times New Roman" w:eastAsia="Times New Roman" w:hAnsi="Times New Roman"/>
          <w:sz w:val="13"/>
          <w:szCs w:val="13"/>
          <w:i w:val="1"/>
          <w:iCs w:val="1"/>
          <w:color w:val="auto"/>
        </w:rPr>
        <w:t>Presentation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of Financial Statements Discontinued Operations, </w:t>
      </w:r>
      <w:r>
        <w:rPr>
          <w:rFonts w:ascii="Times New Roman" w:cs="Times New Roman" w:eastAsia="Times New Roman" w:hAnsi="Times New Roman"/>
          <w:sz w:val="13"/>
          <w:szCs w:val="13"/>
          <w:color w:val="auto"/>
        </w:rPr>
        <w:t>because the deconsolidation of Ascenty does not represent a strategic shift in and does not have a major effect on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Company's operations, as defined by ASC 205-20.</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4. Leases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Lessee accounting</w:t>
      </w:r>
    </w:p>
    <w:p>
      <w:pPr>
        <w:spacing w:after="0" w:line="156" w:lineRule="exact"/>
        <w:rPr>
          <w:sz w:val="20"/>
          <w:szCs w:val="20"/>
          <w:color w:val="auto"/>
        </w:rPr>
      </w:pPr>
    </w:p>
    <w:p>
      <w:pPr>
        <w:ind w:left="20" w:right="99" w:firstLine="228"/>
        <w:spacing w:after="0" w:line="248" w:lineRule="auto"/>
        <w:rPr>
          <w:sz w:val="20"/>
          <w:szCs w:val="20"/>
          <w:color w:val="auto"/>
        </w:rPr>
      </w:pPr>
      <w:r>
        <w:rPr>
          <w:rFonts w:ascii="Times New Roman" w:cs="Times New Roman" w:eastAsia="Times New Roman" w:hAnsi="Times New Roman"/>
          <w:sz w:val="13"/>
          <w:szCs w:val="13"/>
          <w:color w:val="auto"/>
        </w:rPr>
        <w:t>We lease space at certain of our data centers from third parties and certain equipment under noncancelable lease agreements. Leases for our data centers expire at various dates through 2069. As of December 31, 2020, certain of our data centers, primarily in Europe and Singapore, are subject to ground leases. As of December 31, 2020, the termination dates of these ground leases range from 2041 to 2981. In addition, our corporate headquarters along with several regional office locations are subject to leases with termination dates ranging from 2021 to 2028. The leases generally require us to make fixed rental payments that increase at defined intervals during the term of the lease plus pay our share of common area, real estate and utility expenses as incurred. The leases neither contain residual value guarantees nor impose material restrictions or covenants on us. Further, the leases have been classified and accounted for as either operating or finance leases.</w:t>
      </w:r>
    </w:p>
    <w:p>
      <w:pPr>
        <w:spacing w:after="0" w:line="136" w:lineRule="exact"/>
        <w:rPr>
          <w:sz w:val="20"/>
          <w:szCs w:val="20"/>
          <w:color w:val="auto"/>
        </w:rPr>
      </w:pPr>
    </w:p>
    <w:p>
      <w:pPr>
        <w:ind w:left="20" w:right="59" w:firstLine="228"/>
        <w:spacing w:after="0" w:line="310" w:lineRule="auto"/>
        <w:rPr>
          <w:sz w:val="20"/>
          <w:szCs w:val="20"/>
          <w:color w:val="auto"/>
        </w:rPr>
      </w:pPr>
      <w:r>
        <w:rPr>
          <w:rFonts w:ascii="Times New Roman" w:cs="Times New Roman" w:eastAsia="Times New Roman" w:hAnsi="Times New Roman"/>
          <w:sz w:val="12"/>
          <w:szCs w:val="12"/>
          <w:color w:val="auto"/>
        </w:rPr>
        <w:t>In July 2020, we acquired the freehold to the land under the Hanauer Landstraße campus in Frankfurt along with leasehold agreements to nine of our data centers within the campus (see Note 5) and, as a result, the leases were terminated and right-of-use assets and related lease liabilities of approximately $24.7 million were written off.</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48" w:name="page149"/>
    <w:bookmarkEnd w:id="14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Supplemental balance sheet information related to leases as of December 31, 2020 and 2019 was as follows (in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Balance Sheet</w:t>
            </w:r>
          </w:p>
        </w:tc>
        <w:tc>
          <w:tcPr>
            <w:tcW w:w="140" w:type="dxa"/>
            <w:vAlign w:val="bottom"/>
          </w:tcPr>
          <w:p>
            <w:pPr>
              <w:spacing w:after="0"/>
              <w:rPr>
                <w:sz w:val="11"/>
                <w:szCs w:val="11"/>
                <w:color w:val="auto"/>
              </w:rPr>
            </w:pPr>
          </w:p>
        </w:tc>
        <w:tc>
          <w:tcPr>
            <w:tcW w:w="2540" w:type="dxa"/>
            <w:vAlign w:val="bottom"/>
            <w:gridSpan w:val="4"/>
          </w:tcPr>
          <w:p>
            <w:pPr>
              <w:jc w:val="right"/>
              <w:ind w:right="986"/>
              <w:spacing w:after="0"/>
              <w:rPr>
                <w:sz w:val="20"/>
                <w:szCs w:val="20"/>
                <w:color w:val="auto"/>
              </w:rPr>
            </w:pPr>
            <w:r>
              <w:rPr>
                <w:rFonts w:ascii="Times New Roman" w:cs="Times New Roman" w:eastAsia="Times New Roman" w:hAnsi="Times New Roman"/>
                <w:sz w:val="11"/>
                <w:szCs w:val="11"/>
                <w:b w:val="1"/>
                <w:bCs w:val="1"/>
                <w:color w:val="auto"/>
              </w:rPr>
              <w:t>Balance as of</w:t>
            </w:r>
          </w:p>
        </w:tc>
      </w:tr>
      <w:tr>
        <w:trPr>
          <w:trHeight w:val="129"/>
        </w:trPr>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Classification</w:t>
            </w:r>
          </w:p>
        </w:tc>
        <w:tc>
          <w:tcPr>
            <w:tcW w:w="1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2020</w:t>
            </w:r>
          </w:p>
        </w:tc>
        <w:tc>
          <w:tcPr>
            <w:tcW w:w="140" w:type="dxa"/>
            <w:vAlign w:val="bottom"/>
          </w:tcPr>
          <w:p>
            <w:pPr>
              <w:spacing w:after="0"/>
              <w:rPr>
                <w:sz w:val="11"/>
                <w:szCs w:val="11"/>
                <w:color w:val="auto"/>
              </w:rPr>
            </w:pPr>
          </w:p>
        </w:tc>
        <w:tc>
          <w:tcPr>
            <w:tcW w:w="11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December 31, 2019</w:t>
            </w:r>
          </w:p>
        </w:tc>
      </w:tr>
      <w:tr>
        <w:trPr>
          <w:trHeight w:val="94"/>
        </w:trPr>
        <w:tc>
          <w:tcPr>
            <w:tcW w:w="3420" w:type="dxa"/>
            <w:vAlign w:val="bottom"/>
            <w:tcBorders>
              <w:top w:val="single" w:sz="8" w:color="CCEEFF"/>
            </w:tcBorders>
            <w:gridSpan w:val="3"/>
            <w:shd w:val="clear" w:color="auto" w:fill="CCEEFF"/>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Assets:</w:t>
            </w:r>
          </w:p>
        </w:tc>
        <w:tc>
          <w:tcPr>
            <w:tcW w:w="27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1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140" w:type="dxa"/>
            <w:vAlign w:val="bottom"/>
            <w:tcBorders>
              <w:top w:val="single" w:sz="8" w:color="auto"/>
            </w:tcBorders>
            <w:shd w:val="clear" w:color="auto" w:fill="CCEEFF"/>
          </w:tcPr>
          <w:p>
            <w:pPr>
              <w:spacing w:after="0"/>
              <w:rPr>
                <w:sz w:val="8"/>
                <w:szCs w:val="8"/>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r>
      <w:tr>
        <w:trPr>
          <w:trHeight w:val="103"/>
        </w:trPr>
        <w:tc>
          <w:tcPr>
            <w:tcW w:w="3420" w:type="dxa"/>
            <w:vAlign w:val="bottom"/>
            <w:gridSpan w:val="3"/>
          </w:tcPr>
          <w:p>
            <w:pPr>
              <w:spacing w:after="0" w:line="104" w:lineRule="exact"/>
              <w:rPr>
                <w:sz w:val="20"/>
                <w:szCs w:val="20"/>
                <w:color w:val="auto"/>
              </w:rPr>
            </w:pPr>
            <w:r>
              <w:rPr>
                <w:rFonts w:ascii="Times New Roman" w:cs="Times New Roman" w:eastAsia="Times New Roman" w:hAnsi="Times New Roman"/>
                <w:sz w:val="11"/>
                <w:szCs w:val="11"/>
                <w:color w:val="auto"/>
              </w:rPr>
              <w:t>Operating lease assets</w:t>
            </w:r>
          </w:p>
        </w:tc>
        <w:tc>
          <w:tcPr>
            <w:tcW w:w="2860" w:type="dxa"/>
            <w:vAlign w:val="bottom"/>
            <w:gridSpan w:val="2"/>
          </w:tcPr>
          <w:p>
            <w:pPr>
              <w:jc w:val="center"/>
              <w:ind w:right="120"/>
              <w:spacing w:after="0" w:line="104" w:lineRule="exact"/>
              <w:rPr>
                <w:sz w:val="20"/>
                <w:szCs w:val="20"/>
                <w:color w:val="auto"/>
              </w:rPr>
            </w:pPr>
            <w:r>
              <w:rPr>
                <w:rFonts w:ascii="Times New Roman" w:cs="Times New Roman" w:eastAsia="Times New Roman" w:hAnsi="Times New Roman"/>
                <w:sz w:val="8"/>
                <w:szCs w:val="8"/>
                <w:color w:val="auto"/>
              </w:rPr>
              <w:t xml:space="preserve">Operating lease right-of-use assets, net </w:t>
            </w:r>
            <w:r>
              <w:rPr>
                <w:rFonts w:ascii="Times New Roman" w:cs="Times New Roman" w:eastAsia="Times New Roman" w:hAnsi="Times New Roman"/>
                <w:sz w:val="11"/>
                <w:szCs w:val="11"/>
                <w:color w:val="auto"/>
                <w:vertAlign w:val="superscript"/>
              </w:rPr>
              <w:t>(1)</w:t>
            </w:r>
          </w:p>
        </w:tc>
        <w:tc>
          <w:tcPr>
            <w:tcW w:w="140" w:type="dxa"/>
            <w:vAlign w:val="bottom"/>
          </w:tcPr>
          <w:p>
            <w:pPr>
              <w:jc w:val="right"/>
              <w:ind w:right="2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1,386,959</w:t>
            </w:r>
          </w:p>
        </w:tc>
        <w:tc>
          <w:tcPr>
            <w:tcW w:w="120" w:type="dxa"/>
            <w:vAlign w:val="bottom"/>
          </w:tcPr>
          <w:p>
            <w:pPr>
              <w:spacing w:after="0"/>
              <w:rPr>
                <w:sz w:val="8"/>
                <w:szCs w:val="8"/>
                <w:color w:val="auto"/>
              </w:rPr>
            </w:pPr>
          </w:p>
        </w:tc>
        <w:tc>
          <w:tcPr>
            <w:tcW w:w="140" w:type="dxa"/>
            <w:vAlign w:val="bottom"/>
          </w:tcPr>
          <w:p>
            <w:pPr>
              <w:jc w:val="right"/>
              <w:ind w:right="2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628,681</w:t>
            </w:r>
          </w:p>
        </w:tc>
      </w:tr>
      <w:tr>
        <w:trPr>
          <w:trHeight w:val="114"/>
        </w:trPr>
        <w:tc>
          <w:tcPr>
            <w:tcW w:w="3420" w:type="dxa"/>
            <w:vAlign w:val="bottom"/>
            <w:gridSpan w:val="3"/>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Finance lease assets</w:t>
            </w:r>
          </w:p>
        </w:tc>
        <w:tc>
          <w:tcPr>
            <w:tcW w:w="286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9"/>
                <w:szCs w:val="9"/>
                <w:color w:val="auto"/>
              </w:rPr>
              <w:t xml:space="preserve">Buildings and improvements, net </w:t>
            </w:r>
            <w:r>
              <w:rPr>
                <w:rFonts w:ascii="Times New Roman" w:cs="Times New Roman" w:eastAsia="Times New Roman" w:hAnsi="Times New Roman"/>
                <w:sz w:val="13"/>
                <w:szCs w:val="13"/>
                <w:color w:val="auto"/>
                <w:vertAlign w:val="superscript"/>
              </w:rPr>
              <w:t>(2)</w:t>
            </w:r>
          </w:p>
        </w:tc>
        <w:tc>
          <w:tcPr>
            <w:tcW w:w="140" w:type="dxa"/>
            <w:vAlign w:val="bottom"/>
            <w:tcBorders>
              <w:bottom w:val="single" w:sz="8" w:color="auto"/>
            </w:tcBorders>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181,753</w:t>
            </w:r>
          </w:p>
        </w:tc>
        <w:tc>
          <w:tcPr>
            <w:tcW w:w="12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131,072</w:t>
            </w:r>
          </w:p>
        </w:tc>
      </w:tr>
      <w:tr>
        <w:trPr>
          <w:trHeight w:val="112"/>
        </w:trPr>
        <w:tc>
          <w:tcPr>
            <w:tcW w:w="3420" w:type="dxa"/>
            <w:vAlign w:val="bottom"/>
            <w:tcBorders>
              <w:bottom w:val="single" w:sz="8" w:color="CCEEFF"/>
            </w:tcBorders>
            <w:gridSpan w:val="3"/>
          </w:tcPr>
          <w:p>
            <w:pPr>
              <w:ind w:left="80"/>
              <w:spacing w:after="0" w:line="104" w:lineRule="exact"/>
              <w:rPr>
                <w:sz w:val="20"/>
                <w:szCs w:val="20"/>
                <w:color w:val="auto"/>
              </w:rPr>
            </w:pPr>
            <w:r>
              <w:rPr>
                <w:rFonts w:ascii="Times New Roman" w:cs="Times New Roman" w:eastAsia="Times New Roman" w:hAnsi="Times New Roman"/>
                <w:sz w:val="11"/>
                <w:szCs w:val="11"/>
                <w:color w:val="auto"/>
              </w:rPr>
              <w:t>Total leased assets</w:t>
            </w:r>
          </w:p>
        </w:tc>
        <w:tc>
          <w:tcPr>
            <w:tcW w:w="27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jc w:val="right"/>
              <w:ind w:right="2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1,568,712</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jc w:val="right"/>
              <w:ind w:right="2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1"/>
                <w:szCs w:val="11"/>
                <w:color w:val="auto"/>
              </w:rPr>
              <w:t>759,753</w:t>
            </w:r>
          </w:p>
        </w:tc>
      </w:tr>
      <w:tr>
        <w:trPr>
          <w:trHeight w:val="114"/>
        </w:trPr>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920" w:type="dxa"/>
            <w:vAlign w:val="bottom"/>
            <w:shd w:val="clear" w:color="auto" w:fill="CCEEFF"/>
          </w:tcPr>
          <w:p>
            <w:pPr>
              <w:spacing w:after="0"/>
              <w:rPr>
                <w:sz w:val="9"/>
                <w:szCs w:val="9"/>
                <w:color w:val="auto"/>
              </w:rPr>
            </w:pPr>
          </w:p>
        </w:tc>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104"/>
        </w:trPr>
        <w:tc>
          <w:tcPr>
            <w:tcW w:w="3420" w:type="dxa"/>
            <w:vAlign w:val="bottom"/>
            <w:gridSpan w:val="3"/>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03"/>
        </w:trPr>
        <w:tc>
          <w:tcPr>
            <w:tcW w:w="3420" w:type="dxa"/>
            <w:vAlign w:val="bottom"/>
            <w:gridSpan w:val="3"/>
            <w:shd w:val="clear" w:color="auto" w:fill="CCEEFF"/>
          </w:tcPr>
          <w:p>
            <w:pPr>
              <w:spacing w:after="0" w:line="104" w:lineRule="exact"/>
              <w:rPr>
                <w:sz w:val="20"/>
                <w:szCs w:val="20"/>
                <w:color w:val="auto"/>
              </w:rPr>
            </w:pPr>
            <w:r>
              <w:rPr>
                <w:rFonts w:ascii="Times New Roman" w:cs="Times New Roman" w:eastAsia="Times New Roman" w:hAnsi="Times New Roman"/>
                <w:sz w:val="11"/>
                <w:szCs w:val="11"/>
                <w:color w:val="auto"/>
              </w:rPr>
              <w:t>Operating lease liabilities</w:t>
            </w:r>
          </w:p>
        </w:tc>
        <w:tc>
          <w:tcPr>
            <w:tcW w:w="2860" w:type="dxa"/>
            <w:vAlign w:val="bottom"/>
            <w:gridSpan w:val="2"/>
            <w:shd w:val="clear" w:color="auto" w:fill="CCEEFF"/>
          </w:tcPr>
          <w:p>
            <w:pPr>
              <w:jc w:val="center"/>
              <w:ind w:right="120"/>
              <w:spacing w:after="0" w:line="104" w:lineRule="exact"/>
              <w:rPr>
                <w:sz w:val="20"/>
                <w:szCs w:val="20"/>
                <w:color w:val="auto"/>
              </w:rPr>
            </w:pPr>
            <w:r>
              <w:rPr>
                <w:rFonts w:ascii="Times New Roman" w:cs="Times New Roman" w:eastAsia="Times New Roman" w:hAnsi="Times New Roman"/>
                <w:sz w:val="11"/>
                <w:szCs w:val="11"/>
                <w:color w:val="auto"/>
                <w:w w:val="97"/>
              </w:rPr>
              <w:t>Operating lease liabilities</w:t>
            </w:r>
          </w:p>
        </w:tc>
        <w:tc>
          <w:tcPr>
            <w:tcW w:w="140" w:type="dxa"/>
            <w:vAlign w:val="bottom"/>
            <w:shd w:val="clear" w:color="auto" w:fill="CCEEFF"/>
          </w:tcPr>
          <w:p>
            <w:pPr>
              <w:jc w:val="right"/>
              <w:ind w:right="2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1,468,712</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2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693,539</w:t>
            </w:r>
          </w:p>
        </w:tc>
      </w:tr>
      <w:tr>
        <w:trPr>
          <w:trHeight w:val="114"/>
        </w:trPr>
        <w:tc>
          <w:tcPr>
            <w:tcW w:w="3420" w:type="dxa"/>
            <w:vAlign w:val="bottom"/>
            <w:tcBorders>
              <w:bottom w:val="single" w:sz="8" w:color="CCEEFF"/>
            </w:tcBorders>
            <w:gridSpan w:val="3"/>
          </w:tcPr>
          <w:p>
            <w:pPr>
              <w:spacing w:after="0" w:line="114" w:lineRule="exact"/>
              <w:rPr>
                <w:sz w:val="20"/>
                <w:szCs w:val="20"/>
                <w:color w:val="auto"/>
              </w:rPr>
            </w:pPr>
            <w:r>
              <w:rPr>
                <w:rFonts w:ascii="Times New Roman" w:cs="Times New Roman" w:eastAsia="Times New Roman" w:hAnsi="Times New Roman"/>
                <w:sz w:val="11"/>
                <w:szCs w:val="11"/>
                <w:color w:val="auto"/>
              </w:rPr>
              <w:t>Finance lease liabilities</w:t>
            </w:r>
          </w:p>
        </w:tc>
        <w:tc>
          <w:tcPr>
            <w:tcW w:w="2860" w:type="dxa"/>
            <w:vAlign w:val="bottom"/>
            <w:tcBorders>
              <w:bottom w:val="single" w:sz="8" w:color="CCEEFF"/>
            </w:tcBorders>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w w:val="97"/>
              </w:rPr>
              <w:t>Accounts payable and other accrued liabilities</w:t>
            </w: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233,350</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178,086</w:t>
            </w:r>
          </w:p>
        </w:tc>
      </w:tr>
      <w:tr>
        <w:trPr>
          <w:trHeight w:val="112"/>
        </w:trPr>
        <w:tc>
          <w:tcPr>
            <w:tcW w:w="3420" w:type="dxa"/>
            <w:vAlign w:val="bottom"/>
            <w:tcBorders>
              <w:bottom w:val="single" w:sz="8" w:color="CCEEFF"/>
            </w:tcBorders>
            <w:gridSpan w:val="3"/>
            <w:shd w:val="clear" w:color="auto" w:fill="CCEEFF"/>
          </w:tcPr>
          <w:p>
            <w:pPr>
              <w:ind w:left="80"/>
              <w:spacing w:after="0" w:line="104" w:lineRule="exact"/>
              <w:rPr>
                <w:sz w:val="20"/>
                <w:szCs w:val="20"/>
                <w:color w:val="auto"/>
              </w:rPr>
            </w:pPr>
            <w:r>
              <w:rPr>
                <w:rFonts w:ascii="Times New Roman" w:cs="Times New Roman" w:eastAsia="Times New Roman" w:hAnsi="Times New Roman"/>
                <w:sz w:val="11"/>
                <w:szCs w:val="11"/>
                <w:color w:val="auto"/>
              </w:rPr>
              <w:t>Total lease liabilities</w:t>
            </w:r>
          </w:p>
        </w:tc>
        <w:tc>
          <w:tcPr>
            <w:tcW w:w="27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jc w:val="right"/>
              <w:ind w:right="2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1,702,062</w:t>
            </w:r>
          </w:p>
        </w:tc>
        <w:tc>
          <w:tcPr>
            <w:tcW w:w="1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jc w:val="right"/>
              <w:ind w:right="26"/>
              <w:spacing w:after="0" w:line="104"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1"/>
                <w:szCs w:val="11"/>
                <w:color w:val="auto"/>
              </w:rPr>
              <w:t>871,625</w:t>
            </w:r>
          </w:p>
        </w:tc>
      </w:tr>
    </w:tbl>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_________________________</w:t>
      </w:r>
    </w:p>
    <w:p>
      <w:pPr>
        <w:spacing w:after="0" w:line="17" w:lineRule="exact"/>
        <w:rPr>
          <w:sz w:val="20"/>
          <w:szCs w:val="20"/>
          <w:color w:val="auto"/>
        </w:rPr>
      </w:pPr>
    </w:p>
    <w:p>
      <w:pPr>
        <w:ind w:left="260" w:hanging="235"/>
        <w:spacing w:after="0"/>
        <w:tabs>
          <w:tab w:leader="none" w:pos="26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accumulated depreciation and amortization of $148.4 million and $51.7 million as of December 31, 2020 and 2019, respectively.</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accumulated depreciation and amortization of $12.5 million and $4.9 million as of December 31, 2020 and 2019, respectively.</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components of lease expense for the years ended December 31, 2020 and 2019 were as follows (in thousands):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Lease cost</w:t>
            </w:r>
          </w:p>
        </w:tc>
        <w:tc>
          <w:tcPr>
            <w:tcW w:w="24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Income Statement Classification</w:t>
            </w:r>
          </w:p>
        </w:tc>
        <w:tc>
          <w:tcPr>
            <w:tcW w:w="1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740" w:type="dxa"/>
            <w:vAlign w:val="bottom"/>
            <w:gridSpan w:val="2"/>
            <w:vMerge w:val="continue"/>
          </w:tcPr>
          <w:p>
            <w:pPr>
              <w:spacing w:after="0"/>
              <w:rPr>
                <w:sz w:val="8"/>
                <w:szCs w:val="8"/>
                <w:color w:val="auto"/>
              </w:rPr>
            </w:pPr>
          </w:p>
        </w:tc>
        <w:tc>
          <w:tcPr>
            <w:tcW w:w="2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gridSpan w:val="2"/>
          </w:tcPr>
          <w:p>
            <w:pPr>
              <w:ind w:left="80"/>
              <w:spacing w:after="0" w:line="94" w:lineRule="exact"/>
              <w:rPr>
                <w:sz w:val="20"/>
                <w:szCs w:val="20"/>
                <w:color w:val="auto"/>
              </w:rPr>
            </w:pPr>
            <w:r>
              <w:rPr>
                <w:rFonts w:ascii="Times New Roman" w:cs="Times New Roman" w:eastAsia="Times New Roman" w:hAnsi="Times New Roman"/>
                <w:sz w:val="10"/>
                <w:szCs w:val="10"/>
                <w:b w:val="1"/>
                <w:bCs w:val="1"/>
                <w:color w:val="auto"/>
              </w:rPr>
              <w:t>December 31, 2020</w:t>
            </w:r>
          </w:p>
        </w:tc>
        <w:tc>
          <w:tcPr>
            <w:tcW w:w="220" w:type="dxa"/>
            <w:vAlign w:val="bottom"/>
          </w:tcPr>
          <w:p>
            <w:pPr>
              <w:spacing w:after="0"/>
              <w:rPr>
                <w:sz w:val="8"/>
                <w:szCs w:val="8"/>
                <w:color w:val="auto"/>
              </w:rPr>
            </w:pPr>
          </w:p>
        </w:tc>
        <w:tc>
          <w:tcPr>
            <w:tcW w:w="1100" w:type="dxa"/>
            <w:vAlign w:val="bottom"/>
          </w:tcPr>
          <w:p>
            <w:pPr>
              <w:jc w:val="right"/>
              <w:ind w:right="199"/>
              <w:spacing w:after="0" w:line="94" w:lineRule="exact"/>
              <w:rPr>
                <w:sz w:val="20"/>
                <w:szCs w:val="20"/>
                <w:color w:val="auto"/>
              </w:rPr>
            </w:pPr>
            <w:r>
              <w:rPr>
                <w:rFonts w:ascii="Times New Roman" w:cs="Times New Roman" w:eastAsia="Times New Roman" w:hAnsi="Times New Roman"/>
                <w:sz w:val="10"/>
                <w:szCs w:val="10"/>
                <w:b w:val="1"/>
                <w:bCs w:val="1"/>
                <w:color w:val="auto"/>
              </w:rPr>
              <w:t>December 31, 2019</w:t>
            </w:r>
          </w:p>
        </w:tc>
        <w:tc>
          <w:tcPr>
            <w:tcW w:w="0" w:type="dxa"/>
            <w:vAlign w:val="bottom"/>
          </w:tcPr>
          <w:p>
            <w:pPr>
              <w:spacing w:after="0"/>
              <w:rPr>
                <w:sz w:val="1"/>
                <w:szCs w:val="1"/>
                <w:color w:val="auto"/>
              </w:rPr>
            </w:pPr>
          </w:p>
        </w:tc>
      </w:tr>
      <w:tr>
        <w:trPr>
          <w:trHeight w:val="141"/>
        </w:trPr>
        <w:tc>
          <w:tcPr>
            <w:tcW w:w="3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Finance lease cost:</w:t>
            </w:r>
          </w:p>
        </w:tc>
        <w:tc>
          <w:tcPr>
            <w:tcW w:w="2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Amortization of right-of-use assets</w:t>
            </w:r>
          </w:p>
        </w:tc>
        <w:tc>
          <w:tcPr>
            <w:tcW w:w="2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6"/>
              </w:rPr>
              <w:t>Depreciation and amortization</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7,222</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5,074</w:t>
            </w:r>
          </w:p>
        </w:tc>
        <w:tc>
          <w:tcPr>
            <w:tcW w:w="0" w:type="dxa"/>
            <w:vAlign w:val="bottom"/>
          </w:tcPr>
          <w:p>
            <w:pPr>
              <w:spacing w:after="0"/>
              <w:rPr>
                <w:sz w:val="1"/>
                <w:szCs w:val="1"/>
                <w:color w:val="auto"/>
              </w:rPr>
            </w:pPr>
          </w:p>
        </w:tc>
      </w:tr>
      <w:tr>
        <w:trPr>
          <w:trHeight w:val="152"/>
        </w:trPr>
        <w:tc>
          <w:tcPr>
            <w:tcW w:w="37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Interest on lease liabilities</w:t>
            </w:r>
          </w:p>
        </w:tc>
        <w:tc>
          <w:tcPr>
            <w:tcW w:w="24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5"/>
              </w:rPr>
              <w:t>Interest expense</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6,044</w:t>
            </w:r>
          </w:p>
        </w:tc>
        <w:tc>
          <w:tcPr>
            <w:tcW w:w="0" w:type="dxa"/>
            <w:vAlign w:val="bottom"/>
          </w:tcPr>
          <w:p>
            <w:pPr>
              <w:spacing w:after="0"/>
              <w:rPr>
                <w:sz w:val="1"/>
                <w:szCs w:val="1"/>
                <w:color w:val="auto"/>
              </w:rPr>
            </w:pPr>
          </w:p>
        </w:tc>
      </w:tr>
      <w:tr>
        <w:trPr>
          <w:trHeight w:val="139"/>
        </w:trPr>
        <w:tc>
          <w:tcPr>
            <w:tcW w:w="3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180"/>
              <w:spacing w:after="0" w:line="139" w:lineRule="exact"/>
              <w:rPr>
                <w:sz w:val="20"/>
                <w:szCs w:val="20"/>
                <w:color w:val="auto"/>
              </w:rPr>
            </w:pPr>
            <w:r>
              <w:rPr>
                <w:rFonts w:ascii="Times New Roman" w:cs="Times New Roman" w:eastAsia="Times New Roman" w:hAnsi="Times New Roman"/>
                <w:sz w:val="13"/>
                <w:szCs w:val="13"/>
                <w:color w:val="auto"/>
                <w:w w:val="97"/>
              </w:rPr>
              <w:t>Rental property operating and maintenance</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cost</w:t>
            </w:r>
          </w:p>
        </w:tc>
        <w:tc>
          <w:tcPr>
            <w:tcW w:w="2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7"/>
              </w:rPr>
              <w:t>/ General and administrative</w:t>
            </w: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129,399</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90,980</w:t>
            </w:r>
          </w:p>
        </w:tc>
        <w:tc>
          <w:tcPr>
            <w:tcW w:w="0" w:type="dxa"/>
            <w:vAlign w:val="bottom"/>
          </w:tcPr>
          <w:p>
            <w:pPr>
              <w:spacing w:after="0"/>
              <w:rPr>
                <w:sz w:val="1"/>
                <w:szCs w:val="1"/>
                <w:color w:val="auto"/>
              </w:rPr>
            </w:pPr>
          </w:p>
        </w:tc>
      </w:tr>
      <w:tr>
        <w:trPr>
          <w:trHeight w:val="150"/>
        </w:trPr>
        <w:tc>
          <w:tcPr>
            <w:tcW w:w="374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auto"/>
              </w:rPr>
              <w:t>Total lease cost</w:t>
            </w:r>
          </w:p>
        </w:tc>
        <w:tc>
          <w:tcPr>
            <w:tcW w:w="2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143,681</w:t>
            </w:r>
          </w:p>
        </w:tc>
        <w:tc>
          <w:tcPr>
            <w:tcW w:w="180" w:type="dxa"/>
            <w:vAlign w:val="bottom"/>
          </w:tcPr>
          <w:p>
            <w:pPr>
              <w:spacing w:after="0"/>
              <w:rPr>
                <w:sz w:val="13"/>
                <w:szCs w:val="13"/>
                <w:color w:val="auto"/>
              </w:rPr>
            </w:pP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102,098</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0" w:right="59" w:firstLine="228"/>
        <w:spacing w:after="0" w:line="252" w:lineRule="auto"/>
        <w:rPr>
          <w:sz w:val="20"/>
          <w:szCs w:val="20"/>
          <w:color w:val="auto"/>
        </w:rPr>
      </w:pPr>
      <w:r>
        <w:rPr>
          <w:rFonts w:ascii="Times New Roman" w:cs="Times New Roman" w:eastAsia="Times New Roman" w:hAnsi="Times New Roman"/>
          <w:sz w:val="13"/>
          <w:szCs w:val="13"/>
          <w:color w:val="auto"/>
        </w:rPr>
        <w:t>As of December 31, 2020, the weighted average remaining lease term for our operating leases and finance leases was 13 years and 22 years, respectively. We do not include renewal options in the lease term for calculating the lease liability unless we are reasonably certain we will exercise the option or the lessor has the sole ability to exercise the option. The weighted average incremental borrowing rate was 2.8% for operating leases and 3.2% for finance leases at December 31, 2020. We assigned a collateralized interest rate to each lease based on the term of the lease and the currency in which the lease is denominated.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49" w:name="page150"/>
    <w:bookmarkEnd w:id="14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Maturities of lease liabilities as of December 31, 2020 were as follows (in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Operating</w:t>
            </w:r>
          </w:p>
        </w:tc>
        <w:tc>
          <w:tcPr>
            <w:tcW w:w="120" w:type="dxa"/>
            <w:vAlign w:val="bottom"/>
          </w:tcPr>
          <w:p>
            <w:pPr>
              <w:spacing w:after="0"/>
              <w:rPr>
                <w:sz w:val="10"/>
                <w:szCs w:val="10"/>
                <w:color w:val="auto"/>
              </w:rPr>
            </w:pP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0"/>
                <w:szCs w:val="10"/>
                <w:b w:val="1"/>
                <w:bCs w:val="1"/>
                <w:color w:val="auto"/>
              </w:rPr>
              <w:t>Finance</w:t>
            </w:r>
          </w:p>
        </w:tc>
      </w:tr>
      <w:tr>
        <w:trPr>
          <w:trHeight w:val="121"/>
        </w:trPr>
        <w:tc>
          <w:tcPr>
            <w:tcW w:w="6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lease liabilities</w:t>
            </w:r>
          </w:p>
        </w:tc>
        <w:tc>
          <w:tcPr>
            <w:tcW w:w="120" w:type="dxa"/>
            <w:vAlign w:val="bottom"/>
          </w:tcPr>
          <w:p>
            <w:pPr>
              <w:spacing w:after="0"/>
              <w:rPr>
                <w:sz w:val="10"/>
                <w:szCs w:val="10"/>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0"/>
                <w:szCs w:val="10"/>
                <w:b w:val="1"/>
                <w:bCs w:val="1"/>
                <w:color w:val="auto"/>
              </w:rPr>
              <w:t>lease liabilities</w:t>
            </w:r>
          </w:p>
        </w:tc>
      </w:tr>
      <w:tr>
        <w:trPr>
          <w:trHeight w:val="141"/>
        </w:trPr>
        <w:tc>
          <w:tcPr>
            <w:tcW w:w="68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2021</w:t>
            </w: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137,324</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12,578</w:t>
            </w:r>
          </w:p>
        </w:tc>
      </w:tr>
      <w:tr>
        <w:trPr>
          <w:trHeight w:val="152"/>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2022</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143,183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13,099</w:t>
            </w:r>
          </w:p>
        </w:tc>
      </w:tr>
      <w:tr>
        <w:trPr>
          <w:trHeight w:val="15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143,606</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33,288</w:t>
            </w:r>
          </w:p>
        </w:tc>
      </w:tr>
      <w:tr>
        <w:trPr>
          <w:trHeight w:val="152"/>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144,303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12,039</w:t>
            </w:r>
          </w:p>
        </w:tc>
      </w:tr>
      <w:tr>
        <w:trPr>
          <w:trHeight w:val="15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145,162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12,094</w:t>
            </w:r>
          </w:p>
        </w:tc>
      </w:tr>
      <w:tr>
        <w:trPr>
          <w:trHeight w:val="152"/>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1,046,233</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244,675</w:t>
            </w:r>
          </w:p>
        </w:tc>
      </w:tr>
      <w:tr>
        <w:trPr>
          <w:trHeight w:val="141"/>
        </w:trPr>
        <w:tc>
          <w:tcPr>
            <w:tcW w:w="68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Total undiscounted future cash flows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1,759,811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327,773</w:t>
            </w:r>
          </w:p>
        </w:tc>
      </w:tr>
      <w:tr>
        <w:trPr>
          <w:trHeight w:val="152"/>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Less: Imputed interest</w:t>
            </w:r>
          </w:p>
        </w:tc>
        <w:tc>
          <w:tcPr>
            <w:tcW w:w="12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(291,099)</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(94,423)</w:t>
            </w:r>
          </w:p>
        </w:tc>
      </w:tr>
      <w:tr>
        <w:trPr>
          <w:trHeight w:val="150"/>
        </w:trPr>
        <w:tc>
          <w:tcPr>
            <w:tcW w:w="682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Present value of undiscounted future cash flows</w:t>
            </w:r>
          </w:p>
        </w:tc>
        <w:tc>
          <w:tcPr>
            <w:tcW w:w="1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1,468,712</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233,350</w:t>
            </w:r>
          </w:p>
        </w:tc>
      </w:tr>
    </w:tbl>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Lessor accounting</w:t>
      </w:r>
    </w:p>
    <w:p>
      <w:pPr>
        <w:spacing w:after="0" w:line="156" w:lineRule="exact"/>
        <w:rPr>
          <w:sz w:val="20"/>
          <w:szCs w:val="20"/>
          <w:color w:val="auto"/>
        </w:rPr>
      </w:pPr>
    </w:p>
    <w:p>
      <w:pPr>
        <w:ind w:left="20" w:right="519" w:firstLine="228"/>
        <w:spacing w:after="0" w:line="268" w:lineRule="auto"/>
        <w:rPr>
          <w:sz w:val="20"/>
          <w:szCs w:val="20"/>
          <w:color w:val="auto"/>
        </w:rPr>
      </w:pPr>
      <w:r>
        <w:rPr>
          <w:rFonts w:ascii="Times New Roman" w:cs="Times New Roman" w:eastAsia="Times New Roman" w:hAnsi="Times New Roman"/>
          <w:sz w:val="13"/>
          <w:szCs w:val="13"/>
          <w:color w:val="auto"/>
        </w:rPr>
        <w:t>The following table summarizes the minimum lease payments due from our customers on leases with lease periods greater than one year for space in our operating properties, prestabilized development properties and leases of land subject to ground leases at December 31, 2020 (in thousands):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78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0"/>
                <w:szCs w:val="10"/>
                <w:b w:val="1"/>
                <w:bCs w:val="1"/>
                <w:color w:val="auto"/>
              </w:rPr>
              <w:t>Operating leases</w:t>
            </w:r>
          </w:p>
        </w:tc>
      </w:tr>
      <w:tr>
        <w:trPr>
          <w:trHeight w:val="141"/>
        </w:trPr>
        <w:tc>
          <w:tcPr>
            <w:tcW w:w="78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2021</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2,874,204</w:t>
            </w:r>
          </w:p>
        </w:tc>
      </w:tr>
      <w:tr>
        <w:trPr>
          <w:trHeight w:val="152"/>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2022</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2,126,375</w:t>
            </w:r>
          </w:p>
        </w:tc>
      </w:tr>
      <w:tr>
        <w:trPr>
          <w:trHeight w:val="15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1,760,337</w:t>
            </w:r>
          </w:p>
        </w:tc>
      </w:tr>
      <w:tr>
        <w:trPr>
          <w:trHeight w:val="152"/>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1,457,784</w:t>
            </w:r>
          </w:p>
        </w:tc>
      </w:tr>
      <w:tr>
        <w:trPr>
          <w:trHeight w:val="15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1,155,144</w:t>
            </w:r>
          </w:p>
        </w:tc>
      </w:tr>
      <w:tr>
        <w:trPr>
          <w:trHeight w:val="152"/>
        </w:trPr>
        <w:tc>
          <w:tcPr>
            <w:tcW w:w="7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3,907,635</w:t>
            </w:r>
          </w:p>
        </w:tc>
      </w:tr>
      <w:tr>
        <w:trPr>
          <w:trHeight w:val="150"/>
        </w:trPr>
        <w:tc>
          <w:tcPr>
            <w:tcW w:w="7840" w:type="dxa"/>
            <w:vAlign w:val="bottom"/>
            <w:tcBorders>
              <w:bottom w:val="single" w:sz="8" w:color="CCEEFF"/>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13,281,479</w:t>
            </w:r>
          </w:p>
        </w:tc>
      </w:tr>
    </w:tbl>
    <w:p>
      <w:pPr>
        <w:spacing w:after="0" w:line="139" w:lineRule="exact"/>
        <w:rPr>
          <w:sz w:val="20"/>
          <w:szCs w:val="20"/>
          <w:color w:val="auto"/>
        </w:rPr>
      </w:pPr>
    </w:p>
    <w:p>
      <w:pPr>
        <w:ind w:left="20" w:right="199" w:firstLine="228"/>
        <w:spacing w:after="0" w:line="268" w:lineRule="auto"/>
        <w:rPr>
          <w:sz w:val="20"/>
          <w:szCs w:val="20"/>
          <w:color w:val="auto"/>
        </w:rPr>
      </w:pPr>
      <w:r>
        <w:rPr>
          <w:rFonts w:ascii="Times New Roman" w:cs="Times New Roman" w:eastAsia="Times New Roman" w:hAnsi="Times New Roman"/>
          <w:sz w:val="13"/>
          <w:szCs w:val="13"/>
          <w:color w:val="auto"/>
        </w:rPr>
        <w:t>These amounts do not reflect future rental revenues from the renewal or replacement of existing leases unless we are reasonably certain we will exercise the option or the lessee has the sole ability to exercise the option. We exclude reimbursements of operating expenses and rental increases that are not fixed.</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50" w:name="page151"/>
    <w:bookmarkEnd w:id="15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5. Investments in Properties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A summary of our investments in properties as of December 31, 2020 and 2019 is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Property Type</w:t>
            </w:r>
          </w:p>
        </w:tc>
        <w:tc>
          <w:tcPr>
            <w:tcW w:w="2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ind w:right="47"/>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4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jc w:val="right"/>
              <w:ind w:right="359"/>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jc w:val="right"/>
              <w:ind w:right="378"/>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0" w:type="dxa"/>
            <w:vAlign w:val="bottom"/>
          </w:tcPr>
          <w:p>
            <w:pPr>
              <w:spacing w:after="0"/>
              <w:rPr>
                <w:sz w:val="1"/>
                <w:szCs w:val="1"/>
                <w:color w:val="auto"/>
              </w:rPr>
            </w:pPr>
          </w:p>
        </w:tc>
      </w:tr>
      <w:tr>
        <w:trPr>
          <w:trHeight w:val="141"/>
        </w:trPr>
        <w:tc>
          <w:tcPr>
            <w:tcW w:w="63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Land</w:t>
            </w: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1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1,106,392</w:t>
            </w:r>
          </w:p>
        </w:tc>
        <w:tc>
          <w:tcPr>
            <w:tcW w:w="3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804,830</w:t>
            </w:r>
          </w:p>
        </w:tc>
        <w:tc>
          <w:tcPr>
            <w:tcW w:w="0" w:type="dxa"/>
            <w:vAlign w:val="bottom"/>
          </w:tcPr>
          <w:p>
            <w:pPr>
              <w:spacing w:after="0"/>
              <w:rPr>
                <w:sz w:val="1"/>
                <w:szCs w:val="1"/>
                <w:color w:val="auto"/>
              </w:rPr>
            </w:pPr>
          </w:p>
        </w:tc>
      </w:tr>
      <w:tr>
        <w:trPr>
          <w:trHeight w:val="152"/>
        </w:trPr>
        <w:tc>
          <w:tcPr>
            <w:tcW w:w="6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Acquired ground lease</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10,308</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10,725</w:t>
            </w:r>
          </w:p>
        </w:tc>
        <w:tc>
          <w:tcPr>
            <w:tcW w:w="0" w:type="dxa"/>
            <w:vAlign w:val="bottom"/>
          </w:tcPr>
          <w:p>
            <w:pPr>
              <w:spacing w:after="0"/>
              <w:rPr>
                <w:sz w:val="1"/>
                <w:szCs w:val="1"/>
                <w:color w:val="auto"/>
              </w:rPr>
            </w:pPr>
          </w:p>
        </w:tc>
      </w:tr>
      <w:tr>
        <w:trPr>
          <w:trHeight w:val="199"/>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Buildings and improvements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21,335,396</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15,449,884</w:t>
            </w:r>
          </w:p>
        </w:tc>
        <w:tc>
          <w:tcPr>
            <w:tcW w:w="0" w:type="dxa"/>
            <w:vAlign w:val="bottom"/>
          </w:tcPr>
          <w:p>
            <w:pPr>
              <w:spacing w:after="0"/>
              <w:rPr>
                <w:sz w:val="1"/>
                <w:szCs w:val="1"/>
                <w:color w:val="auto"/>
              </w:rPr>
            </w:pPr>
          </w:p>
        </w:tc>
      </w:tr>
      <w:tr>
        <w:trPr>
          <w:trHeight w:val="152"/>
        </w:trPr>
        <w:tc>
          <w:tcPr>
            <w:tcW w:w="6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Tenant improvements</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690,892</w:t>
            </w:r>
          </w:p>
        </w:tc>
        <w:tc>
          <w:tcPr>
            <w:tcW w:w="3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621,153</w:t>
            </w:r>
          </w:p>
        </w:tc>
        <w:tc>
          <w:tcPr>
            <w:tcW w:w="0" w:type="dxa"/>
            <w:vAlign w:val="bottom"/>
          </w:tcPr>
          <w:p>
            <w:pPr>
              <w:spacing w:after="0"/>
              <w:rPr>
                <w:sz w:val="1"/>
                <w:szCs w:val="1"/>
                <w:color w:val="auto"/>
              </w:rPr>
            </w:pPr>
          </w:p>
        </w:tc>
      </w:tr>
      <w:tr>
        <w:trPr>
          <w:trHeight w:val="141"/>
        </w:trPr>
        <w:tc>
          <w:tcPr>
            <w:tcW w:w="6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23,142,988</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16,886,592</w:t>
            </w:r>
          </w:p>
        </w:tc>
        <w:tc>
          <w:tcPr>
            <w:tcW w:w="0" w:type="dxa"/>
            <w:vAlign w:val="bottom"/>
          </w:tcPr>
          <w:p>
            <w:pPr>
              <w:spacing w:after="0"/>
              <w:rPr>
                <w:sz w:val="1"/>
                <w:szCs w:val="1"/>
                <w:color w:val="auto"/>
              </w:rPr>
            </w:pPr>
          </w:p>
        </w:tc>
      </w:tr>
      <w:tr>
        <w:trPr>
          <w:trHeight w:val="152"/>
        </w:trPr>
        <w:tc>
          <w:tcPr>
            <w:tcW w:w="6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Accumulated depreciation and amortization</w:t>
            </w:r>
          </w:p>
        </w:tc>
        <w:tc>
          <w:tcPr>
            <w:tcW w:w="26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(5,555,221)</w:t>
            </w:r>
          </w:p>
        </w:tc>
        <w:tc>
          <w:tcPr>
            <w:tcW w:w="3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(4,536,169)</w:t>
            </w:r>
          </w:p>
        </w:tc>
        <w:tc>
          <w:tcPr>
            <w:tcW w:w="0" w:type="dxa"/>
            <w:vAlign w:val="bottom"/>
          </w:tcPr>
          <w:p>
            <w:pPr>
              <w:spacing w:after="0"/>
              <w:rPr>
                <w:sz w:val="1"/>
                <w:szCs w:val="1"/>
                <w:color w:val="auto"/>
              </w:rPr>
            </w:pPr>
          </w:p>
        </w:tc>
      </w:tr>
      <w:tr>
        <w:trPr>
          <w:trHeight w:val="141"/>
        </w:trPr>
        <w:tc>
          <w:tcPr>
            <w:tcW w:w="6480" w:type="dxa"/>
            <w:vAlign w:val="bottom"/>
            <w:tcBorders>
              <w:top w:val="single" w:sz="8" w:color="CCEEFF"/>
            </w:tcBorders>
            <w:gridSpan w:val="2"/>
            <w:shd w:val="clear" w:color="auto" w:fill="CCEEFF"/>
          </w:tcPr>
          <w:p>
            <w:pPr>
              <w:ind w:left="160"/>
              <w:spacing w:after="0" w:line="141" w:lineRule="exact"/>
              <w:rPr>
                <w:sz w:val="20"/>
                <w:szCs w:val="20"/>
                <w:color w:val="auto"/>
              </w:rPr>
            </w:pPr>
            <w:r>
              <w:rPr>
                <w:rFonts w:ascii="Times New Roman" w:cs="Times New Roman" w:eastAsia="Times New Roman" w:hAnsi="Times New Roman"/>
                <w:sz w:val="13"/>
                <w:szCs w:val="13"/>
                <w:color w:val="auto"/>
              </w:rPr>
              <w:t>Investments in operating properties, net</w:t>
            </w: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17,587,767</w:t>
            </w:r>
          </w:p>
        </w:tc>
        <w:tc>
          <w:tcPr>
            <w:tcW w:w="3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12,350,423</w:t>
            </w:r>
          </w:p>
        </w:tc>
        <w:tc>
          <w:tcPr>
            <w:tcW w:w="0" w:type="dxa"/>
            <w:vAlign w:val="bottom"/>
          </w:tcPr>
          <w:p>
            <w:pPr>
              <w:spacing w:after="0"/>
              <w:rPr>
                <w:sz w:val="1"/>
                <w:szCs w:val="1"/>
                <w:color w:val="auto"/>
              </w:rPr>
            </w:pPr>
          </w:p>
        </w:tc>
      </w:tr>
      <w:tr>
        <w:trPr>
          <w:trHeight w:val="152"/>
        </w:trPr>
        <w:tc>
          <w:tcPr>
            <w:tcW w:w="6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Construction in progress and space held for development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2,768,325</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1,732,555</w:t>
            </w:r>
          </w:p>
        </w:tc>
        <w:tc>
          <w:tcPr>
            <w:tcW w:w="0" w:type="dxa"/>
            <w:vAlign w:val="bottom"/>
          </w:tcPr>
          <w:p>
            <w:pPr>
              <w:spacing w:after="0"/>
              <w:rPr>
                <w:sz w:val="1"/>
                <w:szCs w:val="1"/>
                <w:color w:val="auto"/>
              </w:rPr>
            </w:pPr>
          </w:p>
        </w:tc>
      </w:tr>
      <w:tr>
        <w:trPr>
          <w:trHeight w:val="15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Land held for future development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226,862</w:t>
            </w:r>
          </w:p>
        </w:tc>
        <w:tc>
          <w:tcPr>
            <w:tcW w:w="3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147,597</w:t>
            </w:r>
          </w:p>
        </w:tc>
        <w:tc>
          <w:tcPr>
            <w:tcW w:w="0" w:type="dxa"/>
            <w:vAlign w:val="bottom"/>
          </w:tcPr>
          <w:p>
            <w:pPr>
              <w:spacing w:after="0"/>
              <w:rPr>
                <w:sz w:val="1"/>
                <w:szCs w:val="1"/>
                <w:color w:val="auto"/>
              </w:rPr>
            </w:pPr>
          </w:p>
        </w:tc>
      </w:tr>
      <w:tr>
        <w:trPr>
          <w:trHeight w:val="150"/>
        </w:trPr>
        <w:tc>
          <w:tcPr>
            <w:tcW w:w="6480" w:type="dxa"/>
            <w:vAlign w:val="bottom"/>
            <w:gridSpan w:val="2"/>
          </w:tcPr>
          <w:p>
            <w:pPr>
              <w:ind w:left="160"/>
              <w:spacing w:after="0" w:line="141" w:lineRule="exact"/>
              <w:rPr>
                <w:sz w:val="20"/>
                <w:szCs w:val="20"/>
                <w:color w:val="auto"/>
              </w:rPr>
            </w:pPr>
            <w:r>
              <w:rPr>
                <w:rFonts w:ascii="Times New Roman" w:cs="Times New Roman" w:eastAsia="Times New Roman" w:hAnsi="Times New Roman"/>
                <w:sz w:val="13"/>
                <w:szCs w:val="13"/>
                <w:color w:val="auto"/>
              </w:rPr>
              <w:t>Investments in properties, net</w:t>
            </w:r>
          </w:p>
        </w:tc>
        <w:tc>
          <w:tcPr>
            <w:tcW w:w="260" w:type="dxa"/>
            <w:vAlign w:val="bottom"/>
            <w:tcBorders>
              <w:bottom w:val="single" w:sz="8" w:color="auto"/>
            </w:tcBorders>
          </w:tcPr>
          <w:p>
            <w:pPr>
              <w:jc w:val="right"/>
              <w:ind w:right="11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20,582,954</w:t>
            </w:r>
          </w:p>
        </w:tc>
        <w:tc>
          <w:tcPr>
            <w:tcW w:w="380" w:type="dxa"/>
            <w:vAlign w:val="bottom"/>
          </w:tcPr>
          <w:p>
            <w:pPr>
              <w:spacing w:after="0"/>
              <w:rPr>
                <w:sz w:val="13"/>
                <w:szCs w:val="13"/>
                <w:color w:val="auto"/>
              </w:rPr>
            </w:pP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14,230,575</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Acquisitions</w:t>
      </w:r>
    </w:p>
    <w:p>
      <w:pPr>
        <w:spacing w:after="0" w:line="156" w:lineRule="exact"/>
        <w:rPr>
          <w:sz w:val="20"/>
          <w:szCs w:val="20"/>
          <w:color w:val="auto"/>
        </w:rPr>
      </w:pPr>
    </w:p>
    <w:p>
      <w:pPr>
        <w:jc w:val="both"/>
        <w:ind w:left="20" w:right="160" w:firstLine="228"/>
        <w:spacing w:after="0" w:line="256" w:lineRule="auto"/>
        <w:rPr>
          <w:sz w:val="20"/>
          <w:szCs w:val="20"/>
          <w:color w:val="auto"/>
        </w:rPr>
      </w:pPr>
      <w:r>
        <w:rPr>
          <w:rFonts w:ascii="Times New Roman" w:cs="Times New Roman" w:eastAsia="Times New Roman" w:hAnsi="Times New Roman"/>
          <w:sz w:val="13"/>
          <w:szCs w:val="13"/>
          <w:color w:val="auto"/>
        </w:rPr>
        <w:t>For the year ended December 31, 2020, we acquired real estate for approximately $830.0 million in the aggregate (excluding business combinations discussed in Note 3). Acquisitions for the year ended December 31, 2019 were immaterial to our financial statements – both individually and in the aggregate. The table below reflects the purchase price allocation for the real estate acquired in 2020 (in thousands):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5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1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Weighted average remaining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80" w:type="dxa"/>
            <w:vAlign w:val="bottom"/>
            <w:vMerge w:val="continue"/>
          </w:tcPr>
          <w:p>
            <w:pPr>
              <w:spacing w:after="0"/>
              <w:rPr>
                <w:sz w:val="10"/>
                <w:szCs w:val="10"/>
                <w:color w:val="auto"/>
              </w:rPr>
            </w:pPr>
          </w:p>
        </w:tc>
        <w:tc>
          <w:tcPr>
            <w:tcW w:w="1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intangible amortization life (in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58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 properties</w:t>
            </w:r>
          </w:p>
        </w:tc>
        <w:tc>
          <w:tcPr>
            <w:tcW w:w="2400" w:type="dxa"/>
            <w:vAlign w:val="bottom"/>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897,181</w:t>
            </w: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Customer relationship value and in-place leases</w:t>
            </w:r>
          </w:p>
        </w:tc>
        <w:tc>
          <w:tcPr>
            <w:tcW w:w="1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68,850</w:t>
            </w:r>
          </w:p>
        </w:tc>
        <w:tc>
          <w:tcPr>
            <w:tcW w:w="18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Working capital, net</w:t>
            </w:r>
          </w:p>
        </w:tc>
        <w:tc>
          <w:tcPr>
            <w:tcW w:w="1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7,224</w:t>
            </w: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Below-market leases</w:t>
            </w:r>
          </w:p>
        </w:tc>
        <w:tc>
          <w:tcPr>
            <w:tcW w:w="1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(2,540)</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1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(135,000)</w:t>
            </w: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interests in consolidated joint ventures</w:t>
            </w:r>
          </w:p>
        </w:tc>
        <w:tc>
          <w:tcPr>
            <w:tcW w:w="1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(5,715)</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80" w:type="dxa"/>
            <w:vAlign w:val="bottom"/>
            <w:tcBorders>
              <w:top w:val="single" w:sz="8" w:color="CCEEFF"/>
              <w:bottom w:val="single" w:sz="8" w:color="CCEEFF"/>
            </w:tcBorders>
            <w:shd w:val="clear" w:color="auto" w:fill="CCEEFF"/>
          </w:tcPr>
          <w:p>
            <w:pPr>
              <w:ind w:left="160"/>
              <w:spacing w:after="0" w:line="141" w:lineRule="exact"/>
              <w:rPr>
                <w:sz w:val="20"/>
                <w:szCs w:val="20"/>
                <w:color w:val="auto"/>
              </w:rPr>
            </w:pPr>
            <w:r>
              <w:rPr>
                <w:rFonts w:ascii="Times New Roman" w:cs="Times New Roman" w:eastAsia="Times New Roman" w:hAnsi="Times New Roman"/>
                <w:sz w:val="13"/>
                <w:szCs w:val="13"/>
                <w:color w:val="auto"/>
              </w:rPr>
              <w:t>Acquisition date fair value</w:t>
            </w:r>
          </w:p>
        </w:tc>
        <w:tc>
          <w:tcPr>
            <w:tcW w:w="186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830,000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48"/>
        </w:trPr>
        <w:tc>
          <w:tcPr>
            <w:tcW w:w="3580" w:type="dxa"/>
            <w:vAlign w:val="bottom"/>
          </w:tcPr>
          <w:p>
            <w:pPr>
              <w:spacing w:after="0"/>
              <w:rPr>
                <w:sz w:val="24"/>
                <w:szCs w:val="24"/>
                <w:color w:val="auto"/>
              </w:rPr>
            </w:pPr>
          </w:p>
        </w:tc>
        <w:tc>
          <w:tcPr>
            <w:tcW w:w="1860" w:type="dxa"/>
            <w:vAlign w:val="bottom"/>
          </w:tcPr>
          <w:p>
            <w:pPr>
              <w:jc w:val="right"/>
              <w:ind w:right="797"/>
              <w:spacing w:after="0"/>
              <w:rPr>
                <w:sz w:val="20"/>
                <w:szCs w:val="20"/>
                <w:color w:val="auto"/>
              </w:rPr>
            </w:pPr>
            <w:r>
              <w:rPr>
                <w:rFonts w:ascii="Times New Roman" w:cs="Times New Roman" w:eastAsia="Times New Roman" w:hAnsi="Times New Roman"/>
                <w:sz w:val="13"/>
                <w:szCs w:val="13"/>
                <w:color w:val="auto"/>
              </w:rPr>
              <w:t>146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35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402" w:right="1439" w:bottom="1440" w:gutter="0" w:footer="0" w:header="0"/>
        </w:sectPr>
      </w:pPr>
    </w:p>
    <w:bookmarkStart w:id="151" w:name="page152"/>
    <w:bookmarkEnd w:id="15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Dispositions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We sold the following real estate properties during the years ended December 31, 2020, 2019 and 2018:</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2020 Dispositions</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41"/>
        </w:trPr>
        <w:tc>
          <w:tcPr>
            <w:tcW w:w="4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Gross Proceeds</w:t>
            </w:r>
          </w:p>
        </w:tc>
        <w:tc>
          <w:tcPr>
            <w:tcW w:w="100" w:type="dxa"/>
            <w:vAlign w:val="bottom"/>
          </w:tcPr>
          <w:p>
            <w:pPr>
              <w:spacing w:after="0"/>
              <w:rPr>
                <w:sz w:val="12"/>
                <w:szCs w:val="12"/>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Gain on Sale</w:t>
            </w:r>
          </w:p>
        </w:tc>
      </w:tr>
      <w:tr>
        <w:trPr>
          <w:trHeight w:val="151"/>
        </w:trPr>
        <w:tc>
          <w:tcPr>
            <w:tcW w:w="47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Location / Portfolio</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Metro Area</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Date Sold</w:t>
            </w:r>
          </w:p>
        </w:tc>
        <w:tc>
          <w:tcPr>
            <w:tcW w:w="14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34"/>
        </w:trPr>
        <w:tc>
          <w:tcPr>
            <w:tcW w:w="460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0"/>
                <w:szCs w:val="10"/>
                <w:color w:val="auto"/>
              </w:rPr>
              <w:t xml:space="preserve">Mapletree portfolio </w:t>
            </w:r>
            <w:r>
              <w:rPr>
                <w:rFonts w:ascii="Times New Roman" w:cs="Times New Roman" w:eastAsia="Times New Roman" w:hAnsi="Times New Roman"/>
                <w:sz w:val="15"/>
                <w:szCs w:val="15"/>
                <w:color w:val="auto"/>
                <w:vertAlign w:val="superscript"/>
              </w:rPr>
              <w:t>(1)</w:t>
            </w:r>
          </w:p>
        </w:tc>
        <w:tc>
          <w:tcPr>
            <w:tcW w:w="1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Various</w:t>
            </w: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Jan 14, 2020</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557.0</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306.5</w:t>
            </w:r>
          </w:p>
        </w:tc>
      </w:tr>
      <w:tr>
        <w:trPr>
          <w:trHeight w:val="142"/>
        </w:trPr>
        <w:tc>
          <w:tcPr>
            <w:tcW w:w="4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Liverpoolweg 10</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Amsterdam</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Jul 17, 2020</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r>
      <w:tr>
        <w:trPr>
          <w:trHeight w:val="142"/>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Naritaweg 52</w:t>
            </w:r>
          </w:p>
        </w:tc>
        <w:tc>
          <w:tcPr>
            <w:tcW w:w="10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Amsterdam</w:t>
            </w:r>
          </w:p>
        </w:tc>
        <w:tc>
          <w:tcPr>
            <w:tcW w:w="1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rPr>
              <w:t>Dec 30, 2020</w:t>
            </w:r>
          </w:p>
        </w:tc>
        <w:tc>
          <w:tcPr>
            <w:tcW w:w="1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4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584.6</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316.9</w:t>
            </w:r>
          </w:p>
        </w:tc>
      </w:tr>
      <w:tr>
        <w:trPr>
          <w:trHeight w:val="152"/>
        </w:trPr>
        <w:tc>
          <w:tcPr>
            <w:tcW w:w="47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2019 Dispositions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bl>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Gain on contribution</w:t>
            </w:r>
          </w:p>
        </w:tc>
      </w:tr>
      <w:tr>
        <w:trPr>
          <w:trHeight w:val="151"/>
        </w:trPr>
        <w:tc>
          <w:tcPr>
            <w:tcW w:w="41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Location / Portfolio</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Metro Area</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Date Sold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42"/>
        </w:trPr>
        <w:tc>
          <w:tcPr>
            <w:tcW w:w="20" w:type="dxa"/>
            <w:vAlign w:val="bottom"/>
          </w:tcPr>
          <w:p>
            <w:pPr>
              <w:spacing w:after="0"/>
              <w:rPr>
                <w:sz w:val="12"/>
                <w:szCs w:val="12"/>
                <w:color w:val="auto"/>
              </w:rPr>
            </w:pPr>
          </w:p>
        </w:tc>
        <w:tc>
          <w:tcPr>
            <w:tcW w:w="3920" w:type="dxa"/>
            <w:vAlign w:val="bottom"/>
            <w:tcBorders>
              <w:top w:val="single" w:sz="8" w:color="auto"/>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0"/>
                <w:szCs w:val="10"/>
                <w:color w:val="auto"/>
              </w:rPr>
              <w:t xml:space="preserve">Mapletree portfolio </w:t>
            </w:r>
            <w:r>
              <w:rPr>
                <w:rFonts w:ascii="Times New Roman" w:cs="Times New Roman" w:eastAsia="Times New Roman" w:hAnsi="Times New Roman"/>
                <w:sz w:val="15"/>
                <w:szCs w:val="15"/>
                <w:color w:val="auto"/>
                <w:vertAlign w:val="superscript"/>
              </w:rPr>
              <w:t>(2)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Northern Virginia</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Nov 1, 2019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996.6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5"/>
                <w:szCs w:val="5"/>
                <w:color w:val="auto"/>
                <w:w w:val="7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266.0</w:t>
            </w:r>
          </w:p>
        </w:tc>
      </w:tr>
    </w:tbl>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2018 Dispositions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Gross Proceeds</w:t>
            </w:r>
          </w:p>
        </w:tc>
        <w:tc>
          <w:tcPr>
            <w:tcW w:w="100" w:type="dxa"/>
            <w:vAlign w:val="bottom"/>
          </w:tcPr>
          <w:p>
            <w:pPr>
              <w:spacing w:after="0"/>
              <w:rPr>
                <w:sz w:val="12"/>
                <w:szCs w:val="12"/>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Gain on Sale</w:t>
            </w:r>
          </w:p>
        </w:tc>
      </w:tr>
      <w:tr>
        <w:trPr>
          <w:trHeight w:val="151"/>
        </w:trPr>
        <w:tc>
          <w:tcPr>
            <w:tcW w:w="45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Metro Area</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Date Sold</w:t>
            </w:r>
          </w:p>
        </w:tc>
        <w:tc>
          <w:tcPr>
            <w:tcW w:w="12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34"/>
        </w:trPr>
        <w:tc>
          <w:tcPr>
            <w:tcW w:w="4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200 Quannapowitt Parkway</w:t>
            </w:r>
          </w:p>
        </w:tc>
        <w:tc>
          <w:tcPr>
            <w:tcW w:w="16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Boston</w:t>
            </w:r>
          </w:p>
        </w:tc>
        <w:tc>
          <w:tcPr>
            <w:tcW w:w="1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Jan 25, 2018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42"/>
        </w:trPr>
        <w:tc>
          <w:tcPr>
            <w:tcW w:w="45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34551 Ardenwood Boulevard</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Silicon Valley</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Feb 9, 2018</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w:t>
            </w:r>
          </w:p>
        </w:tc>
      </w:tr>
      <w:tr>
        <w:trPr>
          <w:trHeight w:val="142"/>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3065 Gold Camp Drive</w:t>
            </w:r>
          </w:p>
        </w:tc>
        <w:tc>
          <w:tcPr>
            <w:tcW w:w="11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rPr>
              <w:t>Sacramento</w:t>
            </w:r>
          </w:p>
        </w:tc>
        <w:tc>
          <w:tcPr>
            <w:tcW w:w="11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Mar 14, 2018</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r>
      <w:tr>
        <w:trPr>
          <w:trHeight w:val="142"/>
        </w:trPr>
        <w:tc>
          <w:tcPr>
            <w:tcW w:w="45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11085 Sun Center Drive</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Sacramento</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Mar 14, 2018</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r>
      <w:tr>
        <w:trPr>
          <w:trHeight w:val="142"/>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Austin Portfolio</w:t>
            </w:r>
          </w:p>
        </w:tc>
        <w:tc>
          <w:tcPr>
            <w:tcW w:w="11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rPr>
              <w:t>Austin</w:t>
            </w:r>
          </w:p>
        </w:tc>
        <w:tc>
          <w:tcPr>
            <w:tcW w:w="1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rPr>
              <w:t>Apr 19, 2018</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r>
      <w:tr>
        <w:trPr>
          <w:trHeight w:val="142"/>
        </w:trPr>
        <w:tc>
          <w:tcPr>
            <w:tcW w:w="45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2010 East Centennial Circle</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Phoenix</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May 22, 2018</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42"/>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1125 Energy Park Drive</w:t>
            </w:r>
          </w:p>
        </w:tc>
        <w:tc>
          <w:tcPr>
            <w:tcW w:w="11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rPr>
              <w:t>Minneapolis</w:t>
            </w:r>
          </w:p>
        </w:tc>
        <w:tc>
          <w:tcPr>
            <w:tcW w:w="1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rPr>
              <w:t>May 31, 2018</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42"/>
        </w:trPr>
        <w:tc>
          <w:tcPr>
            <w:tcW w:w="4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1"/>
                <w:szCs w:val="11"/>
                <w:color w:val="auto"/>
              </w:rPr>
              <w:t>360 Spear Street</w:t>
            </w:r>
          </w:p>
        </w:tc>
        <w:tc>
          <w:tcPr>
            <w:tcW w:w="112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San Francisco</w:t>
            </w:r>
          </w:p>
        </w:tc>
        <w:tc>
          <w:tcPr>
            <w:tcW w:w="110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Sep 21, 2018</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26.7</w:t>
            </w:r>
          </w:p>
        </w:tc>
      </w:tr>
      <w:tr>
        <w:trPr>
          <w:trHeight w:val="140"/>
        </w:trPr>
        <w:tc>
          <w:tcPr>
            <w:tcW w:w="2240" w:type="dxa"/>
            <w:vAlign w:val="bottom"/>
            <w:tcBorders>
              <w:bottom w:val="single" w:sz="8" w:color="CCEEFF"/>
            </w:tcBorders>
            <w:shd w:val="clear" w:color="auto" w:fill="CCEEFF"/>
          </w:tcPr>
          <w:p>
            <w:pPr>
              <w:spacing w:after="0"/>
              <w:rPr>
                <w:sz w:val="12"/>
                <w:szCs w:val="12"/>
                <w:color w:val="auto"/>
              </w:rPr>
            </w:pPr>
          </w:p>
        </w:tc>
        <w:tc>
          <w:tcPr>
            <w:tcW w:w="2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291.7</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80.4</w:t>
            </w:r>
          </w:p>
        </w:tc>
      </w:tr>
      <w:tr>
        <w:trPr>
          <w:trHeight w:val="76"/>
        </w:trPr>
        <w:tc>
          <w:tcPr>
            <w:tcW w:w="2240" w:type="dxa"/>
            <w:vAlign w:val="bottom"/>
            <w:tcBorders>
              <w:bottom w:val="single" w:sz="8" w:color="auto"/>
            </w:tcBorders>
          </w:tcPr>
          <w:p>
            <w:pPr>
              <w:spacing w:after="0"/>
              <w:rPr>
                <w:sz w:val="6"/>
                <w:szCs w:val="6"/>
                <w:color w:val="auto"/>
              </w:rPr>
            </w:pPr>
          </w:p>
        </w:tc>
        <w:tc>
          <w:tcPr>
            <w:tcW w:w="2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r>
    </w:tbl>
    <w:p>
      <w:pPr>
        <w:spacing w:after="0" w:line="44" w:lineRule="exact"/>
        <w:rPr>
          <w:sz w:val="20"/>
          <w:szCs w:val="20"/>
          <w:color w:val="auto"/>
        </w:rPr>
      </w:pPr>
    </w:p>
    <w:p>
      <w:pPr>
        <w:ind w:left="260" w:right="119" w:hanging="235"/>
        <w:spacing w:after="0" w:line="250" w:lineRule="auto"/>
        <w:tabs>
          <w:tab w:leader="none" w:pos="2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September 16, 2019, we announced the proposed sale of 10 Powered Base Building® properties, which comprise 12 data centers, in North America to Mapletree Investments Pte Ltd (“Mapletree Investments”) and Mapletree Industrial Trust (“MIT” and together with Mapletree Investments, “Mapletree”), at a purchase consideration of approximately $557.0 million. As of December 31, 2019, these 12 data centers had an aggregate carrying value of $229.9 million within total assets</w:t>
      </w:r>
    </w:p>
    <w:p>
      <w:pPr>
        <w:spacing w:after="0" w:line="1"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and $2.7 million within total liabilities and are shown as assets held for sale and obligations associated with assets held for sale on the consolidated balance sheet.</w:t>
      </w:r>
    </w:p>
    <w:p>
      <w:pPr>
        <w:spacing w:after="0" w:line="2" w:lineRule="exact"/>
        <w:rPr>
          <w:rFonts w:ascii="Times New Roman" w:cs="Times New Roman" w:eastAsia="Times New Roman" w:hAnsi="Times New Roman"/>
          <w:sz w:val="13"/>
          <w:szCs w:val="13"/>
          <w:color w:val="auto"/>
        </w:rPr>
      </w:pPr>
    </w:p>
    <w:p>
      <w:pPr>
        <w:ind w:left="260" w:right="179"/>
        <w:spacing w:after="0" w:line="24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12 data centers were not representative of a significant component of our portfolio, nor did the sale represent a significant shift in our strategy. In January 2020, we closed on the sale of the 12 data centers for a gain of approximately $303.3 million. We provided transitional property management services for one year from the closing date at a customary market rate.</w:t>
      </w:r>
    </w:p>
    <w:p>
      <w:pPr>
        <w:spacing w:after="0" w:line="1"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three data centers that were contributed to a joint venture with Mapletree.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52" w:name="page153"/>
    <w:bookmarkEnd w:id="15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6. Investments in Unconsolidated Joint Ventures</w:t>
      </w:r>
    </w:p>
    <w:p>
      <w:pPr>
        <w:spacing w:after="0" w:line="156" w:lineRule="exact"/>
        <w:rPr>
          <w:sz w:val="20"/>
          <w:szCs w:val="20"/>
          <w:color w:val="auto"/>
        </w:rPr>
      </w:pPr>
    </w:p>
    <w:p>
      <w:pPr>
        <w:ind w:left="20" w:right="240" w:firstLine="228"/>
        <w:spacing w:after="0" w:line="268" w:lineRule="auto"/>
        <w:rPr>
          <w:sz w:val="20"/>
          <w:szCs w:val="20"/>
          <w:color w:val="auto"/>
        </w:rPr>
      </w:pPr>
      <w:r>
        <w:rPr>
          <w:rFonts w:ascii="Times New Roman" w:cs="Times New Roman" w:eastAsia="Times New Roman" w:hAnsi="Times New Roman"/>
          <w:sz w:val="13"/>
          <w:szCs w:val="13"/>
          <w:color w:val="auto"/>
        </w:rPr>
        <w:t>As of December 31, 2020 and 2019, our investments in unconsolidated joint ventures accounted for under the equity method of accounting presented in our consolidated balance sheets consist of the following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Year Joint</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 of</w:t>
            </w:r>
          </w:p>
        </w:tc>
        <w:tc>
          <w:tcPr>
            <w:tcW w:w="14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Metropolitan</w:t>
            </w: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Balance as of</w:t>
            </w:r>
          </w:p>
        </w:tc>
        <w:tc>
          <w:tcPr>
            <w:tcW w:w="120" w:type="dxa"/>
            <w:vAlign w:val="bottom"/>
          </w:tcPr>
          <w:p>
            <w:pPr>
              <w:spacing w:after="0"/>
              <w:rPr>
                <w:sz w:val="10"/>
                <w:szCs w:val="10"/>
                <w:color w:val="auto"/>
              </w:rPr>
            </w:pPr>
          </w:p>
        </w:tc>
        <w:tc>
          <w:tcPr>
            <w:tcW w:w="1060" w:type="dxa"/>
            <w:vAlign w:val="bottom"/>
          </w:tcPr>
          <w:p>
            <w:pPr>
              <w:jc w:val="right"/>
              <w:ind w:right="249"/>
              <w:spacing w:after="0"/>
              <w:rPr>
                <w:sz w:val="20"/>
                <w:szCs w:val="20"/>
                <w:color w:val="auto"/>
              </w:rPr>
            </w:pPr>
            <w:r>
              <w:rPr>
                <w:rFonts w:ascii="Times New Roman" w:cs="Times New Roman" w:eastAsia="Times New Roman" w:hAnsi="Times New Roman"/>
                <w:sz w:val="10"/>
                <w:szCs w:val="10"/>
                <w:b w:val="1"/>
                <w:bCs w:val="1"/>
                <w:color w:val="auto"/>
              </w:rPr>
              <w:t>Balance as of</w:t>
            </w:r>
          </w:p>
        </w:tc>
        <w:tc>
          <w:tcPr>
            <w:tcW w:w="0" w:type="dxa"/>
            <w:vAlign w:val="bottom"/>
          </w:tcPr>
          <w:p>
            <w:pPr>
              <w:spacing w:after="0"/>
              <w:rPr>
                <w:sz w:val="1"/>
                <w:szCs w:val="1"/>
                <w:color w:val="auto"/>
              </w:rPr>
            </w:pPr>
          </w:p>
        </w:tc>
      </w:tr>
      <w:tr>
        <w:trPr>
          <w:trHeight w:val="104"/>
        </w:trPr>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Joint Venture</w:t>
            </w:r>
          </w:p>
        </w:tc>
        <w:tc>
          <w:tcPr>
            <w:tcW w:w="78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10"/>
                <w:szCs w:val="10"/>
                <w:b w:val="1"/>
                <w:bCs w:val="1"/>
                <w:color w:val="auto"/>
                <w:w w:val="97"/>
              </w:rPr>
              <w:t>Venture</w:t>
            </w:r>
          </w:p>
        </w:tc>
        <w:tc>
          <w:tcPr>
            <w:tcW w:w="54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Data</w:t>
            </w:r>
          </w:p>
        </w:tc>
        <w:tc>
          <w:tcPr>
            <w:tcW w:w="140" w:type="dxa"/>
            <w:vAlign w:val="bottom"/>
          </w:tcPr>
          <w:p>
            <w:pPr>
              <w:spacing w:after="0"/>
              <w:rPr>
                <w:sz w:val="9"/>
                <w:szCs w:val="9"/>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Area</w:t>
            </w:r>
          </w:p>
        </w:tc>
        <w:tc>
          <w:tcPr>
            <w:tcW w:w="880" w:type="dxa"/>
            <w:vAlign w:val="bottom"/>
            <w:vMerge w:val="restart"/>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 Ownership</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December 31, 2020</w:t>
            </w:r>
          </w:p>
        </w:tc>
        <w:tc>
          <w:tcPr>
            <w:tcW w:w="120" w:type="dxa"/>
            <w:vAlign w:val="bottom"/>
          </w:tcPr>
          <w:p>
            <w:pPr>
              <w:spacing w:after="0"/>
              <w:rPr>
                <w:sz w:val="9"/>
                <w:szCs w:val="9"/>
                <w:color w:val="auto"/>
              </w:rPr>
            </w:pPr>
          </w:p>
        </w:tc>
        <w:tc>
          <w:tcPr>
            <w:tcW w:w="1060" w:type="dxa"/>
            <w:vAlign w:val="bottom"/>
            <w:vMerge w:val="restart"/>
          </w:tcPr>
          <w:p>
            <w:pPr>
              <w:jc w:val="right"/>
              <w:ind w:right="129"/>
              <w:spacing w:after="0"/>
              <w:rPr>
                <w:sz w:val="20"/>
                <w:szCs w:val="20"/>
                <w:color w:val="auto"/>
              </w:rPr>
            </w:pPr>
            <w:r>
              <w:rPr>
                <w:rFonts w:ascii="Times New Roman" w:cs="Times New Roman" w:eastAsia="Times New Roman" w:hAnsi="Times New Roman"/>
                <w:sz w:val="10"/>
                <w:szCs w:val="10"/>
                <w:b w:val="1"/>
                <w:bCs w:val="1"/>
                <w:color w:val="auto"/>
              </w:rPr>
              <w:t>December 31, 2019</w:t>
            </w:r>
          </w:p>
        </w:tc>
        <w:tc>
          <w:tcPr>
            <w:tcW w:w="0" w:type="dxa"/>
            <w:vAlign w:val="bottom"/>
          </w:tcPr>
          <w:p>
            <w:pPr>
              <w:spacing w:after="0"/>
              <w:rPr>
                <w:sz w:val="1"/>
                <w:szCs w:val="1"/>
                <w:color w:val="auto"/>
              </w:rPr>
            </w:pPr>
          </w:p>
        </w:tc>
      </w:tr>
      <w:tr>
        <w:trPr>
          <w:trHeight w:val="121"/>
        </w:trPr>
        <w:tc>
          <w:tcPr>
            <w:tcW w:w="2860" w:type="dxa"/>
            <w:vAlign w:val="bottom"/>
            <w:gridSpan w:val="3"/>
            <w:vMerge w:val="continue"/>
          </w:tcPr>
          <w:p>
            <w:pPr>
              <w:spacing w:after="0"/>
              <w:rPr>
                <w:sz w:val="10"/>
                <w:szCs w:val="10"/>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Formed</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Centers</w:t>
            </w: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2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8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 xml:space="preserve">Ascenty </w:t>
            </w:r>
            <w:r>
              <w:rPr>
                <w:rFonts w:ascii="Times New Roman" w:cs="Times New Roman" w:eastAsia="Times New Roman" w:hAnsi="Times New Roman"/>
                <w:sz w:val="15"/>
                <w:szCs w:val="15"/>
                <w:color w:val="auto"/>
                <w:vertAlign w:val="superscript"/>
              </w:rPr>
              <w:t>(1)</w:t>
            </w: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center"/>
              <w:ind w:right="120"/>
              <w:spacing w:after="0" w:line="90" w:lineRule="exact"/>
              <w:rPr>
                <w:sz w:val="20"/>
                <w:szCs w:val="20"/>
                <w:color w:val="auto"/>
              </w:rPr>
            </w:pPr>
            <w:r>
              <w:rPr>
                <w:rFonts w:ascii="Times New Roman" w:cs="Times New Roman" w:eastAsia="Times New Roman" w:hAnsi="Times New Roman"/>
                <w:sz w:val="10"/>
                <w:szCs w:val="10"/>
                <w:color w:val="auto"/>
              </w:rPr>
              <w:t>Brazil / Chile /</w:t>
            </w:r>
          </w:p>
        </w:tc>
        <w:tc>
          <w:tcPr>
            <w:tcW w:w="880" w:type="dxa"/>
            <w:vAlign w:val="bottom"/>
            <w:shd w:val="clear" w:color="auto" w:fill="CCEEFF"/>
          </w:tcPr>
          <w:p>
            <w:pPr>
              <w:spacing w:after="0"/>
              <w:rPr>
                <w:sz w:val="7"/>
                <w:szCs w:val="7"/>
                <w:color w:val="auto"/>
              </w:rPr>
            </w:pPr>
          </w:p>
        </w:tc>
        <w:tc>
          <w:tcPr>
            <w:tcW w:w="300" w:type="dxa"/>
            <w:vAlign w:val="bottom"/>
            <w:vMerge w:val="restart"/>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8"/>
                <w:szCs w:val="8"/>
                <w:color w:val="auto"/>
              </w:rPr>
              <w:t xml:space="preserve"> (2)</w:t>
            </w: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860" w:type="dxa"/>
            <w:vAlign w:val="bottom"/>
            <w:gridSpan w:val="3"/>
            <w:vMerge w:val="continue"/>
            <w:shd w:val="clear" w:color="auto" w:fill="CCEEFF"/>
          </w:tcPr>
          <w:p>
            <w:pPr>
              <w:spacing w:after="0"/>
              <w:rPr>
                <w:sz w:val="10"/>
                <w:szCs w:val="10"/>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2019</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rPr>
              <w:t>Mexico</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3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567,192</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787,026</w:t>
            </w:r>
          </w:p>
        </w:tc>
        <w:tc>
          <w:tcPr>
            <w:tcW w:w="0" w:type="dxa"/>
            <w:vAlign w:val="bottom"/>
          </w:tcPr>
          <w:p>
            <w:pPr>
              <w:spacing w:after="0"/>
              <w:rPr>
                <w:sz w:val="1"/>
                <w:szCs w:val="1"/>
                <w:color w:val="auto"/>
              </w:rPr>
            </w:pPr>
          </w:p>
        </w:tc>
      </w:tr>
      <w:tr>
        <w:trPr>
          <w:trHeight w:val="104"/>
        </w:trPr>
        <w:tc>
          <w:tcPr>
            <w:tcW w:w="286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color w:val="auto"/>
              </w:rPr>
              <w:t>Mapletree</w:t>
            </w: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w w:val="99"/>
              </w:rPr>
              <w:t>2019</w:t>
            </w:r>
          </w:p>
        </w:tc>
        <w:tc>
          <w:tcPr>
            <w:tcW w:w="80" w:type="dxa"/>
            <w:vAlign w:val="bottom"/>
          </w:tcPr>
          <w:p>
            <w:pPr>
              <w:spacing w:after="0"/>
              <w:rPr>
                <w:sz w:val="9"/>
                <w:szCs w:val="9"/>
                <w:color w:val="auto"/>
              </w:rPr>
            </w:pPr>
          </w:p>
        </w:tc>
        <w:tc>
          <w:tcPr>
            <w:tcW w:w="54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3</w:t>
            </w:r>
          </w:p>
        </w:tc>
        <w:tc>
          <w:tcPr>
            <w:tcW w:w="140" w:type="dxa"/>
            <w:vAlign w:val="bottom"/>
          </w:tcPr>
          <w:p>
            <w:pPr>
              <w:spacing w:after="0"/>
              <w:rPr>
                <w:sz w:val="9"/>
                <w:szCs w:val="9"/>
                <w:color w:val="auto"/>
              </w:rPr>
            </w:pPr>
          </w:p>
        </w:tc>
        <w:tc>
          <w:tcPr>
            <w:tcW w:w="1000" w:type="dxa"/>
            <w:vAlign w:val="bottom"/>
            <w:gridSpan w:val="2"/>
          </w:tcPr>
          <w:p>
            <w:pPr>
              <w:jc w:val="center"/>
              <w:ind w:right="120"/>
              <w:spacing w:after="0" w:line="104" w:lineRule="exact"/>
              <w:rPr>
                <w:sz w:val="20"/>
                <w:szCs w:val="20"/>
                <w:color w:val="auto"/>
              </w:rPr>
            </w:pPr>
            <w:r>
              <w:rPr>
                <w:rFonts w:ascii="Times New Roman" w:cs="Times New Roman" w:eastAsia="Times New Roman" w:hAnsi="Times New Roman"/>
                <w:sz w:val="10"/>
                <w:szCs w:val="10"/>
                <w:color w:val="auto"/>
              </w:rPr>
              <w:t>Northern Virginia</w:t>
            </w:r>
          </w:p>
        </w:tc>
        <w:tc>
          <w:tcPr>
            <w:tcW w:w="8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20</w:t>
            </w:r>
          </w:p>
        </w:tc>
        <w:tc>
          <w:tcPr>
            <w:tcW w:w="3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10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184,890</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196,181</w:t>
            </w:r>
          </w:p>
        </w:tc>
        <w:tc>
          <w:tcPr>
            <w:tcW w:w="0" w:type="dxa"/>
            <w:vAlign w:val="bottom"/>
          </w:tcPr>
          <w:p>
            <w:pPr>
              <w:spacing w:after="0"/>
              <w:rPr>
                <w:sz w:val="1"/>
                <w:szCs w:val="1"/>
                <w:color w:val="auto"/>
              </w:rPr>
            </w:pPr>
          </w:p>
        </w:tc>
      </w:tr>
      <w:tr>
        <w:trPr>
          <w:trHeight w:val="104"/>
        </w:trPr>
        <w:tc>
          <w:tcPr>
            <w:tcW w:w="2860" w:type="dxa"/>
            <w:vAlign w:val="bottom"/>
            <w:gridSpan w:val="3"/>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Mitsubishi</w:t>
            </w:r>
          </w:p>
        </w:tc>
        <w:tc>
          <w:tcPr>
            <w:tcW w:w="700" w:type="dxa"/>
            <w:vAlign w:val="bottom"/>
            <w:shd w:val="clear" w:color="auto" w:fill="CCEEFF"/>
          </w:tcPr>
          <w:p>
            <w:pPr>
              <w:jc w:val="center"/>
              <w:spacing w:after="0" w:line="104" w:lineRule="exact"/>
              <w:rPr>
                <w:sz w:val="20"/>
                <w:szCs w:val="20"/>
                <w:color w:val="auto"/>
              </w:rPr>
            </w:pPr>
            <w:r>
              <w:rPr>
                <w:rFonts w:ascii="Times New Roman" w:cs="Times New Roman" w:eastAsia="Times New Roman" w:hAnsi="Times New Roman"/>
                <w:sz w:val="10"/>
                <w:szCs w:val="10"/>
                <w:color w:val="auto"/>
                <w:w w:val="99"/>
              </w:rPr>
              <w:t>2017</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4</w:t>
            </w:r>
          </w:p>
        </w:tc>
        <w:tc>
          <w:tcPr>
            <w:tcW w:w="14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center"/>
              <w:ind w:right="120"/>
              <w:spacing w:after="0" w:line="104" w:lineRule="exact"/>
              <w:rPr>
                <w:sz w:val="20"/>
                <w:szCs w:val="20"/>
                <w:color w:val="auto"/>
              </w:rPr>
            </w:pPr>
            <w:r>
              <w:rPr>
                <w:rFonts w:ascii="Times New Roman" w:cs="Times New Roman" w:eastAsia="Times New Roman" w:hAnsi="Times New Roman"/>
                <w:sz w:val="10"/>
                <w:szCs w:val="10"/>
                <w:color w:val="auto"/>
              </w:rPr>
              <w:t>Osaka / Tokyo</w:t>
            </w:r>
          </w:p>
        </w:tc>
        <w:tc>
          <w:tcPr>
            <w:tcW w:w="8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50</w:t>
            </w:r>
          </w:p>
        </w:tc>
        <w:tc>
          <w:tcPr>
            <w:tcW w:w="3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278,947</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200,652</w:t>
            </w:r>
          </w:p>
        </w:tc>
        <w:tc>
          <w:tcPr>
            <w:tcW w:w="0" w:type="dxa"/>
            <w:vAlign w:val="bottom"/>
          </w:tcPr>
          <w:p>
            <w:pPr>
              <w:spacing w:after="0"/>
              <w:rPr>
                <w:sz w:val="1"/>
                <w:szCs w:val="1"/>
                <w:color w:val="auto"/>
              </w:rPr>
            </w:pPr>
          </w:p>
        </w:tc>
      </w:tr>
      <w:tr>
        <w:trPr>
          <w:trHeight w:val="104"/>
        </w:trPr>
        <w:tc>
          <w:tcPr>
            <w:tcW w:w="286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color w:val="auto"/>
              </w:rPr>
              <w:t>CenturyLink</w:t>
            </w: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w w:val="99"/>
              </w:rPr>
              <w:t>2012</w:t>
            </w:r>
          </w:p>
        </w:tc>
        <w:tc>
          <w:tcPr>
            <w:tcW w:w="80" w:type="dxa"/>
            <w:vAlign w:val="bottom"/>
          </w:tcPr>
          <w:p>
            <w:pPr>
              <w:spacing w:after="0"/>
              <w:rPr>
                <w:sz w:val="9"/>
                <w:szCs w:val="9"/>
                <w:color w:val="auto"/>
              </w:rPr>
            </w:pPr>
          </w:p>
        </w:tc>
        <w:tc>
          <w:tcPr>
            <w:tcW w:w="54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w:t>
            </w:r>
          </w:p>
        </w:tc>
        <w:tc>
          <w:tcPr>
            <w:tcW w:w="140" w:type="dxa"/>
            <w:vAlign w:val="bottom"/>
          </w:tcPr>
          <w:p>
            <w:pPr>
              <w:spacing w:after="0"/>
              <w:rPr>
                <w:sz w:val="9"/>
                <w:szCs w:val="9"/>
                <w:color w:val="auto"/>
              </w:rPr>
            </w:pPr>
          </w:p>
        </w:tc>
        <w:tc>
          <w:tcPr>
            <w:tcW w:w="1000" w:type="dxa"/>
            <w:vAlign w:val="bottom"/>
            <w:gridSpan w:val="2"/>
          </w:tcPr>
          <w:p>
            <w:pPr>
              <w:jc w:val="center"/>
              <w:ind w:right="120"/>
              <w:spacing w:after="0" w:line="104" w:lineRule="exact"/>
              <w:rPr>
                <w:sz w:val="20"/>
                <w:szCs w:val="20"/>
                <w:color w:val="auto"/>
              </w:rPr>
            </w:pPr>
            <w:r>
              <w:rPr>
                <w:rFonts w:ascii="Times New Roman" w:cs="Times New Roman" w:eastAsia="Times New Roman" w:hAnsi="Times New Roman"/>
                <w:sz w:val="10"/>
                <w:szCs w:val="10"/>
                <w:color w:val="auto"/>
              </w:rPr>
              <w:t>Hong Kong</w:t>
            </w:r>
          </w:p>
        </w:tc>
        <w:tc>
          <w:tcPr>
            <w:tcW w:w="8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50</w:t>
            </w:r>
          </w:p>
        </w:tc>
        <w:tc>
          <w:tcPr>
            <w:tcW w:w="3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10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86,600</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88,647</w:t>
            </w:r>
          </w:p>
        </w:tc>
        <w:tc>
          <w:tcPr>
            <w:tcW w:w="0" w:type="dxa"/>
            <w:vAlign w:val="bottom"/>
          </w:tcPr>
          <w:p>
            <w:pPr>
              <w:spacing w:after="0"/>
              <w:rPr>
                <w:sz w:val="1"/>
                <w:szCs w:val="1"/>
                <w:color w:val="auto"/>
              </w:rPr>
            </w:pPr>
          </w:p>
        </w:tc>
      </w:tr>
      <w:tr>
        <w:trPr>
          <w:trHeight w:val="104"/>
        </w:trPr>
        <w:tc>
          <w:tcPr>
            <w:tcW w:w="2860" w:type="dxa"/>
            <w:vAlign w:val="bottom"/>
            <w:gridSpan w:val="3"/>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Other</w:t>
            </w:r>
          </w:p>
        </w:tc>
        <w:tc>
          <w:tcPr>
            <w:tcW w:w="780" w:type="dxa"/>
            <w:vAlign w:val="bottom"/>
            <w:gridSpan w:val="2"/>
            <w:shd w:val="clear" w:color="auto" w:fill="CCEEFF"/>
          </w:tcPr>
          <w:p>
            <w:pPr>
              <w:jc w:val="center"/>
              <w:ind w:right="80"/>
              <w:spacing w:after="0" w:line="104" w:lineRule="exact"/>
              <w:rPr>
                <w:sz w:val="20"/>
                <w:szCs w:val="20"/>
                <w:color w:val="auto"/>
              </w:rPr>
            </w:pPr>
            <w:r>
              <w:rPr>
                <w:rFonts w:ascii="Times New Roman" w:cs="Times New Roman" w:eastAsia="Times New Roman" w:hAnsi="Times New Roman"/>
                <w:sz w:val="10"/>
                <w:szCs w:val="10"/>
                <w:color w:val="auto"/>
                <w:w w:val="94"/>
              </w:rPr>
              <w:t>Various</w:t>
            </w:r>
          </w:p>
        </w:tc>
        <w:tc>
          <w:tcPr>
            <w:tcW w:w="54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13</w:t>
            </w:r>
          </w:p>
        </w:tc>
        <w:tc>
          <w:tcPr>
            <w:tcW w:w="14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center"/>
              <w:ind w:right="140"/>
              <w:spacing w:after="0" w:line="104" w:lineRule="exact"/>
              <w:rPr>
                <w:sz w:val="20"/>
                <w:szCs w:val="20"/>
                <w:color w:val="auto"/>
              </w:rPr>
            </w:pPr>
            <w:r>
              <w:rPr>
                <w:rFonts w:ascii="Times New Roman" w:cs="Times New Roman" w:eastAsia="Times New Roman" w:hAnsi="Times New Roman"/>
                <w:sz w:val="10"/>
                <w:szCs w:val="10"/>
                <w:color w:val="auto"/>
              </w:rPr>
              <w:t>U.S.</w:t>
            </w:r>
          </w:p>
        </w:tc>
        <w:tc>
          <w:tcPr>
            <w:tcW w:w="8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Various</w:t>
            </w:r>
          </w:p>
        </w:tc>
        <w:tc>
          <w:tcPr>
            <w:tcW w:w="30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30,529</w:t>
            </w:r>
          </w:p>
        </w:tc>
        <w:tc>
          <w:tcPr>
            <w:tcW w:w="14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14,603</w:t>
            </w:r>
          </w:p>
        </w:tc>
        <w:tc>
          <w:tcPr>
            <w:tcW w:w="0" w:type="dxa"/>
            <w:vAlign w:val="bottom"/>
          </w:tcPr>
          <w:p>
            <w:pPr>
              <w:spacing w:after="0"/>
              <w:rPr>
                <w:sz w:val="1"/>
                <w:szCs w:val="1"/>
                <w:color w:val="auto"/>
              </w:rPr>
            </w:pPr>
          </w:p>
        </w:tc>
      </w:tr>
      <w:tr>
        <w:trPr>
          <w:trHeight w:val="102"/>
        </w:trPr>
        <w:tc>
          <w:tcPr>
            <w:tcW w:w="2860" w:type="dxa"/>
            <w:vAlign w:val="bottom"/>
            <w:gridSpan w:val="3"/>
          </w:tcPr>
          <w:p>
            <w:pPr>
              <w:ind w:left="80"/>
              <w:spacing w:after="0" w:line="94" w:lineRule="exact"/>
              <w:rPr>
                <w:sz w:val="20"/>
                <w:szCs w:val="20"/>
                <w:color w:val="auto"/>
              </w:rPr>
            </w:pPr>
            <w:r>
              <w:rPr>
                <w:rFonts w:ascii="Times New Roman" w:cs="Times New Roman" w:eastAsia="Times New Roman" w:hAnsi="Times New Roman"/>
                <w:sz w:val="10"/>
                <w:szCs w:val="10"/>
                <w:color w:val="auto"/>
              </w:rPr>
              <w:t>Total</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43</w:t>
            </w: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jc w:val="right"/>
              <w:ind w:right="9"/>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1,148,158</w:t>
            </w:r>
          </w:p>
        </w:tc>
        <w:tc>
          <w:tcPr>
            <w:tcW w:w="140" w:type="dxa"/>
            <w:vAlign w:val="bottom"/>
          </w:tcPr>
          <w:p>
            <w:pPr>
              <w:spacing w:after="0"/>
              <w:rPr>
                <w:sz w:val="8"/>
                <w:szCs w:val="8"/>
                <w:color w:val="auto"/>
              </w:rPr>
            </w:pPr>
          </w:p>
        </w:tc>
        <w:tc>
          <w:tcPr>
            <w:tcW w:w="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1,287,109</w:t>
            </w:r>
          </w:p>
        </w:tc>
        <w:tc>
          <w:tcPr>
            <w:tcW w:w="0" w:type="dxa"/>
            <w:vAlign w:val="bottom"/>
          </w:tcPr>
          <w:p>
            <w:pPr>
              <w:spacing w:after="0"/>
              <w:rPr>
                <w:sz w:val="1"/>
                <w:szCs w:val="1"/>
                <w:color w:val="auto"/>
              </w:rPr>
            </w:pPr>
          </w:p>
        </w:tc>
      </w:tr>
      <w:tr>
        <w:trPr>
          <w:trHeight w:val="76"/>
        </w:trPr>
        <w:tc>
          <w:tcPr>
            <w:tcW w:w="2240" w:type="dxa"/>
            <w:vAlign w:val="bottom"/>
            <w:tcBorders>
              <w:bottom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00" w:hanging="175"/>
        <w:spacing w:after="0"/>
        <w:tabs>
          <w:tab w:leader="none" w:pos="2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maximum exposure to loss related to this unconsolidated variable interest entity (VIE) is limited to our equity investment in this VIE.</w:t>
      </w:r>
    </w:p>
    <w:p>
      <w:pPr>
        <w:spacing w:after="0" w:line="15" w:lineRule="exact"/>
        <w:rPr>
          <w:rFonts w:ascii="Times New Roman" w:cs="Times New Roman" w:eastAsia="Times New Roman" w:hAnsi="Times New Roman"/>
          <w:sz w:val="13"/>
          <w:szCs w:val="13"/>
          <w:color w:val="auto"/>
        </w:rPr>
      </w:pPr>
    </w:p>
    <w:p>
      <w:pPr>
        <w:ind w:left="260" w:right="100" w:hanging="235"/>
        <w:spacing w:after="0" w:line="245" w:lineRule="auto"/>
        <w:tabs>
          <w:tab w:leader="none" w:pos="211"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an approximate 2% ownership interest held by a non-controlling interest in our entity that holds the investment in the Ascenty joint venture, which has a carrying value as of December 31, 2020 and 2019 of approximately $21.9 million and $23.9 million, respectively, and is classified within redeemable noncontrolling interests in our consolidated balance sheet.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40"/>
          </w:cols>
          <w:pgMar w:left="1440" w:top="402" w:right="1419" w:bottom="1440" w:gutter="0" w:footer="0" w:header="0"/>
        </w:sectPr>
      </w:pPr>
    </w:p>
    <w:bookmarkStart w:id="153" w:name="page154"/>
    <w:bookmarkEnd w:id="15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619" w:firstLine="228"/>
        <w:spacing w:after="0" w:line="268" w:lineRule="auto"/>
        <w:rPr>
          <w:sz w:val="20"/>
          <w:szCs w:val="20"/>
          <w:color w:val="auto"/>
        </w:rPr>
      </w:pPr>
      <w:r>
        <w:rPr>
          <w:rFonts w:ascii="Times New Roman" w:cs="Times New Roman" w:eastAsia="Times New Roman" w:hAnsi="Times New Roman"/>
          <w:sz w:val="13"/>
          <w:szCs w:val="13"/>
          <w:color w:val="auto"/>
        </w:rPr>
        <w:t>The following tables present summarized financial information for our unconsolidated joint ventures for the years ended December 31, 2020, 2019, and 2018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9"/>
                <w:szCs w:val="9"/>
                <w:b w:val="1"/>
                <w:bCs w:val="1"/>
                <w:color w:val="auto"/>
              </w:rPr>
              <w:t>Property</w:t>
            </w:r>
          </w:p>
        </w:tc>
        <w:tc>
          <w:tcPr>
            <w:tcW w:w="60" w:type="dxa"/>
            <w:vAlign w:val="bottom"/>
          </w:tcPr>
          <w:p>
            <w:pPr>
              <w:spacing w:after="0"/>
              <w:rPr>
                <w:sz w:val="8"/>
                <w:szCs w:val="8"/>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88"/>
              </w:rPr>
              <w:t>Net</w:t>
            </w:r>
          </w:p>
        </w:tc>
        <w:tc>
          <w:tcPr>
            <w:tcW w:w="100" w:type="dxa"/>
            <w:vAlign w:val="bottom"/>
          </w:tcPr>
          <w:p>
            <w:pPr>
              <w:spacing w:after="0"/>
              <w:rPr>
                <w:sz w:val="8"/>
                <w:szCs w:val="8"/>
                <w:color w:val="auto"/>
              </w:rPr>
            </w:pPr>
          </w:p>
        </w:tc>
        <w:tc>
          <w:tcPr>
            <w:tcW w:w="540" w:type="dxa"/>
            <w:vAlign w:val="bottom"/>
          </w:tcPr>
          <w:p>
            <w:pPr>
              <w:jc w:val="right"/>
              <w:ind w:right="216"/>
              <w:spacing w:after="0"/>
              <w:rPr>
                <w:sz w:val="20"/>
                <w:szCs w:val="20"/>
                <w:color w:val="auto"/>
              </w:rPr>
            </w:pPr>
            <w:r>
              <w:rPr>
                <w:rFonts w:ascii="Times New Roman" w:cs="Times New Roman" w:eastAsia="Times New Roman" w:hAnsi="Times New Roman"/>
                <w:sz w:val="9"/>
                <w:szCs w:val="9"/>
                <w:b w:val="1"/>
                <w:bCs w:val="1"/>
                <w:color w:val="auto"/>
              </w:rPr>
              <w:t>Net</w:t>
            </w:r>
          </w:p>
        </w:tc>
        <w:tc>
          <w:tcPr>
            <w:tcW w:w="0" w:type="dxa"/>
            <w:vAlign w:val="bottom"/>
          </w:tcPr>
          <w:p>
            <w:pPr>
              <w:spacing w:after="0"/>
              <w:rPr>
                <w:sz w:val="1"/>
                <w:szCs w:val="1"/>
                <w:color w:val="auto"/>
              </w:rPr>
            </w:pPr>
          </w:p>
        </w:tc>
      </w:tr>
      <w:tr>
        <w:trPr>
          <w:trHeight w:val="95"/>
        </w:trPr>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right"/>
              <w:ind w:right="216"/>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w w:val="98"/>
              </w:rPr>
              <w:t>Net Investment</w:t>
            </w:r>
          </w:p>
        </w:tc>
        <w:tc>
          <w:tcPr>
            <w:tcW w:w="140" w:type="dxa"/>
            <w:vAlign w:val="bottom"/>
          </w:tcPr>
          <w:p>
            <w:pPr>
              <w:spacing w:after="0"/>
              <w:rPr>
                <w:sz w:val="8"/>
                <w:szCs w:val="8"/>
                <w:color w:val="auto"/>
              </w:rPr>
            </w:pPr>
          </w:p>
        </w:tc>
        <w:tc>
          <w:tcPr>
            <w:tcW w:w="64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9"/>
                <w:szCs w:val="9"/>
                <w:b w:val="1"/>
                <w:bCs w:val="1"/>
                <w:color w:val="auto"/>
                <w:w w:val="97"/>
              </w:rPr>
              <w:t>Total</w:t>
            </w:r>
          </w:p>
        </w:tc>
        <w:tc>
          <w:tcPr>
            <w:tcW w:w="100" w:type="dxa"/>
            <w:vAlign w:val="bottom"/>
          </w:tcPr>
          <w:p>
            <w:pPr>
              <w:spacing w:after="0"/>
              <w:rPr>
                <w:sz w:val="8"/>
                <w:szCs w:val="8"/>
                <w:color w:val="auto"/>
              </w:rPr>
            </w:pPr>
          </w:p>
        </w:tc>
        <w:tc>
          <w:tcPr>
            <w:tcW w:w="68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w w:val="95"/>
              </w:rPr>
              <w:t>Mortgage</w:t>
            </w:r>
          </w:p>
        </w:tc>
        <w:tc>
          <w:tcPr>
            <w:tcW w:w="100" w:type="dxa"/>
            <w:vAlign w:val="bottom"/>
          </w:tcPr>
          <w:p>
            <w:pPr>
              <w:spacing w:after="0"/>
              <w:rPr>
                <w:sz w:val="8"/>
                <w:szCs w:val="8"/>
                <w:color w:val="auto"/>
              </w:rPr>
            </w:pPr>
          </w:p>
        </w:tc>
        <w:tc>
          <w:tcPr>
            <w:tcW w:w="68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w w:val="97"/>
              </w:rPr>
              <w:t>Total</w:t>
            </w: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240"/>
              <w:spacing w:after="0" w:line="95" w:lineRule="exact"/>
              <w:rPr>
                <w:sz w:val="20"/>
                <w:szCs w:val="20"/>
                <w:color w:val="auto"/>
              </w:rPr>
            </w:pPr>
            <w:r>
              <w:rPr>
                <w:rFonts w:ascii="Times New Roman" w:cs="Times New Roman" w:eastAsia="Times New Roman" w:hAnsi="Times New Roman"/>
                <w:sz w:val="9"/>
                <w:szCs w:val="9"/>
                <w:b w:val="1"/>
                <w:bCs w:val="1"/>
                <w:color w:val="auto"/>
              </w:rPr>
              <w:t>Operating</w:t>
            </w:r>
          </w:p>
        </w:tc>
        <w:tc>
          <w:tcPr>
            <w:tcW w:w="60" w:type="dxa"/>
            <w:vAlign w:val="bottom"/>
          </w:tcPr>
          <w:p>
            <w:pPr>
              <w:spacing w:after="0"/>
              <w:rPr>
                <w:sz w:val="8"/>
                <w:szCs w:val="8"/>
                <w:color w:val="auto"/>
              </w:rPr>
            </w:pPr>
          </w:p>
        </w:tc>
        <w:tc>
          <w:tcPr>
            <w:tcW w:w="64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b w:val="1"/>
                <w:bCs w:val="1"/>
                <w:color w:val="auto"/>
              </w:rPr>
              <w:t>Operating</w:t>
            </w:r>
          </w:p>
        </w:tc>
        <w:tc>
          <w:tcPr>
            <w:tcW w:w="100" w:type="dxa"/>
            <w:vAlign w:val="bottom"/>
          </w:tcPr>
          <w:p>
            <w:pPr>
              <w:spacing w:after="0"/>
              <w:rPr>
                <w:sz w:val="8"/>
                <w:szCs w:val="8"/>
                <w:color w:val="auto"/>
              </w:rPr>
            </w:pPr>
          </w:p>
        </w:tc>
        <w:tc>
          <w:tcPr>
            <w:tcW w:w="540" w:type="dxa"/>
            <w:vAlign w:val="bottom"/>
          </w:tcPr>
          <w:p>
            <w:pPr>
              <w:jc w:val="right"/>
              <w:ind w:right="156"/>
              <w:spacing w:after="0" w:line="95" w:lineRule="exact"/>
              <w:rPr>
                <w:sz w:val="20"/>
                <w:szCs w:val="20"/>
                <w:color w:val="auto"/>
              </w:rPr>
            </w:pPr>
            <w:r>
              <w:rPr>
                <w:rFonts w:ascii="Times New Roman" w:cs="Times New Roman" w:eastAsia="Times New Roman" w:hAnsi="Times New Roman"/>
                <w:sz w:val="9"/>
                <w:szCs w:val="9"/>
                <w:b w:val="1"/>
                <w:bCs w:val="1"/>
                <w:color w:val="auto"/>
              </w:rPr>
              <w:t>Income</w:t>
            </w:r>
          </w:p>
        </w:tc>
        <w:tc>
          <w:tcPr>
            <w:tcW w:w="0" w:type="dxa"/>
            <w:vAlign w:val="bottom"/>
          </w:tcPr>
          <w:p>
            <w:pPr>
              <w:spacing w:after="0"/>
              <w:rPr>
                <w:sz w:val="1"/>
                <w:szCs w:val="1"/>
                <w:color w:val="auto"/>
              </w:rPr>
            </w:pPr>
          </w:p>
        </w:tc>
      </w:tr>
      <w:tr>
        <w:trPr>
          <w:trHeight w:val="108"/>
        </w:trPr>
        <w:tc>
          <w:tcPr>
            <w:tcW w:w="128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2020</w:t>
            </w:r>
          </w:p>
        </w:tc>
        <w:tc>
          <w:tcPr>
            <w:tcW w:w="120" w:type="dxa"/>
            <w:vAlign w:val="bottom"/>
          </w:tcPr>
          <w:p>
            <w:pPr>
              <w:spacing w:after="0"/>
              <w:rPr>
                <w:sz w:val="9"/>
                <w:szCs w:val="9"/>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8"/>
              </w:rPr>
              <w:t>Ownership</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in Properties</w:t>
            </w:r>
          </w:p>
        </w:tc>
        <w:tc>
          <w:tcPr>
            <w:tcW w:w="140" w:type="dxa"/>
            <w:vAlign w:val="bottom"/>
          </w:tcPr>
          <w:p>
            <w:pPr>
              <w:spacing w:after="0"/>
              <w:rPr>
                <w:sz w:val="9"/>
                <w:szCs w:val="9"/>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9"/>
              </w:rPr>
              <w:t>Assets</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Loans</w:t>
            </w:r>
          </w:p>
        </w:tc>
        <w:tc>
          <w:tcPr>
            <w:tcW w:w="100" w:type="dxa"/>
            <w:vAlign w:val="bottom"/>
          </w:tcPr>
          <w:p>
            <w:pPr>
              <w:spacing w:after="0"/>
              <w:rPr>
                <w:sz w:val="9"/>
                <w:szCs w:val="9"/>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8"/>
              </w:rPr>
              <w:t>Liabilities</w:t>
            </w:r>
          </w:p>
        </w:tc>
        <w:tc>
          <w:tcPr>
            <w:tcW w:w="120" w:type="dxa"/>
            <w:vAlign w:val="bottom"/>
          </w:tcPr>
          <w:p>
            <w:pPr>
              <w:spacing w:after="0"/>
              <w:rPr>
                <w:sz w:val="9"/>
                <w:szCs w:val="9"/>
                <w:color w:val="auto"/>
              </w:rPr>
            </w:pPr>
          </w:p>
        </w:tc>
        <w:tc>
          <w:tcPr>
            <w:tcW w:w="540" w:type="dxa"/>
            <w:vAlign w:val="bottom"/>
          </w:tcPr>
          <w:p>
            <w:pPr>
              <w:jc w:val="right"/>
              <w:ind w:right="156"/>
              <w:spacing w:after="0"/>
              <w:rPr>
                <w:sz w:val="20"/>
                <w:szCs w:val="20"/>
                <w:color w:val="auto"/>
              </w:rPr>
            </w:pPr>
            <w:r>
              <w:rPr>
                <w:rFonts w:ascii="Times New Roman" w:cs="Times New Roman" w:eastAsia="Times New Roman" w:hAnsi="Times New Roman"/>
                <w:sz w:val="9"/>
                <w:szCs w:val="9"/>
                <w:b w:val="1"/>
                <w:bCs w:val="1"/>
                <w:color w:val="auto"/>
              </w:rPr>
              <w:t>Equity</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Revenues</w:t>
            </w:r>
          </w:p>
        </w:tc>
        <w:tc>
          <w:tcPr>
            <w:tcW w:w="60" w:type="dxa"/>
            <w:vAlign w:val="bottom"/>
          </w:tcPr>
          <w:p>
            <w:pPr>
              <w:spacing w:after="0"/>
              <w:rPr>
                <w:sz w:val="9"/>
                <w:szCs w:val="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9"/>
                <w:szCs w:val="9"/>
                <w:b w:val="1"/>
                <w:bCs w:val="1"/>
                <w:color w:val="auto"/>
              </w:rPr>
              <w:t>Expense</w:t>
            </w:r>
          </w:p>
        </w:tc>
        <w:tc>
          <w:tcPr>
            <w:tcW w:w="60" w:type="dxa"/>
            <w:vAlign w:val="bottom"/>
          </w:tcPr>
          <w:p>
            <w:pPr>
              <w:spacing w:after="0"/>
              <w:rPr>
                <w:sz w:val="9"/>
                <w:szCs w:val="9"/>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8"/>
              </w:rPr>
              <w:t>Income</w:t>
            </w:r>
          </w:p>
        </w:tc>
        <w:tc>
          <w:tcPr>
            <w:tcW w:w="100" w:type="dxa"/>
            <w:vAlign w:val="bottom"/>
          </w:tcPr>
          <w:p>
            <w:pPr>
              <w:spacing w:after="0"/>
              <w:rPr>
                <w:sz w:val="9"/>
                <w:szCs w:val="9"/>
                <w:color w:val="auto"/>
              </w:rPr>
            </w:pPr>
          </w:p>
        </w:tc>
        <w:tc>
          <w:tcPr>
            <w:tcW w:w="540" w:type="dxa"/>
            <w:vAlign w:val="bottom"/>
          </w:tcPr>
          <w:p>
            <w:pPr>
              <w:jc w:val="right"/>
              <w:ind w:right="156"/>
              <w:spacing w:after="0"/>
              <w:rPr>
                <w:sz w:val="20"/>
                <w:szCs w:val="20"/>
                <w:color w:val="auto"/>
              </w:rPr>
            </w:pPr>
            <w:r>
              <w:rPr>
                <w:rFonts w:ascii="Times New Roman" w:cs="Times New Roman" w:eastAsia="Times New Roman" w:hAnsi="Times New Roman"/>
                <w:sz w:val="9"/>
                <w:szCs w:val="9"/>
                <w:b w:val="1"/>
                <w:bCs w:val="1"/>
                <w:color w:val="auto"/>
              </w:rPr>
              <w:t>(Loss)</w:t>
            </w:r>
          </w:p>
        </w:tc>
        <w:tc>
          <w:tcPr>
            <w:tcW w:w="0" w:type="dxa"/>
            <w:vAlign w:val="bottom"/>
          </w:tcPr>
          <w:p>
            <w:pPr>
              <w:spacing w:after="0"/>
              <w:rPr>
                <w:sz w:val="1"/>
                <w:szCs w:val="1"/>
                <w:color w:val="auto"/>
              </w:rPr>
            </w:pPr>
          </w:p>
        </w:tc>
      </w:tr>
      <w:tr>
        <w:trPr>
          <w:trHeight w:val="84"/>
        </w:trPr>
        <w:tc>
          <w:tcPr>
            <w:tcW w:w="1280" w:type="dxa"/>
            <w:vAlign w:val="bottom"/>
            <w:tcBorders>
              <w:top w:val="single" w:sz="8" w:color="auto"/>
            </w:tcBorders>
            <w:shd w:val="clear" w:color="auto" w:fill="CCEEFF"/>
          </w:tcPr>
          <w:p>
            <w:pPr>
              <w:spacing w:after="0" w:line="85" w:lineRule="exact"/>
              <w:rPr>
                <w:sz w:val="20"/>
                <w:szCs w:val="20"/>
                <w:color w:val="auto"/>
              </w:rPr>
            </w:pPr>
            <w:r>
              <w:rPr>
                <w:rFonts w:ascii="Times New Roman" w:cs="Times New Roman" w:eastAsia="Times New Roman" w:hAnsi="Times New Roman"/>
                <w:sz w:val="9"/>
                <w:szCs w:val="9"/>
                <w:b w:val="1"/>
                <w:bCs w:val="1"/>
                <w:color w:val="auto"/>
              </w:rPr>
              <w:t>Unconsolidated Joint Ventures</w:t>
            </w:r>
          </w:p>
        </w:tc>
        <w:tc>
          <w:tcPr>
            <w:tcW w:w="1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2020 Fifth Avenue</w:t>
            </w:r>
          </w:p>
        </w:tc>
        <w:tc>
          <w:tcPr>
            <w:tcW w:w="74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50.00 %</w:t>
            </w:r>
          </w:p>
        </w:tc>
        <w:tc>
          <w:tcPr>
            <w:tcW w:w="1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7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43,255</w:t>
            </w:r>
          </w:p>
        </w:tc>
        <w:tc>
          <w:tcPr>
            <w:tcW w:w="120" w:type="dxa"/>
            <w:vAlign w:val="bottom"/>
          </w:tcPr>
          <w:p>
            <w:pPr>
              <w:spacing w:after="0"/>
              <w:rPr>
                <w:sz w:val="8"/>
                <w:szCs w:val="8"/>
                <w:color w:val="auto"/>
              </w:rPr>
            </w:pPr>
          </w:p>
        </w:tc>
        <w:tc>
          <w:tcPr>
            <w:tcW w:w="140" w:type="dxa"/>
            <w:vAlign w:val="bottom"/>
          </w:tcPr>
          <w:p>
            <w:pPr>
              <w:jc w:val="right"/>
              <w:ind w:right="36"/>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52,435</w:t>
            </w:r>
          </w:p>
        </w:tc>
        <w:tc>
          <w:tcPr>
            <w:tcW w:w="120" w:type="dxa"/>
            <w:vAlign w:val="bottom"/>
          </w:tcPr>
          <w:p>
            <w:pPr>
              <w:spacing w:after="0"/>
              <w:rPr>
                <w:sz w:val="8"/>
                <w:szCs w:val="8"/>
                <w:color w:val="auto"/>
              </w:rPr>
            </w:pPr>
          </w:p>
        </w:tc>
        <w:tc>
          <w:tcPr>
            <w:tcW w:w="1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47,748</w:t>
            </w:r>
          </w:p>
        </w:tc>
        <w:tc>
          <w:tcPr>
            <w:tcW w:w="120" w:type="dxa"/>
            <w:vAlign w:val="bottom"/>
          </w:tcPr>
          <w:p>
            <w:pPr>
              <w:spacing w:after="0"/>
              <w:rPr>
                <w:sz w:val="8"/>
                <w:szCs w:val="8"/>
                <w:color w:val="auto"/>
              </w:rPr>
            </w:pPr>
          </w:p>
        </w:tc>
        <w:tc>
          <w:tcPr>
            <w:tcW w:w="1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48,119</w:t>
            </w:r>
          </w:p>
        </w:tc>
        <w:tc>
          <w:tcPr>
            <w:tcW w:w="120" w:type="dxa"/>
            <w:vAlign w:val="bottom"/>
          </w:tcPr>
          <w:p>
            <w:pPr>
              <w:spacing w:after="0"/>
              <w:rPr>
                <w:sz w:val="8"/>
                <w:szCs w:val="8"/>
                <w:color w:val="auto"/>
              </w:rPr>
            </w:pPr>
          </w:p>
        </w:tc>
        <w:tc>
          <w:tcPr>
            <w:tcW w:w="120" w:type="dxa"/>
            <w:vAlign w:val="bottom"/>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4,316</w:t>
            </w:r>
          </w:p>
        </w:tc>
        <w:tc>
          <w:tcPr>
            <w:tcW w:w="200" w:type="dxa"/>
            <w:vAlign w:val="bottom"/>
            <w:gridSpan w:val="2"/>
          </w:tcPr>
          <w:p>
            <w:pPr>
              <w:jc w:val="right"/>
              <w:ind w:right="18"/>
              <w:spacing w:after="0" w:line="95"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10,107</w:t>
            </w:r>
          </w:p>
        </w:tc>
        <w:tc>
          <w:tcPr>
            <w:tcW w:w="12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(2,887)</w:t>
            </w:r>
          </w:p>
        </w:tc>
        <w:tc>
          <w:tcPr>
            <w:tcW w:w="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7,220</w:t>
            </w:r>
          </w:p>
        </w:tc>
        <w:tc>
          <w:tcPr>
            <w:tcW w:w="120" w:type="dxa"/>
            <w:vAlign w:val="bottom"/>
          </w:tcPr>
          <w:p>
            <w:pPr>
              <w:spacing w:after="0"/>
              <w:rPr>
                <w:sz w:val="8"/>
                <w:szCs w:val="8"/>
                <w:color w:val="auto"/>
              </w:rPr>
            </w:pPr>
          </w:p>
        </w:tc>
        <w:tc>
          <w:tcPr>
            <w:tcW w:w="1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4,393</w:t>
            </w:r>
          </w:p>
        </w:tc>
        <w:tc>
          <w:tcPr>
            <w:tcW w:w="0" w:type="dxa"/>
            <w:vAlign w:val="bottom"/>
          </w:tcPr>
          <w:p>
            <w:pPr>
              <w:spacing w:after="0"/>
              <w:rPr>
                <w:sz w:val="1"/>
                <w:szCs w:val="1"/>
                <w:color w:val="auto"/>
              </w:rPr>
            </w:pPr>
          </w:p>
        </w:tc>
      </w:tr>
      <w:tr>
        <w:trPr>
          <w:trHeight w:val="95"/>
        </w:trPr>
        <w:tc>
          <w:tcPr>
            <w:tcW w:w="14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CenturyLink</w:t>
            </w:r>
          </w:p>
        </w:tc>
        <w:tc>
          <w:tcPr>
            <w:tcW w:w="74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50.00 %</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142,596</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181,464</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8,264</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173,200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25,006</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(10,241)</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14,765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5,581</w:t>
            </w:r>
          </w:p>
        </w:tc>
        <w:tc>
          <w:tcPr>
            <w:tcW w:w="0" w:type="dxa"/>
            <w:vAlign w:val="bottom"/>
          </w:tcPr>
          <w:p>
            <w:pPr>
              <w:spacing w:after="0"/>
              <w:rPr>
                <w:sz w:val="1"/>
                <w:szCs w:val="1"/>
                <w:color w:val="auto"/>
              </w:rPr>
            </w:pPr>
          </w:p>
        </w:tc>
      </w:tr>
      <w:tr>
        <w:trPr>
          <w:trHeight w:val="95"/>
        </w:trPr>
        <w:tc>
          <w:tcPr>
            <w:tcW w:w="14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Mitsubishi</w:t>
            </w:r>
          </w:p>
        </w:tc>
        <w:tc>
          <w:tcPr>
            <w:tcW w:w="74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50.00 %</w:t>
            </w:r>
          </w:p>
        </w:tc>
        <w:tc>
          <w:tcPr>
            <w:tcW w:w="10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734,362</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968,957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243,911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358,749</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610,208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154,114</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(71,001)</w:t>
            </w:r>
          </w:p>
        </w:tc>
        <w:tc>
          <w:tcPr>
            <w:tcW w:w="6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83,113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43,746</w:t>
            </w:r>
          </w:p>
        </w:tc>
        <w:tc>
          <w:tcPr>
            <w:tcW w:w="0" w:type="dxa"/>
            <w:vAlign w:val="bottom"/>
          </w:tcPr>
          <w:p>
            <w:pPr>
              <w:spacing w:after="0"/>
              <w:rPr>
                <w:sz w:val="1"/>
                <w:szCs w:val="1"/>
                <w:color w:val="auto"/>
              </w:rPr>
            </w:pPr>
          </w:p>
        </w:tc>
      </w:tr>
      <w:tr>
        <w:trPr>
          <w:trHeight w:val="95"/>
        </w:trPr>
        <w:tc>
          <w:tcPr>
            <w:tcW w:w="14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Ascenty</w:t>
            </w:r>
          </w:p>
        </w:tc>
        <w:tc>
          <w:tcPr>
            <w:tcW w:w="74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51.00 %</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594,322</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1,862,402</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720,623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833,801</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1,028,601</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165,680</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(60,640)</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105,040</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(191,161)</w:t>
            </w:r>
          </w:p>
        </w:tc>
        <w:tc>
          <w:tcPr>
            <w:tcW w:w="0" w:type="dxa"/>
            <w:vAlign w:val="bottom"/>
          </w:tcPr>
          <w:p>
            <w:pPr>
              <w:spacing w:after="0"/>
              <w:rPr>
                <w:sz w:val="1"/>
                <w:szCs w:val="1"/>
                <w:color w:val="auto"/>
              </w:rPr>
            </w:pPr>
          </w:p>
        </w:tc>
      </w:tr>
      <w:tr>
        <w:trPr>
          <w:trHeight w:val="95"/>
        </w:trPr>
        <w:tc>
          <w:tcPr>
            <w:tcW w:w="14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Mapletree</w:t>
            </w:r>
          </w:p>
        </w:tc>
        <w:tc>
          <w:tcPr>
            <w:tcW w:w="74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20.00 %</w:t>
            </w:r>
          </w:p>
        </w:tc>
        <w:tc>
          <w:tcPr>
            <w:tcW w:w="10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723,678</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985,900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4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38,140</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947,760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106,966</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(40,904)</w:t>
            </w:r>
          </w:p>
        </w:tc>
        <w:tc>
          <w:tcPr>
            <w:tcW w:w="6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66,062</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(11,473)</w:t>
            </w:r>
          </w:p>
        </w:tc>
        <w:tc>
          <w:tcPr>
            <w:tcW w:w="0" w:type="dxa"/>
            <w:vAlign w:val="bottom"/>
          </w:tcPr>
          <w:p>
            <w:pPr>
              <w:spacing w:after="0"/>
              <w:rPr>
                <w:sz w:val="1"/>
                <w:szCs w:val="1"/>
                <w:color w:val="auto"/>
              </w:rPr>
            </w:pPr>
          </w:p>
        </w:tc>
      </w:tr>
      <w:tr>
        <w:trPr>
          <w:trHeight w:val="95"/>
        </w:trPr>
        <w:tc>
          <w:tcPr>
            <w:tcW w:w="14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PREI ®</w:t>
            </w:r>
          </w:p>
        </w:tc>
        <w:tc>
          <w:tcPr>
            <w:tcW w:w="74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20.00 %</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359,706</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409,836</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211,205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278,645</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131,191</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41,459</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(9,182)</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32,277</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9,446</w:t>
            </w:r>
          </w:p>
        </w:tc>
        <w:tc>
          <w:tcPr>
            <w:tcW w:w="0" w:type="dxa"/>
            <w:vAlign w:val="bottom"/>
          </w:tcPr>
          <w:p>
            <w:pPr>
              <w:spacing w:after="0"/>
              <w:rPr>
                <w:sz w:val="1"/>
                <w:szCs w:val="1"/>
                <w:color w:val="auto"/>
              </w:rPr>
            </w:pPr>
          </w:p>
        </w:tc>
      </w:tr>
      <w:tr>
        <w:trPr>
          <w:trHeight w:val="95"/>
        </w:trPr>
        <w:tc>
          <w:tcPr>
            <w:tcW w:w="140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GCEAR</w:t>
            </w:r>
          </w:p>
        </w:tc>
        <w:tc>
          <w:tcPr>
            <w:tcW w:w="74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20.00 %</w:t>
            </w:r>
          </w:p>
        </w:tc>
        <w:tc>
          <w:tcPr>
            <w:tcW w:w="10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106,316</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117,573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89,300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90,709</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26,864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21,401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(6,787)</w:t>
            </w:r>
          </w:p>
        </w:tc>
        <w:tc>
          <w:tcPr>
            <w:tcW w:w="6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14,614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4,642</w:t>
            </w:r>
          </w:p>
        </w:tc>
        <w:tc>
          <w:tcPr>
            <w:tcW w:w="0" w:type="dxa"/>
            <w:vAlign w:val="bottom"/>
          </w:tcPr>
          <w:p>
            <w:pPr>
              <w:spacing w:after="0"/>
              <w:rPr>
                <w:sz w:val="1"/>
                <w:szCs w:val="1"/>
                <w:color w:val="auto"/>
              </w:rPr>
            </w:pPr>
          </w:p>
        </w:tc>
      </w:tr>
      <w:tr>
        <w:trPr>
          <w:trHeight w:val="95"/>
        </w:trPr>
        <w:tc>
          <w:tcPr>
            <w:tcW w:w="14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Other</w:t>
            </w:r>
          </w:p>
        </w:tc>
        <w:tc>
          <w:tcPr>
            <w:tcW w:w="740" w:type="dxa"/>
            <w:vAlign w:val="bottom"/>
            <w:gridSpan w:val="2"/>
            <w:shd w:val="clear" w:color="auto" w:fill="CCEEFF"/>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Various</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19,261</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24,371</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3,563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3,876</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20,495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10,508</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(6,945)</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3,563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(271)</w:t>
            </w:r>
          </w:p>
        </w:tc>
        <w:tc>
          <w:tcPr>
            <w:tcW w:w="0" w:type="dxa"/>
            <w:vAlign w:val="bottom"/>
          </w:tcPr>
          <w:p>
            <w:pPr>
              <w:spacing w:after="0"/>
              <w:rPr>
                <w:sz w:val="1"/>
                <w:szCs w:val="1"/>
                <w:color w:val="auto"/>
              </w:rPr>
            </w:pPr>
          </w:p>
        </w:tc>
      </w:tr>
      <w:tr>
        <w:trPr>
          <w:trHeight w:val="20"/>
        </w:trPr>
        <w:tc>
          <w:tcPr>
            <w:tcW w:w="1400" w:type="dxa"/>
            <w:vAlign w:val="bottom"/>
            <w:gridSpan w:val="2"/>
            <w:vMerge w:val="restart"/>
          </w:tcPr>
          <w:p>
            <w:pPr>
              <w:spacing w:after="0" w:line="82" w:lineRule="exact"/>
              <w:rPr>
                <w:sz w:val="20"/>
                <w:szCs w:val="20"/>
                <w:color w:val="auto"/>
              </w:rPr>
            </w:pPr>
            <w:r>
              <w:rPr>
                <w:rFonts w:ascii="Times New Roman" w:cs="Times New Roman" w:eastAsia="Times New Roman" w:hAnsi="Times New Roman"/>
                <w:sz w:val="9"/>
                <w:szCs w:val="9"/>
                <w:b w:val="1"/>
                <w:bCs w:val="1"/>
                <w:color w:val="auto"/>
              </w:rPr>
              <w:t>Total Unconsolidated Joint</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4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2,723,496</w:t>
            </w:r>
          </w:p>
        </w:tc>
        <w:tc>
          <w:tcPr>
            <w:tcW w:w="120" w:type="dxa"/>
            <w:vAlign w:val="bottom"/>
          </w:tcPr>
          <w:p>
            <w:pPr>
              <w:spacing w:after="0"/>
              <w:rPr>
                <w:sz w:val="5"/>
                <w:szCs w:val="5"/>
                <w:color w:val="auto"/>
              </w:rPr>
            </w:pPr>
          </w:p>
        </w:tc>
        <w:tc>
          <w:tcPr>
            <w:tcW w:w="140" w:type="dxa"/>
            <w:vAlign w:val="bottom"/>
            <w:vMerge w:val="restart"/>
          </w:tcPr>
          <w:p>
            <w:pPr>
              <w:jc w:val="right"/>
              <w:ind w:right="36"/>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4,602,938</w:t>
            </w:r>
          </w:p>
        </w:tc>
        <w:tc>
          <w:tcPr>
            <w:tcW w:w="12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1,316,350</w:t>
            </w:r>
          </w:p>
        </w:tc>
        <w:tc>
          <w:tcPr>
            <w:tcW w:w="12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1,660,303</w:t>
            </w:r>
          </w:p>
        </w:tc>
        <w:tc>
          <w:tcPr>
            <w:tcW w:w="120" w:type="dxa"/>
            <w:vAlign w:val="bottom"/>
          </w:tcPr>
          <w:p>
            <w:pPr>
              <w:spacing w:after="0"/>
              <w:rPr>
                <w:sz w:val="5"/>
                <w:szCs w:val="5"/>
                <w:color w:val="auto"/>
              </w:rPr>
            </w:pPr>
          </w:p>
        </w:tc>
        <w:tc>
          <w:tcPr>
            <w:tcW w:w="120" w:type="dxa"/>
            <w:vAlign w:val="bottom"/>
            <w:vMerge w:val="restart"/>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2,942,635</w:t>
            </w:r>
          </w:p>
        </w:tc>
        <w:tc>
          <w:tcPr>
            <w:tcW w:w="120" w:type="dxa"/>
            <w:vAlign w:val="bottom"/>
            <w:vMerge w:val="restart"/>
          </w:tcPr>
          <w:p>
            <w:pPr>
              <w:spacing w:after="0"/>
              <w:rPr>
                <w:sz w:val="5"/>
                <w:szCs w:val="5"/>
                <w:color w:val="auto"/>
              </w:rPr>
            </w:pPr>
          </w:p>
        </w:tc>
        <w:tc>
          <w:tcPr>
            <w:tcW w:w="80" w:type="dxa"/>
            <w:vAlign w:val="bottom"/>
            <w:vMerge w:val="restart"/>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535,241</w:t>
            </w:r>
          </w:p>
        </w:tc>
        <w:tc>
          <w:tcPr>
            <w:tcW w:w="120" w:type="dxa"/>
            <w:vAlign w:val="bottom"/>
          </w:tcPr>
          <w:p>
            <w:pPr>
              <w:spacing w:after="0"/>
              <w:rPr>
                <w:sz w:val="5"/>
                <w:szCs w:val="5"/>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9"/>
                <w:szCs w:val="9"/>
                <w:color w:val="auto"/>
              </w:rPr>
              <w:t>(208,587)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326,654</w:t>
            </w:r>
          </w:p>
        </w:tc>
        <w:tc>
          <w:tcPr>
            <w:tcW w:w="12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(135,097)</w:t>
            </w:r>
          </w:p>
        </w:tc>
        <w:tc>
          <w:tcPr>
            <w:tcW w:w="0" w:type="dxa"/>
            <w:vAlign w:val="bottom"/>
          </w:tcPr>
          <w:p>
            <w:pPr>
              <w:spacing w:after="0"/>
              <w:rPr>
                <w:sz w:val="1"/>
                <w:szCs w:val="1"/>
                <w:color w:val="auto"/>
              </w:rPr>
            </w:pPr>
          </w:p>
        </w:tc>
      </w:tr>
      <w:tr>
        <w:trPr>
          <w:trHeight w:val="107"/>
        </w:trPr>
        <w:tc>
          <w:tcPr>
            <w:tcW w:w="140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b w:val="1"/>
                <w:bCs w:val="1"/>
                <w:color w:val="auto"/>
              </w:rPr>
              <w:t>Ventures</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400" w:type="dxa"/>
            <w:vAlign w:val="bottom"/>
            <w:tcBorders>
              <w:top w:val="single" w:sz="8" w:color="CCEEFF"/>
            </w:tcBorders>
            <w:gridSpan w:val="2"/>
            <w:shd w:val="clear" w:color="auto" w:fill="CCEEFF"/>
          </w:tcPr>
          <w:p>
            <w:pPr>
              <w:spacing w:after="0" w:line="63" w:lineRule="exact"/>
              <w:rPr>
                <w:sz w:val="20"/>
                <w:szCs w:val="20"/>
                <w:color w:val="auto"/>
              </w:rPr>
            </w:pPr>
            <w:r>
              <w:rPr>
                <w:rFonts w:ascii="Times New Roman" w:cs="Times New Roman" w:eastAsia="Times New Roman" w:hAnsi="Times New Roman"/>
                <w:sz w:val="7"/>
                <w:szCs w:val="7"/>
                <w:color w:val="auto"/>
              </w:rPr>
              <w:t>Our investment in and share of</w:t>
            </w: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40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equity in loss of unconsolidated</w:t>
            </w: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1,148,158</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(57,629)</w:t>
            </w:r>
          </w:p>
        </w:tc>
        <w:tc>
          <w:tcPr>
            <w:tcW w:w="0" w:type="dxa"/>
            <w:vAlign w:val="bottom"/>
          </w:tcPr>
          <w:p>
            <w:pPr>
              <w:spacing w:after="0"/>
              <w:rPr>
                <w:sz w:val="1"/>
                <w:szCs w:val="1"/>
                <w:color w:val="auto"/>
              </w:rPr>
            </w:pPr>
          </w:p>
        </w:tc>
      </w:tr>
      <w:tr>
        <w:trPr>
          <w:trHeight w:val="107"/>
        </w:trPr>
        <w:tc>
          <w:tcPr>
            <w:tcW w:w="1400" w:type="dxa"/>
            <w:vAlign w:val="bottom"/>
            <w:tcBorders>
              <w:bottom w:val="single" w:sz="8" w:color="CCEEFF"/>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joint ventures</w:t>
            </w:r>
          </w:p>
        </w:tc>
        <w:tc>
          <w:tcPr>
            <w:tcW w:w="6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vMerge w:val="continue"/>
            <w:shd w:val="clear" w:color="auto" w:fill="CCEEFF"/>
          </w:tcPr>
          <w:p>
            <w:pPr>
              <w:spacing w:after="0"/>
              <w:rPr>
                <w:sz w:val="9"/>
                <w:szCs w:val="9"/>
                <w:color w:val="auto"/>
              </w:rPr>
            </w:pPr>
          </w:p>
        </w:tc>
        <w:tc>
          <w:tcPr>
            <w:tcW w:w="540" w:type="dxa"/>
            <w:vAlign w:val="bottom"/>
            <w:tcBorders>
              <w:bottom w:val="single" w:sz="8" w:color="auto"/>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vMerge w:val="continue"/>
            <w:shd w:val="clear" w:color="auto" w:fill="CCEEFF"/>
          </w:tcPr>
          <w:p>
            <w:pPr>
              <w:spacing w:after="0"/>
              <w:rPr>
                <w:sz w:val="9"/>
                <w:szCs w:val="9"/>
                <w:color w:val="auto"/>
              </w:rPr>
            </w:pPr>
          </w:p>
        </w:tc>
        <w:tc>
          <w:tcPr>
            <w:tcW w:w="54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8"/>
              </w:rPr>
              <w:t>Property</w:t>
            </w:r>
          </w:p>
        </w:tc>
        <w:tc>
          <w:tcPr>
            <w:tcW w:w="60" w:type="dxa"/>
            <w:vAlign w:val="bottom"/>
          </w:tcPr>
          <w:p>
            <w:pPr>
              <w:spacing w:after="0"/>
              <w:rPr>
                <w:sz w:val="8"/>
                <w:szCs w:val="8"/>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88"/>
              </w:rPr>
              <w:t>Net</w:t>
            </w:r>
          </w:p>
        </w:tc>
        <w:tc>
          <w:tcPr>
            <w:tcW w:w="100" w:type="dxa"/>
            <w:vAlign w:val="bottom"/>
          </w:tcPr>
          <w:p>
            <w:pPr>
              <w:spacing w:after="0"/>
              <w:rPr>
                <w:sz w:val="8"/>
                <w:szCs w:val="8"/>
                <w:color w:val="auto"/>
              </w:rPr>
            </w:pPr>
          </w:p>
        </w:tc>
        <w:tc>
          <w:tcPr>
            <w:tcW w:w="460" w:type="dxa"/>
            <w:vAlign w:val="bottom"/>
          </w:tcPr>
          <w:p>
            <w:pPr>
              <w:jc w:val="center"/>
              <w:ind w:right="76"/>
              <w:spacing w:after="0"/>
              <w:rPr>
                <w:sz w:val="20"/>
                <w:szCs w:val="20"/>
                <w:color w:val="auto"/>
              </w:rPr>
            </w:pPr>
            <w:r>
              <w:rPr>
                <w:rFonts w:ascii="Times New Roman" w:cs="Times New Roman" w:eastAsia="Times New Roman" w:hAnsi="Times New Roman"/>
                <w:sz w:val="9"/>
                <w:szCs w:val="9"/>
                <w:b w:val="1"/>
                <w:bCs w:val="1"/>
                <w:color w:val="auto"/>
              </w:rPr>
              <w:t>Net</w:t>
            </w:r>
          </w:p>
        </w:tc>
        <w:tc>
          <w:tcPr>
            <w:tcW w:w="0" w:type="dxa"/>
            <w:vAlign w:val="bottom"/>
          </w:tcPr>
          <w:p>
            <w:pPr>
              <w:spacing w:after="0"/>
              <w:rPr>
                <w:sz w:val="1"/>
                <w:szCs w:val="1"/>
                <w:color w:val="auto"/>
              </w:rPr>
            </w:pPr>
          </w:p>
        </w:tc>
      </w:tr>
      <w:tr>
        <w:trPr>
          <w:trHeight w:val="95"/>
        </w:trPr>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ind w:right="236"/>
              <w:spacing w:after="0" w:line="95" w:lineRule="exact"/>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ind w:left="60"/>
              <w:spacing w:after="0" w:line="95" w:lineRule="exact"/>
              <w:rPr>
                <w:sz w:val="20"/>
                <w:szCs w:val="20"/>
                <w:color w:val="auto"/>
              </w:rPr>
            </w:pPr>
            <w:r>
              <w:rPr>
                <w:rFonts w:ascii="Times New Roman" w:cs="Times New Roman" w:eastAsia="Times New Roman" w:hAnsi="Times New Roman"/>
                <w:sz w:val="9"/>
                <w:szCs w:val="9"/>
                <w:b w:val="1"/>
                <w:bCs w:val="1"/>
                <w:color w:val="auto"/>
              </w:rPr>
              <w:t>Net Investment</w:t>
            </w:r>
          </w:p>
        </w:tc>
        <w:tc>
          <w:tcPr>
            <w:tcW w:w="120" w:type="dxa"/>
            <w:vAlign w:val="bottom"/>
          </w:tcPr>
          <w:p>
            <w:pPr>
              <w:spacing w:after="0"/>
              <w:rPr>
                <w:sz w:val="8"/>
                <w:szCs w:val="8"/>
                <w:color w:val="auto"/>
              </w:rPr>
            </w:pPr>
          </w:p>
        </w:tc>
        <w:tc>
          <w:tcPr>
            <w:tcW w:w="660" w:type="dxa"/>
            <w:vAlign w:val="bottom"/>
            <w:gridSpan w:val="2"/>
          </w:tcPr>
          <w:p>
            <w:pPr>
              <w:ind w:left="100"/>
              <w:spacing w:after="0" w:line="95" w:lineRule="exact"/>
              <w:rPr>
                <w:sz w:val="20"/>
                <w:szCs w:val="20"/>
                <w:color w:val="auto"/>
              </w:rPr>
            </w:pPr>
            <w:r>
              <w:rPr>
                <w:rFonts w:ascii="Times New Roman" w:cs="Times New Roman" w:eastAsia="Times New Roman" w:hAnsi="Times New Roman"/>
                <w:sz w:val="9"/>
                <w:szCs w:val="9"/>
                <w:b w:val="1"/>
                <w:bCs w:val="1"/>
                <w:color w:val="auto"/>
              </w:rPr>
              <w:t>Total</w:t>
            </w:r>
          </w:p>
        </w:tc>
        <w:tc>
          <w:tcPr>
            <w:tcW w:w="80" w:type="dxa"/>
            <w:vAlign w:val="bottom"/>
          </w:tcPr>
          <w:p>
            <w:pPr>
              <w:spacing w:after="0"/>
              <w:rPr>
                <w:sz w:val="8"/>
                <w:szCs w:val="8"/>
                <w:color w:val="auto"/>
              </w:rPr>
            </w:pPr>
          </w:p>
        </w:tc>
        <w:tc>
          <w:tcPr>
            <w:tcW w:w="700" w:type="dxa"/>
            <w:vAlign w:val="bottom"/>
            <w:gridSpan w:val="2"/>
          </w:tcPr>
          <w:p>
            <w:pPr>
              <w:ind w:left="40"/>
              <w:spacing w:after="0" w:line="95" w:lineRule="exact"/>
              <w:rPr>
                <w:sz w:val="20"/>
                <w:szCs w:val="20"/>
                <w:color w:val="auto"/>
              </w:rPr>
            </w:pPr>
            <w:r>
              <w:rPr>
                <w:rFonts w:ascii="Times New Roman" w:cs="Times New Roman" w:eastAsia="Times New Roman" w:hAnsi="Times New Roman"/>
                <w:sz w:val="9"/>
                <w:szCs w:val="9"/>
                <w:b w:val="1"/>
                <w:bCs w:val="1"/>
                <w:color w:val="auto"/>
              </w:rPr>
              <w:t>Mortgage</w:t>
            </w:r>
          </w:p>
        </w:tc>
        <w:tc>
          <w:tcPr>
            <w:tcW w:w="80" w:type="dxa"/>
            <w:vAlign w:val="bottom"/>
          </w:tcPr>
          <w:p>
            <w:pPr>
              <w:spacing w:after="0"/>
              <w:rPr>
                <w:sz w:val="8"/>
                <w:szCs w:val="8"/>
                <w:color w:val="auto"/>
              </w:rPr>
            </w:pPr>
          </w:p>
        </w:tc>
        <w:tc>
          <w:tcPr>
            <w:tcW w:w="68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9"/>
                <w:szCs w:val="9"/>
                <w:b w:val="1"/>
                <w:bCs w:val="1"/>
                <w:color w:val="auto"/>
                <w:w w:val="87"/>
              </w:rPr>
              <w:t>Total</w:t>
            </w:r>
          </w:p>
        </w:tc>
        <w:tc>
          <w:tcPr>
            <w:tcW w:w="120" w:type="dxa"/>
            <w:vAlign w:val="bottom"/>
          </w:tcPr>
          <w:p>
            <w:pPr>
              <w:spacing w:after="0"/>
              <w:rPr>
                <w:sz w:val="8"/>
                <w:szCs w:val="8"/>
                <w:color w:val="auto"/>
              </w:rPr>
            </w:pPr>
          </w:p>
        </w:tc>
        <w:tc>
          <w:tcPr>
            <w:tcW w:w="660" w:type="dxa"/>
            <w:vAlign w:val="bottom"/>
            <w:gridSpan w:val="2"/>
          </w:tcPr>
          <w:p>
            <w:pPr>
              <w:jc w:val="right"/>
              <w:ind w:right="300"/>
              <w:spacing w:after="0" w:line="95" w:lineRule="exact"/>
              <w:rPr>
                <w:sz w:val="20"/>
                <w:szCs w:val="20"/>
                <w:color w:val="auto"/>
              </w:rPr>
            </w:pPr>
            <w:r>
              <w:rPr>
                <w:rFonts w:ascii="Times New Roman" w:cs="Times New Roman" w:eastAsia="Times New Roman" w:hAnsi="Times New Roman"/>
                <w:sz w:val="9"/>
                <w:szCs w:val="9"/>
                <w:b w:val="1"/>
                <w:bCs w:val="1"/>
                <w:color w:val="auto"/>
              </w:rPr>
              <w:t>Equity /</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w w:val="96"/>
              </w:rPr>
              <w:t>Operating</w:t>
            </w:r>
          </w:p>
        </w:tc>
        <w:tc>
          <w:tcPr>
            <w:tcW w:w="60" w:type="dxa"/>
            <w:vAlign w:val="bottom"/>
          </w:tcPr>
          <w:p>
            <w:pPr>
              <w:spacing w:after="0"/>
              <w:rPr>
                <w:sz w:val="8"/>
                <w:szCs w:val="8"/>
                <w:color w:val="auto"/>
              </w:rPr>
            </w:pPr>
          </w:p>
        </w:tc>
        <w:tc>
          <w:tcPr>
            <w:tcW w:w="64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6"/>
              </w:rPr>
              <w:t>Operating</w:t>
            </w:r>
          </w:p>
        </w:tc>
        <w:tc>
          <w:tcPr>
            <w:tcW w:w="100" w:type="dxa"/>
            <w:vAlign w:val="bottom"/>
          </w:tcPr>
          <w:p>
            <w:pPr>
              <w:spacing w:after="0"/>
              <w:rPr>
                <w:sz w:val="8"/>
                <w:szCs w:val="8"/>
                <w:color w:val="auto"/>
              </w:rPr>
            </w:pPr>
          </w:p>
        </w:tc>
        <w:tc>
          <w:tcPr>
            <w:tcW w:w="460" w:type="dxa"/>
            <w:vAlign w:val="bottom"/>
          </w:tcPr>
          <w:p>
            <w:pPr>
              <w:jc w:val="center"/>
              <w:ind w:right="76"/>
              <w:spacing w:after="0" w:line="95" w:lineRule="exact"/>
              <w:rPr>
                <w:sz w:val="20"/>
                <w:szCs w:val="20"/>
                <w:color w:val="auto"/>
              </w:rPr>
            </w:pPr>
            <w:r>
              <w:rPr>
                <w:rFonts w:ascii="Times New Roman" w:cs="Times New Roman" w:eastAsia="Times New Roman" w:hAnsi="Times New Roman"/>
                <w:sz w:val="9"/>
                <w:szCs w:val="9"/>
                <w:b w:val="1"/>
                <w:bCs w:val="1"/>
                <w:color w:val="auto"/>
              </w:rPr>
              <w:t>Income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2019</w:t>
            </w:r>
          </w:p>
        </w:tc>
        <w:tc>
          <w:tcPr>
            <w:tcW w:w="120" w:type="dxa"/>
            <w:vAlign w:val="bottom"/>
          </w:tcPr>
          <w:p>
            <w:pPr>
              <w:spacing w:after="0"/>
              <w:rPr>
                <w:sz w:val="9"/>
                <w:szCs w:val="9"/>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8"/>
              </w:rPr>
              <w:t>Ownership</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9"/>
                <w:szCs w:val="9"/>
                <w:b w:val="1"/>
                <w:bCs w:val="1"/>
                <w:color w:val="auto"/>
              </w:rPr>
              <w:t>in Properties</w:t>
            </w:r>
          </w:p>
        </w:tc>
        <w:tc>
          <w:tcPr>
            <w:tcW w:w="120" w:type="dxa"/>
            <w:vAlign w:val="bottom"/>
          </w:tcPr>
          <w:p>
            <w:pPr>
              <w:spacing w:after="0"/>
              <w:rPr>
                <w:sz w:val="9"/>
                <w:szCs w:val="9"/>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Assets</w:t>
            </w:r>
          </w:p>
        </w:tc>
        <w:tc>
          <w:tcPr>
            <w:tcW w:w="8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9"/>
                <w:szCs w:val="9"/>
                <w:b w:val="1"/>
                <w:bCs w:val="1"/>
                <w:color w:val="auto"/>
              </w:rPr>
              <w:t>Loans</w:t>
            </w:r>
          </w:p>
        </w:tc>
        <w:tc>
          <w:tcPr>
            <w:tcW w:w="80" w:type="dxa"/>
            <w:vAlign w:val="bottom"/>
          </w:tcPr>
          <w:p>
            <w:pPr>
              <w:spacing w:after="0"/>
              <w:rPr>
                <w:sz w:val="9"/>
                <w:szCs w:val="9"/>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3"/>
              </w:rPr>
              <w:t>Liabilities</w:t>
            </w:r>
          </w:p>
        </w:tc>
        <w:tc>
          <w:tcPr>
            <w:tcW w:w="120" w:type="dxa"/>
            <w:vAlign w:val="bottom"/>
          </w:tcPr>
          <w:p>
            <w:pPr>
              <w:spacing w:after="0"/>
              <w:rPr>
                <w:sz w:val="9"/>
                <w:szCs w:val="9"/>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9"/>
                <w:szCs w:val="9"/>
                <w:b w:val="1"/>
                <w:bCs w:val="1"/>
                <w:color w:val="auto"/>
              </w:rPr>
              <w:t>(Deficit)</w:t>
            </w:r>
          </w:p>
        </w:tc>
        <w:tc>
          <w:tcPr>
            <w:tcW w:w="80" w:type="dxa"/>
            <w:vAlign w:val="bottom"/>
          </w:tcPr>
          <w:p>
            <w:pPr>
              <w:spacing w:after="0"/>
              <w:rPr>
                <w:sz w:val="9"/>
                <w:szCs w:val="9"/>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Revenues</w:t>
            </w:r>
          </w:p>
        </w:tc>
        <w:tc>
          <w:tcPr>
            <w:tcW w:w="60" w:type="dxa"/>
            <w:vAlign w:val="bottom"/>
          </w:tcPr>
          <w:p>
            <w:pPr>
              <w:spacing w:after="0"/>
              <w:rPr>
                <w:sz w:val="9"/>
                <w:szCs w:val="9"/>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9"/>
              </w:rPr>
              <w:t>Expense</w:t>
            </w:r>
          </w:p>
        </w:tc>
        <w:tc>
          <w:tcPr>
            <w:tcW w:w="60" w:type="dxa"/>
            <w:vAlign w:val="bottom"/>
          </w:tcPr>
          <w:p>
            <w:pPr>
              <w:spacing w:after="0"/>
              <w:rPr>
                <w:sz w:val="9"/>
                <w:szCs w:val="9"/>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9"/>
                <w:szCs w:val="9"/>
                <w:b w:val="1"/>
                <w:bCs w:val="1"/>
                <w:color w:val="auto"/>
              </w:rPr>
              <w:t>Income</w:t>
            </w:r>
          </w:p>
        </w:tc>
        <w:tc>
          <w:tcPr>
            <w:tcW w:w="100" w:type="dxa"/>
            <w:vAlign w:val="bottom"/>
          </w:tcPr>
          <w:p>
            <w:pPr>
              <w:spacing w:after="0"/>
              <w:rPr>
                <w:sz w:val="9"/>
                <w:szCs w:val="9"/>
                <w:color w:val="auto"/>
              </w:rPr>
            </w:pPr>
          </w:p>
        </w:tc>
        <w:tc>
          <w:tcPr>
            <w:tcW w:w="460" w:type="dxa"/>
            <w:vAlign w:val="bottom"/>
          </w:tcPr>
          <w:p>
            <w:pPr>
              <w:jc w:val="center"/>
              <w:ind w:right="56"/>
              <w:spacing w:after="0"/>
              <w:rPr>
                <w:sz w:val="20"/>
                <w:szCs w:val="20"/>
                <w:color w:val="auto"/>
              </w:rPr>
            </w:pPr>
            <w:r>
              <w:rPr>
                <w:rFonts w:ascii="Times New Roman" w:cs="Times New Roman" w:eastAsia="Times New Roman" w:hAnsi="Times New Roman"/>
                <w:sz w:val="9"/>
                <w:szCs w:val="9"/>
                <w:b w:val="1"/>
                <w:bCs w:val="1"/>
                <w:color w:val="auto"/>
              </w:rPr>
              <w:t>(Loss)</w:t>
            </w:r>
          </w:p>
        </w:tc>
        <w:tc>
          <w:tcPr>
            <w:tcW w:w="0" w:type="dxa"/>
            <w:vAlign w:val="bottom"/>
          </w:tcPr>
          <w:p>
            <w:pPr>
              <w:spacing w:after="0"/>
              <w:rPr>
                <w:sz w:val="1"/>
                <w:szCs w:val="1"/>
                <w:color w:val="auto"/>
              </w:rPr>
            </w:pPr>
          </w:p>
        </w:tc>
      </w:tr>
      <w:tr>
        <w:trPr>
          <w:trHeight w:val="84"/>
        </w:trPr>
        <w:tc>
          <w:tcPr>
            <w:tcW w:w="1300" w:type="dxa"/>
            <w:vAlign w:val="bottom"/>
            <w:tcBorders>
              <w:top w:val="single" w:sz="8" w:color="auto"/>
            </w:tcBorders>
            <w:shd w:val="clear" w:color="auto" w:fill="CCEEFF"/>
          </w:tcPr>
          <w:p>
            <w:pPr>
              <w:spacing w:after="0" w:line="85" w:lineRule="exact"/>
              <w:rPr>
                <w:sz w:val="20"/>
                <w:szCs w:val="20"/>
                <w:color w:val="auto"/>
              </w:rPr>
            </w:pPr>
            <w:r>
              <w:rPr>
                <w:rFonts w:ascii="Times New Roman" w:cs="Times New Roman" w:eastAsia="Times New Roman" w:hAnsi="Times New Roman"/>
                <w:sz w:val="9"/>
                <w:szCs w:val="9"/>
                <w:b w:val="1"/>
                <w:bCs w:val="1"/>
                <w:color w:val="auto"/>
              </w:rPr>
              <w:t>Unconsolidated Joint Ventures</w:t>
            </w:r>
          </w:p>
        </w:tc>
        <w:tc>
          <w:tcPr>
            <w:tcW w:w="1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2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2001 Sixth Avenue</w:t>
            </w:r>
          </w:p>
        </w:tc>
        <w:tc>
          <w:tcPr>
            <w:tcW w:w="840" w:type="dxa"/>
            <w:vAlign w:val="bottom"/>
            <w:gridSpan w:val="3"/>
          </w:tcPr>
          <w:p>
            <w:pPr>
              <w:jc w:val="right"/>
              <w:ind w:right="40"/>
              <w:spacing w:after="0" w:line="95" w:lineRule="exact"/>
              <w:rPr>
                <w:sz w:val="20"/>
                <w:szCs w:val="20"/>
                <w:color w:val="auto"/>
              </w:rPr>
            </w:pPr>
            <w:r>
              <w:rPr>
                <w:rFonts w:ascii="Times New Roman" w:cs="Times New Roman" w:eastAsia="Times New Roman" w:hAnsi="Times New Roman"/>
                <w:sz w:val="9"/>
                <w:szCs w:val="9"/>
                <w:color w:val="auto"/>
              </w:rPr>
              <w:t>50.00 % $</w:t>
            </w:r>
          </w:p>
        </w:tc>
        <w:tc>
          <w:tcPr>
            <w:tcW w:w="8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30,748</w:t>
            </w:r>
          </w:p>
        </w:tc>
        <w:tc>
          <w:tcPr>
            <w:tcW w:w="120" w:type="dxa"/>
            <w:vAlign w:val="bottom"/>
          </w:tcPr>
          <w:p>
            <w:pPr>
              <w:spacing w:after="0"/>
              <w:rPr>
                <w:sz w:val="8"/>
                <w:szCs w:val="8"/>
                <w:color w:val="auto"/>
              </w:rPr>
            </w:pPr>
          </w:p>
        </w:tc>
        <w:tc>
          <w:tcPr>
            <w:tcW w:w="120" w:type="dxa"/>
            <w:vAlign w:val="bottom"/>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47,485</w:t>
            </w:r>
          </w:p>
        </w:tc>
        <w:tc>
          <w:tcPr>
            <w:tcW w:w="140" w:type="dxa"/>
            <w:vAlign w:val="bottom"/>
          </w:tcPr>
          <w:p>
            <w:pPr>
              <w:spacing w:after="0"/>
              <w:rPr>
                <w:sz w:val="8"/>
                <w:szCs w:val="8"/>
                <w:color w:val="auto"/>
              </w:rPr>
            </w:pPr>
          </w:p>
        </w:tc>
        <w:tc>
          <w:tcPr>
            <w:tcW w:w="8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134,583</w:t>
            </w:r>
          </w:p>
        </w:tc>
        <w:tc>
          <w:tcPr>
            <w:tcW w:w="140" w:type="dxa"/>
            <w:vAlign w:val="bottom"/>
          </w:tcPr>
          <w:p>
            <w:pPr>
              <w:spacing w:after="0"/>
              <w:rPr>
                <w:sz w:val="8"/>
                <w:szCs w:val="8"/>
                <w:color w:val="auto"/>
              </w:rPr>
            </w:pPr>
          </w:p>
        </w:tc>
        <w:tc>
          <w:tcPr>
            <w:tcW w:w="8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140,354</w:t>
            </w:r>
          </w:p>
        </w:tc>
        <w:tc>
          <w:tcPr>
            <w:tcW w:w="120" w:type="dxa"/>
            <w:vAlign w:val="bottom"/>
          </w:tcPr>
          <w:p>
            <w:pPr>
              <w:spacing w:after="0"/>
              <w:rPr>
                <w:sz w:val="8"/>
                <w:szCs w:val="8"/>
                <w:color w:val="auto"/>
              </w:rPr>
            </w:pPr>
          </w:p>
        </w:tc>
        <w:tc>
          <w:tcPr>
            <w:tcW w:w="120" w:type="dxa"/>
            <w:vAlign w:val="bottom"/>
          </w:tcPr>
          <w:p>
            <w:pPr>
              <w:jc w:val="right"/>
              <w:ind w:right="16"/>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(92,869)</w:t>
            </w:r>
          </w:p>
        </w:tc>
        <w:tc>
          <w:tcPr>
            <w:tcW w:w="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56,266</w:t>
            </w:r>
          </w:p>
        </w:tc>
        <w:tc>
          <w:tcPr>
            <w:tcW w:w="14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(19,254)</w:t>
            </w: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37,012</w:t>
            </w:r>
          </w:p>
        </w:tc>
        <w:tc>
          <w:tcPr>
            <w:tcW w:w="120" w:type="dxa"/>
            <w:vAlign w:val="bottom"/>
          </w:tcPr>
          <w:p>
            <w:pPr>
              <w:spacing w:after="0"/>
              <w:rPr>
                <w:sz w:val="8"/>
                <w:szCs w:val="8"/>
                <w:color w:val="auto"/>
              </w:rPr>
            </w:pPr>
          </w:p>
        </w:tc>
        <w:tc>
          <w:tcPr>
            <w:tcW w:w="1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27,422</w:t>
            </w:r>
          </w:p>
        </w:tc>
        <w:tc>
          <w:tcPr>
            <w:tcW w:w="0" w:type="dxa"/>
            <w:vAlign w:val="bottom"/>
          </w:tcPr>
          <w:p>
            <w:pPr>
              <w:spacing w:after="0"/>
              <w:rPr>
                <w:sz w:val="1"/>
                <w:szCs w:val="1"/>
                <w:color w:val="auto"/>
              </w:rPr>
            </w:pPr>
          </w:p>
        </w:tc>
      </w:tr>
      <w:tr>
        <w:trPr>
          <w:trHeight w:val="95"/>
        </w:trPr>
        <w:tc>
          <w:tcPr>
            <w:tcW w:w="142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2020 Fifth Avenue</w:t>
            </w:r>
          </w:p>
        </w:tc>
        <w:tc>
          <w:tcPr>
            <w:tcW w:w="740" w:type="dxa"/>
            <w:vAlign w:val="bottom"/>
            <w:gridSpan w:val="2"/>
            <w:shd w:val="clear" w:color="auto" w:fill="CCEEFF"/>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50.00 %</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43,918</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54,325</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48,000</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48,703</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5,622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9,868</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(2,544)</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7,324</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4,649</w:t>
            </w:r>
          </w:p>
        </w:tc>
        <w:tc>
          <w:tcPr>
            <w:tcW w:w="0" w:type="dxa"/>
            <w:vAlign w:val="bottom"/>
          </w:tcPr>
          <w:p>
            <w:pPr>
              <w:spacing w:after="0"/>
              <w:rPr>
                <w:sz w:val="1"/>
                <w:szCs w:val="1"/>
                <w:color w:val="auto"/>
              </w:rPr>
            </w:pPr>
          </w:p>
        </w:tc>
      </w:tr>
      <w:tr>
        <w:trPr>
          <w:trHeight w:val="95"/>
        </w:trPr>
        <w:tc>
          <w:tcPr>
            <w:tcW w:w="142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CenturyLink</w:t>
            </w:r>
          </w:p>
        </w:tc>
        <w:tc>
          <w:tcPr>
            <w:tcW w:w="740" w:type="dxa"/>
            <w:vAlign w:val="bottom"/>
            <w:gridSpan w:val="2"/>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50.00 %</w:t>
            </w:r>
          </w:p>
        </w:tc>
        <w:tc>
          <w:tcPr>
            <w:tcW w:w="100" w:type="dxa"/>
            <w:vAlign w:val="bottom"/>
          </w:tcPr>
          <w:p>
            <w:pPr>
              <w:spacing w:after="0"/>
              <w:rPr>
                <w:sz w:val="8"/>
                <w:szCs w:val="8"/>
                <w:color w:val="auto"/>
              </w:rPr>
            </w:pPr>
          </w:p>
        </w:tc>
        <w:tc>
          <w:tcPr>
            <w:tcW w:w="8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148,941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187,241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right"/>
              <w:ind w:right="160"/>
              <w:spacing w:after="0" w:line="95"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9,947</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177,294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24,680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(9,251)</w:t>
            </w:r>
          </w:p>
        </w:tc>
        <w:tc>
          <w:tcPr>
            <w:tcW w:w="6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15,429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6,712</w:t>
            </w:r>
          </w:p>
        </w:tc>
        <w:tc>
          <w:tcPr>
            <w:tcW w:w="0" w:type="dxa"/>
            <w:vAlign w:val="bottom"/>
          </w:tcPr>
          <w:p>
            <w:pPr>
              <w:spacing w:after="0"/>
              <w:rPr>
                <w:sz w:val="1"/>
                <w:szCs w:val="1"/>
                <w:color w:val="auto"/>
              </w:rPr>
            </w:pPr>
          </w:p>
        </w:tc>
      </w:tr>
      <w:tr>
        <w:trPr>
          <w:trHeight w:val="95"/>
        </w:trPr>
        <w:tc>
          <w:tcPr>
            <w:tcW w:w="142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Mitsubishi</w:t>
            </w:r>
          </w:p>
        </w:tc>
        <w:tc>
          <w:tcPr>
            <w:tcW w:w="740" w:type="dxa"/>
            <w:vAlign w:val="bottom"/>
            <w:gridSpan w:val="2"/>
            <w:shd w:val="clear" w:color="auto" w:fill="CCEEFF"/>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50.00 %</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554,828</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753,743</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231,046</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303,130</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450,613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84,344</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(39,300)</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45,044</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18,751</w:t>
            </w:r>
          </w:p>
        </w:tc>
        <w:tc>
          <w:tcPr>
            <w:tcW w:w="0" w:type="dxa"/>
            <w:vAlign w:val="bottom"/>
          </w:tcPr>
          <w:p>
            <w:pPr>
              <w:spacing w:after="0"/>
              <w:rPr>
                <w:sz w:val="1"/>
                <w:szCs w:val="1"/>
                <w:color w:val="auto"/>
              </w:rPr>
            </w:pPr>
          </w:p>
        </w:tc>
      </w:tr>
      <w:tr>
        <w:trPr>
          <w:trHeight w:val="95"/>
        </w:trPr>
        <w:tc>
          <w:tcPr>
            <w:tcW w:w="142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Ascenty</w:t>
            </w:r>
          </w:p>
        </w:tc>
        <w:tc>
          <w:tcPr>
            <w:tcW w:w="740" w:type="dxa"/>
            <w:vAlign w:val="bottom"/>
            <w:gridSpan w:val="2"/>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51.00 %</w:t>
            </w:r>
          </w:p>
        </w:tc>
        <w:tc>
          <w:tcPr>
            <w:tcW w:w="100" w:type="dxa"/>
            <w:vAlign w:val="bottom"/>
          </w:tcPr>
          <w:p>
            <w:pPr>
              <w:spacing w:after="0"/>
              <w:rPr>
                <w:sz w:val="8"/>
                <w:szCs w:val="8"/>
                <w:color w:val="auto"/>
              </w:rPr>
            </w:pPr>
          </w:p>
        </w:tc>
        <w:tc>
          <w:tcPr>
            <w:tcW w:w="8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548,114</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2,178,663</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629,500</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764,603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1,414,060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112,052</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(40,250)</w:t>
            </w:r>
          </w:p>
        </w:tc>
        <w:tc>
          <w:tcPr>
            <w:tcW w:w="6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71,802</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(54,606)</w:t>
            </w:r>
          </w:p>
        </w:tc>
        <w:tc>
          <w:tcPr>
            <w:tcW w:w="0" w:type="dxa"/>
            <w:vAlign w:val="bottom"/>
          </w:tcPr>
          <w:p>
            <w:pPr>
              <w:spacing w:after="0"/>
              <w:rPr>
                <w:sz w:val="1"/>
                <w:szCs w:val="1"/>
                <w:color w:val="auto"/>
              </w:rPr>
            </w:pPr>
          </w:p>
        </w:tc>
      </w:tr>
      <w:tr>
        <w:trPr>
          <w:trHeight w:val="95"/>
        </w:trPr>
        <w:tc>
          <w:tcPr>
            <w:tcW w:w="142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Mapletree</w:t>
            </w:r>
          </w:p>
        </w:tc>
        <w:tc>
          <w:tcPr>
            <w:tcW w:w="740" w:type="dxa"/>
            <w:vAlign w:val="bottom"/>
            <w:gridSpan w:val="2"/>
            <w:shd w:val="clear" w:color="auto" w:fill="CCEEFF"/>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20.00 %</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765,443</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1,042,661</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95"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23,796</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1,018,865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17,852</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(6,774)</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11,078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(1,872)</w:t>
            </w:r>
          </w:p>
        </w:tc>
        <w:tc>
          <w:tcPr>
            <w:tcW w:w="0" w:type="dxa"/>
            <w:vAlign w:val="bottom"/>
          </w:tcPr>
          <w:p>
            <w:pPr>
              <w:spacing w:after="0"/>
              <w:rPr>
                <w:sz w:val="1"/>
                <w:szCs w:val="1"/>
                <w:color w:val="auto"/>
              </w:rPr>
            </w:pPr>
          </w:p>
        </w:tc>
      </w:tr>
      <w:tr>
        <w:trPr>
          <w:trHeight w:val="95"/>
        </w:trPr>
        <w:tc>
          <w:tcPr>
            <w:tcW w:w="142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PREI ®</w:t>
            </w:r>
          </w:p>
        </w:tc>
        <w:tc>
          <w:tcPr>
            <w:tcW w:w="740" w:type="dxa"/>
            <w:vAlign w:val="bottom"/>
            <w:gridSpan w:val="2"/>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20.00 %</w:t>
            </w:r>
          </w:p>
        </w:tc>
        <w:tc>
          <w:tcPr>
            <w:tcW w:w="100" w:type="dxa"/>
            <w:vAlign w:val="bottom"/>
          </w:tcPr>
          <w:p>
            <w:pPr>
              <w:spacing w:after="0"/>
              <w:rPr>
                <w:sz w:val="8"/>
                <w:szCs w:val="8"/>
                <w:color w:val="auto"/>
              </w:rPr>
            </w:pPr>
          </w:p>
        </w:tc>
        <w:tc>
          <w:tcPr>
            <w:tcW w:w="8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365,993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421,635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210,915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281,344</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140,291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42,157</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(9,918)</w:t>
            </w:r>
          </w:p>
        </w:tc>
        <w:tc>
          <w:tcPr>
            <w:tcW w:w="6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32,239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9,968</w:t>
            </w:r>
          </w:p>
        </w:tc>
        <w:tc>
          <w:tcPr>
            <w:tcW w:w="0" w:type="dxa"/>
            <w:vAlign w:val="bottom"/>
          </w:tcPr>
          <w:p>
            <w:pPr>
              <w:spacing w:after="0"/>
              <w:rPr>
                <w:sz w:val="1"/>
                <w:szCs w:val="1"/>
                <w:color w:val="auto"/>
              </w:rPr>
            </w:pPr>
          </w:p>
        </w:tc>
      </w:tr>
      <w:tr>
        <w:trPr>
          <w:trHeight w:val="95"/>
        </w:trPr>
        <w:tc>
          <w:tcPr>
            <w:tcW w:w="142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GCEAR</w:t>
            </w:r>
          </w:p>
        </w:tc>
        <w:tc>
          <w:tcPr>
            <w:tcW w:w="740" w:type="dxa"/>
            <w:vAlign w:val="bottom"/>
            <w:gridSpan w:val="2"/>
            <w:shd w:val="clear" w:color="auto" w:fill="CCEEFF"/>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20.00 %</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109,803</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127,444</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101,902</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104,363</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23,081</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21,120</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(9,073)</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12,047</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(2,636)</w:t>
            </w:r>
          </w:p>
        </w:tc>
        <w:tc>
          <w:tcPr>
            <w:tcW w:w="0" w:type="dxa"/>
            <w:vAlign w:val="bottom"/>
          </w:tcPr>
          <w:p>
            <w:pPr>
              <w:spacing w:after="0"/>
              <w:rPr>
                <w:sz w:val="1"/>
                <w:szCs w:val="1"/>
                <w:color w:val="auto"/>
              </w:rPr>
            </w:pPr>
          </w:p>
        </w:tc>
      </w:tr>
      <w:tr>
        <w:trPr>
          <w:trHeight w:val="95"/>
        </w:trPr>
        <w:tc>
          <w:tcPr>
            <w:tcW w:w="142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Other</w:t>
            </w:r>
          </w:p>
        </w:tc>
        <w:tc>
          <w:tcPr>
            <w:tcW w:w="740" w:type="dxa"/>
            <w:vAlign w:val="bottom"/>
            <w:gridSpan w:val="2"/>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7%-17%</w:t>
            </w:r>
          </w:p>
        </w:tc>
        <w:tc>
          <w:tcPr>
            <w:tcW w:w="100" w:type="dxa"/>
            <w:vAlign w:val="bottom"/>
          </w:tcPr>
          <w:p>
            <w:pPr>
              <w:spacing w:after="0"/>
              <w:rPr>
                <w:sz w:val="8"/>
                <w:szCs w:val="8"/>
                <w:color w:val="auto"/>
              </w:rPr>
            </w:pPr>
          </w:p>
        </w:tc>
        <w:tc>
          <w:tcPr>
            <w:tcW w:w="8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59,901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64,553</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4,438</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4,706</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59,847</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11,261</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(6,779)</w:t>
            </w:r>
          </w:p>
        </w:tc>
        <w:tc>
          <w:tcPr>
            <w:tcW w:w="6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4,482</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(31)</w:t>
            </w:r>
          </w:p>
        </w:tc>
        <w:tc>
          <w:tcPr>
            <w:tcW w:w="0" w:type="dxa"/>
            <w:vAlign w:val="bottom"/>
          </w:tcPr>
          <w:p>
            <w:pPr>
              <w:spacing w:after="0"/>
              <w:rPr>
                <w:sz w:val="1"/>
                <w:szCs w:val="1"/>
                <w:color w:val="auto"/>
              </w:rPr>
            </w:pPr>
          </w:p>
        </w:tc>
      </w:tr>
      <w:tr>
        <w:trPr>
          <w:trHeight w:val="82"/>
        </w:trPr>
        <w:tc>
          <w:tcPr>
            <w:tcW w:w="1420" w:type="dxa"/>
            <w:vAlign w:val="bottom"/>
            <w:gridSpan w:val="2"/>
            <w:shd w:val="clear" w:color="auto" w:fill="CCEEFF"/>
          </w:tcPr>
          <w:p>
            <w:pPr>
              <w:spacing w:after="0" w:line="82" w:lineRule="exact"/>
              <w:rPr>
                <w:sz w:val="20"/>
                <w:szCs w:val="20"/>
                <w:color w:val="auto"/>
              </w:rPr>
            </w:pPr>
            <w:r>
              <w:rPr>
                <w:rFonts w:ascii="Times New Roman" w:cs="Times New Roman" w:eastAsia="Times New Roman" w:hAnsi="Times New Roman"/>
                <w:sz w:val="9"/>
                <w:szCs w:val="9"/>
                <w:b w:val="1"/>
                <w:bCs w:val="1"/>
                <w:color w:val="auto"/>
              </w:rPr>
              <w:t>Total Unconsolidated Joint</w:t>
            </w:r>
          </w:p>
        </w:tc>
        <w:tc>
          <w:tcPr>
            <w:tcW w:w="8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2,627,689</w:t>
            </w:r>
          </w:p>
        </w:tc>
        <w:tc>
          <w:tcPr>
            <w:tcW w:w="12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4,877,750</w:t>
            </w:r>
          </w:p>
        </w:tc>
        <w:tc>
          <w:tcPr>
            <w:tcW w:w="14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1,360,384</w:t>
            </w:r>
          </w:p>
        </w:tc>
        <w:tc>
          <w:tcPr>
            <w:tcW w:w="14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1,680,946</w:t>
            </w:r>
          </w:p>
        </w:tc>
        <w:tc>
          <w:tcPr>
            <w:tcW w:w="12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3,196,804</w:t>
            </w:r>
          </w:p>
        </w:tc>
        <w:tc>
          <w:tcPr>
            <w:tcW w:w="12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379,600</w:t>
            </w:r>
          </w:p>
        </w:tc>
        <w:tc>
          <w:tcPr>
            <w:tcW w:w="14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(143,143)</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236,457</w:t>
            </w:r>
          </w:p>
        </w:tc>
        <w:tc>
          <w:tcPr>
            <w:tcW w:w="12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8,357</w:t>
            </w:r>
          </w:p>
        </w:tc>
        <w:tc>
          <w:tcPr>
            <w:tcW w:w="0" w:type="dxa"/>
            <w:vAlign w:val="bottom"/>
          </w:tcPr>
          <w:p>
            <w:pPr>
              <w:spacing w:after="0"/>
              <w:rPr>
                <w:sz w:val="1"/>
                <w:szCs w:val="1"/>
                <w:color w:val="auto"/>
              </w:rPr>
            </w:pPr>
          </w:p>
        </w:tc>
      </w:tr>
      <w:tr>
        <w:trPr>
          <w:trHeight w:val="118"/>
        </w:trPr>
        <w:tc>
          <w:tcPr>
            <w:tcW w:w="14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b w:val="1"/>
                <w:bCs w:val="1"/>
                <w:color w:val="auto"/>
              </w:rPr>
              <w:t>Ventures</w:t>
            </w:r>
          </w:p>
        </w:tc>
        <w:tc>
          <w:tcPr>
            <w:tcW w:w="840" w:type="dxa"/>
            <w:vAlign w:val="bottom"/>
            <w:gridSpan w:val="3"/>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14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4"/>
                <w:szCs w:val="4"/>
                <w:color w:val="auto"/>
              </w:rPr>
              <w:t>Our investment in and share of</w:t>
            </w:r>
          </w:p>
        </w:tc>
        <w:tc>
          <w:tcPr>
            <w:tcW w:w="6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42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equity in earnings of unconsolidated</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vMerge w:val="restart"/>
          </w:tcPr>
          <w:p>
            <w:pPr>
              <w:jc w:val="right"/>
              <w:ind w:right="16"/>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1,287,109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8,067</w:t>
            </w:r>
          </w:p>
        </w:tc>
        <w:tc>
          <w:tcPr>
            <w:tcW w:w="0" w:type="dxa"/>
            <w:vAlign w:val="bottom"/>
          </w:tcPr>
          <w:p>
            <w:pPr>
              <w:spacing w:after="0"/>
              <w:rPr>
                <w:sz w:val="1"/>
                <w:szCs w:val="1"/>
                <w:color w:val="auto"/>
              </w:rPr>
            </w:pPr>
          </w:p>
        </w:tc>
      </w:tr>
      <w:tr>
        <w:trPr>
          <w:trHeight w:val="112"/>
        </w:trPr>
        <w:tc>
          <w:tcPr>
            <w:tcW w:w="1420" w:type="dxa"/>
            <w:vAlign w:val="bottom"/>
            <w:gridSpan w:val="2"/>
          </w:tcPr>
          <w:p>
            <w:pPr>
              <w:spacing w:after="0" w:line="99" w:lineRule="exact"/>
              <w:rPr>
                <w:sz w:val="20"/>
                <w:szCs w:val="20"/>
                <w:color w:val="auto"/>
              </w:rPr>
            </w:pPr>
            <w:r>
              <w:rPr>
                <w:rFonts w:ascii="Times New Roman" w:cs="Times New Roman" w:eastAsia="Times New Roman" w:hAnsi="Times New Roman"/>
                <w:sz w:val="9"/>
                <w:szCs w:val="9"/>
                <w:color w:val="auto"/>
              </w:rPr>
              <w:t>joint ventures</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4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54" w:name="page155"/>
    <w:bookmarkEnd w:id="15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right"/>
              <w:ind w:right="116"/>
              <w:spacing w:after="0"/>
              <w:rPr>
                <w:sz w:val="20"/>
                <w:szCs w:val="20"/>
                <w:color w:val="auto"/>
              </w:rPr>
            </w:pPr>
            <w:r>
              <w:rPr>
                <w:rFonts w:ascii="Times New Roman" w:cs="Times New Roman" w:eastAsia="Times New Roman" w:hAnsi="Times New Roman"/>
                <w:sz w:val="9"/>
                <w:szCs w:val="9"/>
                <w:b w:val="1"/>
                <w:bCs w:val="1"/>
                <w:color w:val="auto"/>
              </w:rPr>
              <w:t>Property</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9"/>
                <w:szCs w:val="9"/>
                <w:b w:val="1"/>
                <w:bCs w:val="1"/>
                <w:color w:val="auto"/>
              </w:rPr>
              <w:t>Net</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jc w:val="right"/>
              <w:ind w:right="156"/>
              <w:spacing w:after="0"/>
              <w:rPr>
                <w:sz w:val="20"/>
                <w:szCs w:val="20"/>
                <w:color w:val="auto"/>
              </w:rPr>
            </w:pPr>
            <w:r>
              <w:rPr>
                <w:rFonts w:ascii="Times New Roman" w:cs="Times New Roman" w:eastAsia="Times New Roman" w:hAnsi="Times New Roman"/>
                <w:sz w:val="9"/>
                <w:szCs w:val="9"/>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ind w:right="236"/>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ind w:right="116"/>
              <w:spacing w:after="0" w:line="95" w:lineRule="exact"/>
              <w:rPr>
                <w:sz w:val="20"/>
                <w:szCs w:val="20"/>
                <w:color w:val="auto"/>
              </w:rPr>
            </w:pPr>
            <w:r>
              <w:rPr>
                <w:rFonts w:ascii="Times New Roman" w:cs="Times New Roman" w:eastAsia="Times New Roman" w:hAnsi="Times New Roman"/>
                <w:sz w:val="9"/>
                <w:szCs w:val="9"/>
                <w:b w:val="1"/>
                <w:bCs w:val="1"/>
                <w:color w:val="auto"/>
              </w:rPr>
              <w:t>Net Investment</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ind w:right="196"/>
              <w:spacing w:after="0" w:line="95" w:lineRule="exact"/>
              <w:rPr>
                <w:sz w:val="20"/>
                <w:szCs w:val="20"/>
                <w:color w:val="auto"/>
              </w:rPr>
            </w:pPr>
            <w:r>
              <w:rPr>
                <w:rFonts w:ascii="Times New Roman" w:cs="Times New Roman" w:eastAsia="Times New Roman" w:hAnsi="Times New Roman"/>
                <w:sz w:val="9"/>
                <w:szCs w:val="9"/>
                <w:b w:val="1"/>
                <w:bCs w:val="1"/>
                <w:color w:val="auto"/>
              </w:rPr>
              <w:t>Total</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ind w:right="76"/>
              <w:spacing w:after="0" w:line="95" w:lineRule="exact"/>
              <w:rPr>
                <w:sz w:val="20"/>
                <w:szCs w:val="20"/>
                <w:color w:val="auto"/>
              </w:rPr>
            </w:pPr>
            <w:r>
              <w:rPr>
                <w:rFonts w:ascii="Times New Roman" w:cs="Times New Roman" w:eastAsia="Times New Roman" w:hAnsi="Times New Roman"/>
                <w:sz w:val="9"/>
                <w:szCs w:val="9"/>
                <w:b w:val="1"/>
                <w:bCs w:val="1"/>
                <w:color w:val="auto"/>
                <w:w w:val="95"/>
              </w:rPr>
              <w:t>Mortgage</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ind w:right="156"/>
              <w:spacing w:after="0" w:line="95" w:lineRule="exact"/>
              <w:rPr>
                <w:sz w:val="20"/>
                <w:szCs w:val="20"/>
                <w:color w:val="auto"/>
              </w:rPr>
            </w:pPr>
            <w:r>
              <w:rPr>
                <w:rFonts w:ascii="Times New Roman" w:cs="Times New Roman" w:eastAsia="Times New Roman" w:hAnsi="Times New Roman"/>
                <w:sz w:val="9"/>
                <w:szCs w:val="9"/>
                <w:b w:val="1"/>
                <w:bCs w:val="1"/>
                <w:color w:val="auto"/>
              </w:rPr>
              <w:t>Total</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ind w:right="96"/>
              <w:spacing w:after="0" w:line="95" w:lineRule="exact"/>
              <w:rPr>
                <w:sz w:val="20"/>
                <w:szCs w:val="20"/>
                <w:color w:val="auto"/>
              </w:rPr>
            </w:pPr>
            <w:r>
              <w:rPr>
                <w:rFonts w:ascii="Times New Roman" w:cs="Times New Roman" w:eastAsia="Times New Roman" w:hAnsi="Times New Roman"/>
                <w:sz w:val="9"/>
                <w:szCs w:val="9"/>
                <w:b w:val="1"/>
                <w:bCs w:val="1"/>
                <w:color w:val="auto"/>
              </w:rPr>
              <w:t>Equity /</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right"/>
              <w:ind w:right="96"/>
              <w:spacing w:after="0" w:line="95" w:lineRule="exact"/>
              <w:rPr>
                <w:sz w:val="20"/>
                <w:szCs w:val="20"/>
                <w:color w:val="auto"/>
              </w:rPr>
            </w:pPr>
            <w:r>
              <w:rPr>
                <w:rFonts w:ascii="Times New Roman" w:cs="Times New Roman" w:eastAsia="Times New Roman" w:hAnsi="Times New Roman"/>
                <w:sz w:val="9"/>
                <w:szCs w:val="9"/>
                <w:b w:val="1"/>
                <w:bCs w:val="1"/>
                <w:color w:val="auto"/>
              </w:rPr>
              <w:t>Operating</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ind w:left="40"/>
              <w:spacing w:after="0" w:line="95" w:lineRule="exact"/>
              <w:rPr>
                <w:sz w:val="20"/>
                <w:szCs w:val="20"/>
                <w:color w:val="auto"/>
              </w:rPr>
            </w:pPr>
            <w:r>
              <w:rPr>
                <w:rFonts w:ascii="Times New Roman" w:cs="Times New Roman" w:eastAsia="Times New Roman" w:hAnsi="Times New Roman"/>
                <w:sz w:val="9"/>
                <w:szCs w:val="9"/>
                <w:b w:val="1"/>
                <w:bCs w:val="1"/>
                <w:color w:val="auto"/>
              </w:rPr>
              <w:t>Operating</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jc w:val="right"/>
              <w:ind w:right="96"/>
              <w:spacing w:after="0" w:line="95" w:lineRule="exact"/>
              <w:rPr>
                <w:sz w:val="20"/>
                <w:szCs w:val="20"/>
                <w:color w:val="auto"/>
              </w:rPr>
            </w:pPr>
            <w:r>
              <w:rPr>
                <w:rFonts w:ascii="Times New Roman" w:cs="Times New Roman" w:eastAsia="Times New Roman" w:hAnsi="Times New Roman"/>
                <w:sz w:val="9"/>
                <w:szCs w:val="9"/>
                <w:b w:val="1"/>
                <w:bCs w:val="1"/>
                <w:color w:val="auto"/>
                <w:w w:val="98"/>
              </w:rPr>
              <w:t>Income</w:t>
            </w:r>
          </w:p>
        </w:tc>
        <w:tc>
          <w:tcPr>
            <w:tcW w:w="0" w:type="dxa"/>
            <w:vAlign w:val="bottom"/>
          </w:tcPr>
          <w:p>
            <w:pPr>
              <w:spacing w:after="0"/>
              <w:rPr>
                <w:sz w:val="1"/>
                <w:szCs w:val="1"/>
                <w:color w:val="auto"/>
              </w:rPr>
            </w:pPr>
          </w:p>
        </w:tc>
      </w:tr>
      <w:tr>
        <w:trPr>
          <w:trHeight w:val="108"/>
        </w:trPr>
        <w:tc>
          <w:tcPr>
            <w:tcW w:w="2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2018</w:t>
            </w: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8"/>
              </w:rPr>
              <w:t>Ownership</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right"/>
              <w:ind w:right="156"/>
              <w:spacing w:after="0"/>
              <w:rPr>
                <w:sz w:val="20"/>
                <w:szCs w:val="20"/>
                <w:color w:val="auto"/>
              </w:rPr>
            </w:pPr>
            <w:r>
              <w:rPr>
                <w:rFonts w:ascii="Times New Roman" w:cs="Times New Roman" w:eastAsia="Times New Roman" w:hAnsi="Times New Roman"/>
                <w:sz w:val="9"/>
                <w:szCs w:val="9"/>
                <w:b w:val="1"/>
                <w:bCs w:val="1"/>
                <w:color w:val="auto"/>
              </w:rPr>
              <w:t>in Properties</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ind w:right="156"/>
              <w:spacing w:after="0"/>
              <w:rPr>
                <w:sz w:val="20"/>
                <w:szCs w:val="20"/>
                <w:color w:val="auto"/>
              </w:rPr>
            </w:pPr>
            <w:r>
              <w:rPr>
                <w:rFonts w:ascii="Times New Roman" w:cs="Times New Roman" w:eastAsia="Times New Roman" w:hAnsi="Times New Roman"/>
                <w:sz w:val="9"/>
                <w:szCs w:val="9"/>
                <w:b w:val="1"/>
                <w:bCs w:val="1"/>
                <w:color w:val="auto"/>
              </w:rPr>
              <w:t>Assets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136"/>
              <w:spacing w:after="0"/>
              <w:rPr>
                <w:sz w:val="20"/>
                <w:szCs w:val="20"/>
                <w:color w:val="auto"/>
              </w:rPr>
            </w:pPr>
            <w:r>
              <w:rPr>
                <w:rFonts w:ascii="Times New Roman" w:cs="Times New Roman" w:eastAsia="Times New Roman" w:hAnsi="Times New Roman"/>
                <w:sz w:val="9"/>
                <w:szCs w:val="9"/>
                <w:b w:val="1"/>
                <w:bCs w:val="1"/>
                <w:color w:val="auto"/>
              </w:rPr>
              <w:t>Loans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56"/>
              <w:spacing w:after="0"/>
              <w:rPr>
                <w:sz w:val="20"/>
                <w:szCs w:val="20"/>
                <w:color w:val="auto"/>
              </w:rPr>
            </w:pPr>
            <w:r>
              <w:rPr>
                <w:rFonts w:ascii="Times New Roman" w:cs="Times New Roman" w:eastAsia="Times New Roman" w:hAnsi="Times New Roman"/>
                <w:sz w:val="9"/>
                <w:szCs w:val="9"/>
                <w:b w:val="1"/>
                <w:bCs w:val="1"/>
                <w:color w:val="auto"/>
                <w:w w:val="98"/>
              </w:rPr>
              <w:t>Liabilities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9"/>
                <w:szCs w:val="9"/>
                <w:b w:val="1"/>
                <w:bCs w:val="1"/>
                <w:color w:val="auto"/>
              </w:rPr>
              <w:t>(Deficit)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56"/>
              <w:spacing w:after="0"/>
              <w:rPr>
                <w:sz w:val="20"/>
                <w:szCs w:val="20"/>
                <w:color w:val="auto"/>
              </w:rPr>
            </w:pPr>
            <w:r>
              <w:rPr>
                <w:rFonts w:ascii="Times New Roman" w:cs="Times New Roman" w:eastAsia="Times New Roman" w:hAnsi="Times New Roman"/>
                <w:sz w:val="9"/>
                <w:szCs w:val="9"/>
                <w:b w:val="1"/>
                <w:bCs w:val="1"/>
                <w:color w:val="auto"/>
                <w:w w:val="98"/>
              </w:rPr>
              <w:t>Revenues</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right"/>
              <w:ind w:right="116"/>
              <w:spacing w:after="0"/>
              <w:rPr>
                <w:sz w:val="20"/>
                <w:szCs w:val="20"/>
                <w:color w:val="auto"/>
              </w:rPr>
            </w:pPr>
            <w:r>
              <w:rPr>
                <w:rFonts w:ascii="Times New Roman" w:cs="Times New Roman" w:eastAsia="Times New Roman" w:hAnsi="Times New Roman"/>
                <w:sz w:val="9"/>
                <w:szCs w:val="9"/>
                <w:b w:val="1"/>
                <w:bCs w:val="1"/>
                <w:color w:val="auto"/>
              </w:rPr>
              <w:t>Expense</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9"/>
                <w:szCs w:val="9"/>
                <w:b w:val="1"/>
                <w:bCs w:val="1"/>
                <w:color w:val="auto"/>
              </w:rPr>
              <w:t>Income</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9"/>
                <w:szCs w:val="9"/>
                <w:b w:val="1"/>
                <w:bCs w:val="1"/>
                <w:color w:val="auto"/>
              </w:rPr>
              <w:t>(Loss)</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500" w:type="dxa"/>
            <w:vAlign w:val="bottom"/>
            <w:tcBorders>
              <w:top w:val="single" w:sz="8" w:color="auto"/>
            </w:tcBorders>
            <w:gridSpan w:val="2"/>
            <w:shd w:val="clear" w:color="auto" w:fill="CCEEFF"/>
          </w:tcPr>
          <w:p>
            <w:pPr>
              <w:spacing w:after="0" w:line="85" w:lineRule="exact"/>
              <w:rPr>
                <w:sz w:val="20"/>
                <w:szCs w:val="20"/>
                <w:color w:val="auto"/>
              </w:rPr>
            </w:pPr>
            <w:r>
              <w:rPr>
                <w:rFonts w:ascii="Times New Roman" w:cs="Times New Roman" w:eastAsia="Times New Roman" w:hAnsi="Times New Roman"/>
                <w:sz w:val="9"/>
                <w:szCs w:val="9"/>
                <w:b w:val="1"/>
                <w:bCs w:val="1"/>
                <w:color w:val="auto"/>
              </w:rPr>
              <w:t>Unconsolidated Joint Ventures</w:t>
            </w:r>
          </w:p>
        </w:tc>
        <w:tc>
          <w:tcPr>
            <w:tcW w:w="1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w w:val="77"/>
              </w:rPr>
              <w:t>2001</w:t>
            </w:r>
          </w:p>
        </w:tc>
        <w:tc>
          <w:tcPr>
            <w:tcW w:w="144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Sixth Avenue</w:t>
            </w:r>
          </w:p>
        </w:tc>
        <w:tc>
          <w:tcPr>
            <w:tcW w:w="740" w:type="dxa"/>
            <w:vAlign w:val="bottom"/>
            <w:gridSpan w:val="2"/>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50.00 %</w:t>
            </w:r>
          </w:p>
        </w:tc>
        <w:tc>
          <w:tcPr>
            <w:tcW w:w="120" w:type="dxa"/>
            <w:vAlign w:val="bottom"/>
            <w:gridSpan w:val="2"/>
          </w:tcPr>
          <w:p>
            <w:pPr>
              <w:jc w:val="right"/>
              <w:ind w:right="38"/>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7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32,786</w:t>
            </w:r>
          </w:p>
        </w:tc>
        <w:tc>
          <w:tcPr>
            <w:tcW w:w="260" w:type="dxa"/>
            <w:vAlign w:val="bottom"/>
            <w:gridSpan w:val="2"/>
          </w:tcPr>
          <w:p>
            <w:pPr>
              <w:jc w:val="right"/>
              <w:ind w:right="58"/>
              <w:spacing w:after="0" w:line="95"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49,278</w:t>
            </w:r>
          </w:p>
        </w:tc>
        <w:tc>
          <w:tcPr>
            <w:tcW w:w="200" w:type="dxa"/>
            <w:vAlign w:val="bottom"/>
            <w:gridSpan w:val="2"/>
          </w:tcPr>
          <w:p>
            <w:pPr>
              <w:jc w:val="right"/>
              <w:ind w:right="18"/>
              <w:spacing w:after="0" w:line="95"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134,527</w:t>
            </w:r>
          </w:p>
        </w:tc>
        <w:tc>
          <w:tcPr>
            <w:tcW w:w="1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139,569</w:t>
            </w:r>
          </w:p>
        </w:tc>
        <w:tc>
          <w:tcPr>
            <w:tcW w:w="200" w:type="dxa"/>
            <w:vAlign w:val="bottom"/>
            <w:gridSpan w:val="2"/>
          </w:tcPr>
          <w:p>
            <w:pPr>
              <w:jc w:val="right"/>
              <w:ind w:right="18"/>
              <w:spacing w:after="0" w:line="95"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(90,291)</w:t>
            </w:r>
          </w:p>
        </w:tc>
        <w:tc>
          <w:tcPr>
            <w:tcW w:w="200" w:type="dxa"/>
            <w:vAlign w:val="bottom"/>
            <w:gridSpan w:val="2"/>
          </w:tcPr>
          <w:p>
            <w:pPr>
              <w:jc w:val="right"/>
              <w:ind w:right="18"/>
              <w:spacing w:after="0" w:line="95"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52,806</w:t>
            </w:r>
          </w:p>
        </w:tc>
        <w:tc>
          <w:tcPr>
            <w:tcW w:w="2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(17,264)</w:t>
            </w:r>
          </w:p>
        </w:tc>
        <w:tc>
          <w:tcPr>
            <w:tcW w:w="2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35,542</w:t>
            </w:r>
          </w:p>
        </w:tc>
        <w:tc>
          <w:tcPr>
            <w:tcW w:w="120" w:type="dxa"/>
            <w:vAlign w:val="bottom"/>
          </w:tcPr>
          <w:p>
            <w:pPr>
              <w:spacing w:after="0"/>
              <w:rPr>
                <w:sz w:val="8"/>
                <w:szCs w:val="8"/>
                <w:color w:val="auto"/>
              </w:rPr>
            </w:pPr>
          </w:p>
        </w:tc>
        <w:tc>
          <w:tcPr>
            <w:tcW w:w="60" w:type="dxa"/>
            <w:vAlign w:val="bottom"/>
            <w:gridSpan w:val="2"/>
          </w:tcPr>
          <w:p>
            <w:pPr>
              <w:jc w:val="right"/>
              <w:ind w:right="14"/>
              <w:spacing w:after="0"/>
              <w:rPr>
                <w:sz w:val="20"/>
                <w:szCs w:val="20"/>
                <w:color w:val="auto"/>
              </w:rPr>
            </w:pPr>
            <w:r>
              <w:rPr>
                <w:rFonts w:ascii="Times New Roman" w:cs="Times New Roman" w:eastAsia="Times New Roman" w:hAnsi="Times New Roman"/>
                <w:sz w:val="4"/>
                <w:szCs w:val="4"/>
                <w:color w:val="auto"/>
                <w:w w:val="97"/>
              </w:rPr>
              <w:t>$</w:t>
            </w:r>
          </w:p>
        </w:tc>
        <w:tc>
          <w:tcPr>
            <w:tcW w:w="4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25,612</w:t>
            </w:r>
          </w:p>
        </w:tc>
        <w:tc>
          <w:tcPr>
            <w:tcW w:w="0" w:type="dxa"/>
            <w:vAlign w:val="bottom"/>
          </w:tcPr>
          <w:p>
            <w:pPr>
              <w:spacing w:after="0"/>
              <w:rPr>
                <w:sz w:val="1"/>
                <w:szCs w:val="1"/>
                <w:color w:val="auto"/>
              </w:rPr>
            </w:pPr>
          </w:p>
        </w:tc>
      </w:tr>
      <w:tr>
        <w:trPr>
          <w:trHeight w:val="95"/>
        </w:trPr>
        <w:tc>
          <w:tcPr>
            <w:tcW w:w="200" w:type="dxa"/>
            <w:vAlign w:val="bottom"/>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w w:val="88"/>
              </w:rPr>
              <w:t>2020</w:t>
            </w:r>
          </w:p>
        </w:tc>
        <w:tc>
          <w:tcPr>
            <w:tcW w:w="144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Fifth Avenue</w:t>
            </w:r>
          </w:p>
        </w:tc>
        <w:tc>
          <w:tcPr>
            <w:tcW w:w="740" w:type="dxa"/>
            <w:vAlign w:val="bottom"/>
            <w:gridSpan w:val="2"/>
            <w:shd w:val="clear" w:color="auto" w:fill="CCEEFF"/>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50.00 %</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44,644</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54,855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48,000</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48,333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6,522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9,417</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(2,156)</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7,261</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4,689</w:t>
            </w:r>
          </w:p>
        </w:tc>
        <w:tc>
          <w:tcPr>
            <w:tcW w:w="0" w:type="dxa"/>
            <w:vAlign w:val="bottom"/>
          </w:tcPr>
          <w:p>
            <w:pPr>
              <w:spacing w:after="0"/>
              <w:rPr>
                <w:sz w:val="1"/>
                <w:szCs w:val="1"/>
                <w:color w:val="auto"/>
              </w:rPr>
            </w:pPr>
          </w:p>
        </w:tc>
      </w:tr>
      <w:tr>
        <w:trPr>
          <w:trHeight w:val="95"/>
        </w:trPr>
        <w:tc>
          <w:tcPr>
            <w:tcW w:w="1640" w:type="dxa"/>
            <w:vAlign w:val="bottom"/>
            <w:gridSpan w:val="4"/>
          </w:tcPr>
          <w:p>
            <w:pPr>
              <w:spacing w:after="0" w:line="95" w:lineRule="exact"/>
              <w:rPr>
                <w:sz w:val="20"/>
                <w:szCs w:val="20"/>
                <w:color w:val="auto"/>
              </w:rPr>
            </w:pPr>
            <w:r>
              <w:rPr>
                <w:rFonts w:ascii="Times New Roman" w:cs="Times New Roman" w:eastAsia="Times New Roman" w:hAnsi="Times New Roman"/>
                <w:sz w:val="9"/>
                <w:szCs w:val="9"/>
                <w:color w:val="auto"/>
              </w:rPr>
              <w:t>CenturyLink</w:t>
            </w:r>
          </w:p>
        </w:tc>
        <w:tc>
          <w:tcPr>
            <w:tcW w:w="740" w:type="dxa"/>
            <w:vAlign w:val="bottom"/>
            <w:gridSpan w:val="2"/>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50.00 %</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151,256</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201,527</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9,337</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192,190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21,394</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(7,164)</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14,230</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6,958</w:t>
            </w:r>
          </w:p>
        </w:tc>
        <w:tc>
          <w:tcPr>
            <w:tcW w:w="0" w:type="dxa"/>
            <w:vAlign w:val="bottom"/>
          </w:tcPr>
          <w:p>
            <w:pPr>
              <w:spacing w:after="0"/>
              <w:rPr>
                <w:sz w:val="1"/>
                <w:szCs w:val="1"/>
                <w:color w:val="auto"/>
              </w:rPr>
            </w:pPr>
          </w:p>
        </w:tc>
      </w:tr>
      <w:tr>
        <w:trPr>
          <w:trHeight w:val="95"/>
        </w:trPr>
        <w:tc>
          <w:tcPr>
            <w:tcW w:w="1640" w:type="dxa"/>
            <w:vAlign w:val="bottom"/>
            <w:gridSpan w:val="4"/>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Mitsubishi</w:t>
            </w:r>
          </w:p>
        </w:tc>
        <w:tc>
          <w:tcPr>
            <w:tcW w:w="740" w:type="dxa"/>
            <w:vAlign w:val="bottom"/>
            <w:gridSpan w:val="2"/>
            <w:shd w:val="clear" w:color="auto" w:fill="CCEEFF"/>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50.00 %</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332,373</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469,159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228,075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285,424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183,735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59,300</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(26,360)</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32,940</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15,884</w:t>
            </w:r>
          </w:p>
        </w:tc>
        <w:tc>
          <w:tcPr>
            <w:tcW w:w="0" w:type="dxa"/>
            <w:vAlign w:val="bottom"/>
          </w:tcPr>
          <w:p>
            <w:pPr>
              <w:spacing w:after="0"/>
              <w:rPr>
                <w:sz w:val="1"/>
                <w:szCs w:val="1"/>
                <w:color w:val="auto"/>
              </w:rPr>
            </w:pPr>
          </w:p>
        </w:tc>
      </w:tr>
      <w:tr>
        <w:trPr>
          <w:trHeight w:val="95"/>
        </w:trPr>
        <w:tc>
          <w:tcPr>
            <w:tcW w:w="1640" w:type="dxa"/>
            <w:vAlign w:val="bottom"/>
            <w:gridSpan w:val="4"/>
          </w:tcPr>
          <w:p>
            <w:pPr>
              <w:spacing w:after="0" w:line="95" w:lineRule="exact"/>
              <w:rPr>
                <w:sz w:val="20"/>
                <w:szCs w:val="20"/>
                <w:color w:val="auto"/>
              </w:rPr>
            </w:pPr>
            <w:r>
              <w:rPr>
                <w:rFonts w:ascii="Times New Roman" w:cs="Times New Roman" w:eastAsia="Times New Roman" w:hAnsi="Times New Roman"/>
                <w:sz w:val="9"/>
                <w:szCs w:val="9"/>
                <w:color w:val="auto"/>
              </w:rPr>
              <w:t>PREI ®</w:t>
            </w:r>
          </w:p>
        </w:tc>
        <w:tc>
          <w:tcPr>
            <w:tcW w:w="740" w:type="dxa"/>
            <w:vAlign w:val="bottom"/>
            <w:gridSpan w:val="2"/>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20.00 %</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375,016</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433,024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210,626</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283,899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149,125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42,058</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(8,457)</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33,601</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(4,159)</w:t>
            </w:r>
          </w:p>
        </w:tc>
        <w:tc>
          <w:tcPr>
            <w:tcW w:w="0" w:type="dxa"/>
            <w:vAlign w:val="bottom"/>
          </w:tcPr>
          <w:p>
            <w:pPr>
              <w:spacing w:after="0"/>
              <w:rPr>
                <w:sz w:val="1"/>
                <w:szCs w:val="1"/>
                <w:color w:val="auto"/>
              </w:rPr>
            </w:pPr>
          </w:p>
        </w:tc>
      </w:tr>
      <w:tr>
        <w:trPr>
          <w:trHeight w:val="95"/>
        </w:trPr>
        <w:tc>
          <w:tcPr>
            <w:tcW w:w="1640" w:type="dxa"/>
            <w:vAlign w:val="bottom"/>
            <w:gridSpan w:val="4"/>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GCEAR</w:t>
            </w:r>
          </w:p>
        </w:tc>
        <w:tc>
          <w:tcPr>
            <w:tcW w:w="740" w:type="dxa"/>
            <w:vAlign w:val="bottom"/>
            <w:gridSpan w:val="2"/>
            <w:shd w:val="clear" w:color="auto" w:fill="CCEEFF"/>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20.00 %</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111,909</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139,268</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101,885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104,268</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35,000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20,457</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(8,546)</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11,911</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(2,177)</w:t>
            </w:r>
          </w:p>
        </w:tc>
        <w:tc>
          <w:tcPr>
            <w:tcW w:w="0" w:type="dxa"/>
            <w:vAlign w:val="bottom"/>
          </w:tcPr>
          <w:p>
            <w:pPr>
              <w:spacing w:after="0"/>
              <w:rPr>
                <w:sz w:val="1"/>
                <w:szCs w:val="1"/>
                <w:color w:val="auto"/>
              </w:rPr>
            </w:pPr>
          </w:p>
        </w:tc>
      </w:tr>
      <w:tr>
        <w:trPr>
          <w:trHeight w:val="95"/>
        </w:trPr>
        <w:tc>
          <w:tcPr>
            <w:tcW w:w="1640" w:type="dxa"/>
            <w:vAlign w:val="bottom"/>
            <w:gridSpan w:val="4"/>
          </w:tcPr>
          <w:p>
            <w:pPr>
              <w:spacing w:after="0" w:line="95" w:lineRule="exact"/>
              <w:rPr>
                <w:sz w:val="20"/>
                <w:szCs w:val="20"/>
                <w:color w:val="auto"/>
              </w:rPr>
            </w:pPr>
            <w:r>
              <w:rPr>
                <w:rFonts w:ascii="Times New Roman" w:cs="Times New Roman" w:eastAsia="Times New Roman" w:hAnsi="Times New Roman"/>
                <w:sz w:val="9"/>
                <w:szCs w:val="9"/>
                <w:color w:val="auto"/>
              </w:rPr>
              <w:t>Other</w:t>
            </w:r>
          </w:p>
        </w:tc>
        <w:tc>
          <w:tcPr>
            <w:tcW w:w="740" w:type="dxa"/>
            <w:vAlign w:val="bottom"/>
            <w:gridSpan w:val="2"/>
          </w:tcPr>
          <w:p>
            <w:pPr>
              <w:jc w:val="right"/>
              <w:ind w:right="20"/>
              <w:spacing w:after="0" w:line="95" w:lineRule="exact"/>
              <w:rPr>
                <w:sz w:val="20"/>
                <w:szCs w:val="20"/>
                <w:color w:val="auto"/>
              </w:rPr>
            </w:pPr>
            <w:r>
              <w:rPr>
                <w:rFonts w:ascii="Times New Roman" w:cs="Times New Roman" w:eastAsia="Times New Roman" w:hAnsi="Times New Roman"/>
                <w:sz w:val="9"/>
                <w:szCs w:val="9"/>
                <w:color w:val="auto"/>
              </w:rPr>
              <w:t>17.00 %</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22,677</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24,320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5,225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5,327</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18,993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9,383</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(5,879)</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3,504</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415</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620" w:type="dxa"/>
            <w:vAlign w:val="bottom"/>
            <w:tcBorders>
              <w:top w:val="single" w:sz="8" w:color="CCEEFF"/>
              <w:bottom w:val="single" w:sz="8" w:color="CCEEFF"/>
            </w:tcBorders>
            <w:gridSpan w:val="3"/>
            <w:shd w:val="clear" w:color="auto" w:fill="CCEEFF"/>
          </w:tcPr>
          <w:p>
            <w:pPr>
              <w:spacing w:after="0" w:line="85" w:lineRule="exact"/>
              <w:rPr>
                <w:sz w:val="20"/>
                <w:szCs w:val="20"/>
                <w:color w:val="auto"/>
              </w:rPr>
            </w:pPr>
            <w:r>
              <w:rPr>
                <w:rFonts w:ascii="Times New Roman" w:cs="Times New Roman" w:eastAsia="Times New Roman" w:hAnsi="Times New Roman"/>
                <w:sz w:val="9"/>
                <w:szCs w:val="9"/>
                <w:b w:val="1"/>
                <w:bCs w:val="1"/>
                <w:color w:val="auto"/>
              </w:rPr>
              <w:t>Total Unconsolidated Joint Ventures</w:t>
            </w:r>
          </w:p>
        </w:tc>
        <w:tc>
          <w:tcPr>
            <w:tcW w:w="64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78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1,070,661</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1,371,431</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728,338</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876,157</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495,274</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214,815</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(75,826)</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8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138,989</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
                <w:szCs w:val="1"/>
                <w:color w:val="auto"/>
                <w:w w:val="4294967286"/>
              </w:rPr>
              <w:t>$</w:t>
            </w:r>
          </w:p>
        </w:tc>
        <w:tc>
          <w:tcPr>
            <w:tcW w:w="44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47,222</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4"/>
                <w:szCs w:val="4"/>
                <w:color w:val="auto"/>
              </w:rPr>
              <w:t>Our investment in and share of equity in</w:t>
            </w: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80" w:type="dxa"/>
            <w:vAlign w:val="bottom"/>
            <w:vMerge w:val="restart"/>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175,108</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4"/>
                <w:szCs w:val="4"/>
                <w:color w:val="auto"/>
                <w:w w:val="97"/>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32,979</w:t>
            </w:r>
          </w:p>
        </w:tc>
        <w:tc>
          <w:tcPr>
            <w:tcW w:w="0" w:type="dxa"/>
            <w:vAlign w:val="bottom"/>
          </w:tcPr>
          <w:p>
            <w:pPr>
              <w:spacing w:after="0"/>
              <w:rPr>
                <w:sz w:val="1"/>
                <w:szCs w:val="1"/>
                <w:color w:val="auto"/>
              </w:rPr>
            </w:pPr>
          </w:p>
        </w:tc>
      </w:tr>
      <w:tr>
        <w:trPr>
          <w:trHeight w:val="112"/>
        </w:trPr>
        <w:tc>
          <w:tcPr>
            <w:tcW w:w="1640" w:type="dxa"/>
            <w:vAlign w:val="bottom"/>
            <w:gridSpan w:val="4"/>
          </w:tcPr>
          <w:p>
            <w:pPr>
              <w:spacing w:after="0" w:line="99" w:lineRule="exact"/>
              <w:rPr>
                <w:sz w:val="20"/>
                <w:szCs w:val="20"/>
                <w:color w:val="auto"/>
              </w:rPr>
            </w:pPr>
            <w:r>
              <w:rPr>
                <w:rFonts w:ascii="Times New Roman" w:cs="Times New Roman" w:eastAsia="Times New Roman" w:hAnsi="Times New Roman"/>
                <w:sz w:val="9"/>
                <w:szCs w:val="9"/>
                <w:color w:val="auto"/>
              </w:rPr>
              <w:t>earnings of unconsolidated joint ventures</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48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auto"/>
            </w:tcBorders>
            <w:gridSpan w:val="2"/>
            <w:vMerge w:val="continue"/>
          </w:tcPr>
          <w:p>
            <w:pPr>
              <w:spacing w:after="0"/>
              <w:rPr>
                <w:sz w:val="9"/>
                <w:szCs w:val="9"/>
                <w:color w:val="auto"/>
              </w:rPr>
            </w:pPr>
          </w:p>
        </w:tc>
        <w:tc>
          <w:tcPr>
            <w:tcW w:w="4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 w:right="139" w:firstLine="228"/>
        <w:spacing w:after="0" w:line="256" w:lineRule="auto"/>
        <w:rPr>
          <w:sz w:val="20"/>
          <w:szCs w:val="20"/>
          <w:color w:val="auto"/>
        </w:rPr>
      </w:pPr>
      <w:r>
        <w:rPr>
          <w:rFonts w:ascii="Times New Roman" w:cs="Times New Roman" w:eastAsia="Times New Roman" w:hAnsi="Times New Roman"/>
          <w:sz w:val="13"/>
          <w:szCs w:val="13"/>
          <w:color w:val="auto"/>
        </w:rPr>
        <w:t>The amounts reflected in the tables above, except for our investment in and share of equity in earnings (loss) of unconsolidated joint ventures, are based on the historical financial information of the individual joint ventures. The debt of our unconsolidated joint ventures generally is non-recourse to us, except for customary exceptions pertaining to such matters as intentional misuse of funds, environmental conditions, and material misrepresentations.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55" w:name="page156"/>
    <w:bookmarkEnd w:id="15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7. Acquired Intangible Assets and Liabilities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following summarizes our acquired intangible assets and intangible liabilities as of December 31, 2020 and 2019.</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630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(Amounts in thousands)</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gridSpan w:val="5"/>
          </w:tcPr>
          <w:p>
            <w:pPr>
              <w:jc w:val="right"/>
              <w:ind w:right="918"/>
              <w:spacing w:after="0"/>
              <w:rPr>
                <w:sz w:val="20"/>
                <w:szCs w:val="20"/>
                <w:color w:val="auto"/>
              </w:rPr>
            </w:pPr>
            <w:r>
              <w:rPr>
                <w:rFonts w:ascii="Times New Roman" w:cs="Times New Roman" w:eastAsia="Times New Roman" w:hAnsi="Times New Roman"/>
                <w:sz w:val="10"/>
                <w:szCs w:val="10"/>
                <w:b w:val="1"/>
                <w:bCs w:val="1"/>
                <w:color w:val="auto"/>
              </w:rPr>
              <w:t>Balance as of</w:t>
            </w:r>
          </w:p>
        </w:tc>
        <w:tc>
          <w:tcPr>
            <w:tcW w:w="0" w:type="dxa"/>
            <w:vAlign w:val="bottom"/>
          </w:tcPr>
          <w:p>
            <w:pPr>
              <w:spacing w:after="0"/>
              <w:rPr>
                <w:sz w:val="1"/>
                <w:szCs w:val="1"/>
                <w:color w:val="auto"/>
              </w:rPr>
            </w:pPr>
          </w:p>
        </w:tc>
      </w:tr>
      <w:tr>
        <w:trPr>
          <w:trHeight w:val="94"/>
        </w:trPr>
        <w:tc>
          <w:tcPr>
            <w:tcW w:w="630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tcPr>
          <w:p>
            <w:pPr>
              <w:ind w:left="60"/>
              <w:spacing w:after="0" w:line="94" w:lineRule="exact"/>
              <w:rPr>
                <w:sz w:val="20"/>
                <w:szCs w:val="20"/>
                <w:color w:val="auto"/>
              </w:rPr>
            </w:pPr>
            <w:r>
              <w:rPr>
                <w:rFonts w:ascii="Times New Roman" w:cs="Times New Roman" w:eastAsia="Times New Roman" w:hAnsi="Times New Roman"/>
                <w:sz w:val="10"/>
                <w:szCs w:val="10"/>
                <w:b w:val="1"/>
                <w:bCs w:val="1"/>
                <w:color w:val="auto"/>
              </w:rPr>
              <w:t>December 31, 2020</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jc w:val="right"/>
              <w:ind w:right="138"/>
              <w:spacing w:after="0" w:line="94" w:lineRule="exact"/>
              <w:rPr>
                <w:sz w:val="20"/>
                <w:szCs w:val="20"/>
                <w:color w:val="auto"/>
              </w:rPr>
            </w:pPr>
            <w:r>
              <w:rPr>
                <w:rFonts w:ascii="Times New Roman" w:cs="Times New Roman" w:eastAsia="Times New Roman" w:hAnsi="Times New Roman"/>
                <w:sz w:val="10"/>
                <w:szCs w:val="10"/>
                <w:b w:val="1"/>
                <w:bCs w:val="1"/>
                <w:color w:val="auto"/>
              </w:rPr>
              <w:t>December 31, 2019</w:t>
            </w:r>
          </w:p>
        </w:tc>
        <w:tc>
          <w:tcPr>
            <w:tcW w:w="0" w:type="dxa"/>
            <w:vAlign w:val="bottom"/>
          </w:tcPr>
          <w:p>
            <w:pPr>
              <w:spacing w:after="0"/>
              <w:rPr>
                <w:sz w:val="1"/>
                <w:szCs w:val="1"/>
                <w:color w:val="auto"/>
              </w:rPr>
            </w:pPr>
          </w:p>
        </w:tc>
      </w:tr>
      <w:tr>
        <w:trPr>
          <w:trHeight w:val="121"/>
        </w:trPr>
        <w:tc>
          <w:tcPr>
            <w:tcW w:w="20" w:type="dxa"/>
            <w:vAlign w:val="bottom"/>
            <w:tcBorders>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spacing w:after="0" w:line="113" w:lineRule="exact"/>
              <w:rPr>
                <w:sz w:val="20"/>
                <w:szCs w:val="20"/>
                <w:color w:val="auto"/>
              </w:rPr>
            </w:pPr>
            <w:r>
              <w:rPr>
                <w:rFonts w:ascii="Times New Roman" w:cs="Times New Roman" w:eastAsia="Times New Roman" w:hAnsi="Times New Roman"/>
                <w:sz w:val="13"/>
                <w:szCs w:val="13"/>
                <w:b w:val="1"/>
                <w:bCs w:val="1"/>
                <w:color w:val="auto"/>
                <w:w w:val="94"/>
              </w:rPr>
              <w:t>Intangible Assets:</w:t>
            </w:r>
          </w:p>
        </w:tc>
        <w:tc>
          <w:tcPr>
            <w:tcW w:w="5320" w:type="dxa"/>
            <w:vAlign w:val="bottom"/>
            <w:tcBorders>
              <w:top w:val="single" w:sz="8" w:color="auto"/>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Customer relationship value:</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Gross amount</w:t>
            </w:r>
          </w:p>
        </w:tc>
        <w:tc>
          <w:tcPr>
            <w:tcW w:w="260" w:type="dxa"/>
            <w:vAlign w:val="bottom"/>
            <w:gridSpan w:val="2"/>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2,993,093</w:t>
            </w:r>
          </w:p>
        </w:tc>
        <w:tc>
          <w:tcPr>
            <w:tcW w:w="140" w:type="dxa"/>
            <w:vAlign w:val="bottom"/>
          </w:tcPr>
          <w:p>
            <w:pPr>
              <w:spacing w:after="0"/>
              <w:rPr>
                <w:sz w:val="13"/>
                <w:szCs w:val="13"/>
                <w:color w:val="auto"/>
              </w:rPr>
            </w:pPr>
          </w:p>
        </w:tc>
        <w:tc>
          <w:tcPr>
            <w:tcW w:w="1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1,845,949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amortization</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(570,886)</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(400,570)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280" w:type="dxa"/>
            <w:vAlign w:val="bottom"/>
            <w:tcBorders>
              <w:bottom w:val="single" w:sz="8" w:color="CCEEFF"/>
            </w:tcBorders>
            <w:gridSpan w:val="3"/>
          </w:tcPr>
          <w:p>
            <w:pPr>
              <w:ind w:left="140"/>
              <w:spacing w:after="0" w:line="141" w:lineRule="exact"/>
              <w:rPr>
                <w:sz w:val="20"/>
                <w:szCs w:val="20"/>
                <w:color w:val="auto"/>
              </w:rPr>
            </w:pPr>
            <w:r>
              <w:rPr>
                <w:rFonts w:ascii="Times New Roman" w:cs="Times New Roman" w:eastAsia="Times New Roman" w:hAnsi="Times New Roman"/>
                <w:sz w:val="13"/>
                <w:szCs w:val="13"/>
                <w:color w:val="auto"/>
              </w:rPr>
              <w:t>Net</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2,422,207</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1,445,379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Acquired in-place lease value:</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Gross amount</w:t>
            </w:r>
          </w:p>
        </w:tc>
        <w:tc>
          <w:tcPr>
            <w:tcW w:w="260" w:type="dxa"/>
            <w:vAlign w:val="bottom"/>
            <w:gridSpan w:val="2"/>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1,382,563</w:t>
            </w:r>
          </w:p>
        </w:tc>
        <w:tc>
          <w:tcPr>
            <w:tcW w:w="140" w:type="dxa"/>
            <w:vAlign w:val="bottom"/>
          </w:tcPr>
          <w:p>
            <w:pPr>
              <w:spacing w:after="0"/>
              <w:rPr>
                <w:sz w:val="13"/>
                <w:szCs w:val="13"/>
                <w:color w:val="auto"/>
              </w:rPr>
            </w:pPr>
          </w:p>
        </w:tc>
        <w:tc>
          <w:tcPr>
            <w:tcW w:w="1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1,357,190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amortization</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(1,004,421)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(899,071)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280" w:type="dxa"/>
            <w:vAlign w:val="bottom"/>
            <w:tcBorders>
              <w:bottom w:val="single" w:sz="8" w:color="CCEEFF"/>
            </w:tcBorders>
            <w:gridSpan w:val="3"/>
          </w:tcPr>
          <w:p>
            <w:pPr>
              <w:ind w:left="140"/>
              <w:spacing w:after="0" w:line="141" w:lineRule="exact"/>
              <w:rPr>
                <w:sz w:val="20"/>
                <w:szCs w:val="20"/>
                <w:color w:val="auto"/>
              </w:rPr>
            </w:pPr>
            <w:r>
              <w:rPr>
                <w:rFonts w:ascii="Times New Roman" w:cs="Times New Roman" w:eastAsia="Times New Roman" w:hAnsi="Times New Roman"/>
                <w:sz w:val="13"/>
                <w:szCs w:val="13"/>
                <w:color w:val="auto"/>
              </w:rPr>
              <w:t>Net</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378,142</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458,119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gridSpan w:val="3"/>
            <w:shd w:val="clear" w:color="auto" w:fill="CCEEFF"/>
          </w:tcPr>
          <w:p>
            <w:pPr>
              <w:ind w:left="60"/>
              <w:spacing w:after="0" w:line="152" w:lineRule="exact"/>
              <w:rPr>
                <w:sz w:val="20"/>
                <w:szCs w:val="20"/>
                <w:color w:val="auto"/>
              </w:rPr>
            </w:pPr>
            <w:r>
              <w:rPr>
                <w:rFonts w:ascii="Times New Roman" w:cs="Times New Roman" w:eastAsia="Times New Roman" w:hAnsi="Times New Roman"/>
                <w:sz w:val="12"/>
                <w:szCs w:val="12"/>
                <w:b w:val="1"/>
                <w:bCs w:val="1"/>
                <w:color w:val="auto"/>
              </w:rPr>
              <w:t xml:space="preserve">Other </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Gross amount</w:t>
            </w:r>
          </w:p>
        </w:tc>
        <w:tc>
          <w:tcPr>
            <w:tcW w:w="260" w:type="dxa"/>
            <w:vAlign w:val="bottom"/>
            <w:gridSpan w:val="2"/>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57,370</w:t>
            </w:r>
          </w:p>
        </w:tc>
        <w:tc>
          <w:tcPr>
            <w:tcW w:w="140" w:type="dxa"/>
            <w:vAlign w:val="bottom"/>
          </w:tcPr>
          <w:p>
            <w:pPr>
              <w:spacing w:after="0"/>
              <w:rPr>
                <w:sz w:val="13"/>
                <w:szCs w:val="13"/>
                <w:color w:val="auto"/>
              </w:rPr>
            </w:pPr>
          </w:p>
        </w:tc>
        <w:tc>
          <w:tcPr>
            <w:tcW w:w="1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amortization</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(7,107)</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280" w:type="dxa"/>
            <w:vAlign w:val="bottom"/>
            <w:tcBorders>
              <w:bottom w:val="single" w:sz="8" w:color="CCEEFF"/>
            </w:tcBorders>
            <w:gridSpan w:val="3"/>
          </w:tcPr>
          <w:p>
            <w:pPr>
              <w:ind w:left="140"/>
              <w:spacing w:after="0" w:line="141" w:lineRule="exact"/>
              <w:rPr>
                <w:sz w:val="20"/>
                <w:szCs w:val="20"/>
                <w:color w:val="auto"/>
              </w:rPr>
            </w:pPr>
            <w:r>
              <w:rPr>
                <w:rFonts w:ascii="Times New Roman" w:cs="Times New Roman" w:eastAsia="Times New Roman" w:hAnsi="Times New Roman"/>
                <w:sz w:val="13"/>
                <w:szCs w:val="13"/>
                <w:color w:val="auto"/>
              </w:rPr>
              <w:t>Net</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50,263</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gridSpan w:val="3"/>
            <w:shd w:val="clear" w:color="auto" w:fill="CCEEFF"/>
          </w:tcPr>
          <w:p>
            <w:pPr>
              <w:spacing w:after="0" w:line="152" w:lineRule="exact"/>
              <w:rPr>
                <w:sz w:val="20"/>
                <w:szCs w:val="20"/>
                <w:color w:val="auto"/>
              </w:rPr>
            </w:pPr>
            <w:r>
              <w:rPr>
                <w:rFonts w:ascii="Times New Roman" w:cs="Times New Roman" w:eastAsia="Times New Roman" w:hAnsi="Times New Roman"/>
                <w:sz w:val="12"/>
                <w:szCs w:val="12"/>
                <w:b w:val="1"/>
                <w:bCs w:val="1"/>
                <w:color w:val="auto"/>
              </w:rPr>
              <w:t xml:space="preserve">Acquired above-market leases </w:t>
            </w:r>
            <w:r>
              <w:rPr>
                <w:rFonts w:ascii="Times New Roman" w:cs="Times New Roman" w:eastAsia="Times New Roman" w:hAnsi="Times New Roman"/>
                <w:sz w:val="17"/>
                <w:szCs w:val="17"/>
                <w:b w:val="1"/>
                <w:bCs w:val="1"/>
                <w:color w:val="auto"/>
                <w:vertAlign w:val="superscript"/>
              </w:rPr>
              <w:t>(2)</w:t>
            </w: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Gross amount</w:t>
            </w:r>
          </w:p>
        </w:tc>
        <w:tc>
          <w:tcPr>
            <w:tcW w:w="260" w:type="dxa"/>
            <w:vAlign w:val="bottom"/>
            <w:gridSpan w:val="2"/>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280,216</w:t>
            </w:r>
          </w:p>
        </w:tc>
        <w:tc>
          <w:tcPr>
            <w:tcW w:w="140" w:type="dxa"/>
            <w:vAlign w:val="bottom"/>
          </w:tcPr>
          <w:p>
            <w:pPr>
              <w:spacing w:after="0"/>
              <w:rPr>
                <w:sz w:val="13"/>
                <w:szCs w:val="13"/>
                <w:color w:val="auto"/>
              </w:rPr>
            </w:pPr>
          </w:p>
        </w:tc>
        <w:tc>
          <w:tcPr>
            <w:tcW w:w="1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279,048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amortization</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(236,922)</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(204,233)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280" w:type="dxa"/>
            <w:vAlign w:val="bottom"/>
            <w:tcBorders>
              <w:bottom w:val="single" w:sz="8" w:color="CCEEFF"/>
            </w:tcBorders>
            <w:gridSpan w:val="3"/>
          </w:tcPr>
          <w:p>
            <w:pPr>
              <w:ind w:left="140"/>
              <w:spacing w:after="0" w:line="141" w:lineRule="exact"/>
              <w:rPr>
                <w:sz w:val="20"/>
                <w:szCs w:val="20"/>
                <w:color w:val="auto"/>
              </w:rPr>
            </w:pPr>
            <w:r>
              <w:rPr>
                <w:rFonts w:ascii="Times New Roman" w:cs="Times New Roman" w:eastAsia="Times New Roman" w:hAnsi="Times New Roman"/>
                <w:sz w:val="13"/>
                <w:szCs w:val="13"/>
                <w:color w:val="auto"/>
              </w:rPr>
              <w:t>Net</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43,294</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74,815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gridSpan w:val="3"/>
            <w:shd w:val="clear" w:color="auto" w:fill="CCEEFF"/>
          </w:tcPr>
          <w:p>
            <w:pPr>
              <w:spacing w:after="0" w:line="152" w:lineRule="exact"/>
              <w:rPr>
                <w:sz w:val="20"/>
                <w:szCs w:val="20"/>
                <w:color w:val="auto"/>
              </w:rPr>
            </w:pPr>
            <w:r>
              <w:rPr>
                <w:rFonts w:ascii="Times New Roman" w:cs="Times New Roman" w:eastAsia="Times New Roman" w:hAnsi="Times New Roman"/>
                <w:sz w:val="12"/>
                <w:szCs w:val="12"/>
                <w:b w:val="1"/>
                <w:bCs w:val="1"/>
                <w:color w:val="auto"/>
              </w:rPr>
              <w:t xml:space="preserve">Acquired below-market leases </w:t>
            </w:r>
            <w:r>
              <w:rPr>
                <w:rFonts w:ascii="Times New Roman" w:cs="Times New Roman" w:eastAsia="Times New Roman" w:hAnsi="Times New Roman"/>
                <w:sz w:val="17"/>
                <w:szCs w:val="17"/>
                <w:b w:val="1"/>
                <w:bCs w:val="1"/>
                <w:color w:val="auto"/>
                <w:vertAlign w:val="superscript"/>
              </w:rPr>
              <w:t>(3)</w:t>
            </w: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Gross amount</w:t>
            </w:r>
          </w:p>
        </w:tc>
        <w:tc>
          <w:tcPr>
            <w:tcW w:w="260" w:type="dxa"/>
            <w:vAlign w:val="bottom"/>
            <w:gridSpan w:val="2"/>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401,539</w:t>
            </w:r>
          </w:p>
        </w:tc>
        <w:tc>
          <w:tcPr>
            <w:tcW w:w="140" w:type="dxa"/>
            <w:vAlign w:val="bottom"/>
          </w:tcPr>
          <w:p>
            <w:pPr>
              <w:spacing w:after="0"/>
              <w:rPr>
                <w:sz w:val="13"/>
                <w:szCs w:val="13"/>
                <w:color w:val="auto"/>
              </w:rPr>
            </w:pPr>
          </w:p>
        </w:tc>
        <w:tc>
          <w:tcPr>
            <w:tcW w:w="1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396,509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amortization</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(270,649)</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(247,735)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280" w:type="dxa"/>
            <w:vAlign w:val="bottom"/>
            <w:gridSpan w:val="3"/>
          </w:tcPr>
          <w:p>
            <w:pPr>
              <w:ind w:left="140"/>
              <w:spacing w:after="0" w:line="141" w:lineRule="exact"/>
              <w:rPr>
                <w:sz w:val="20"/>
                <w:szCs w:val="20"/>
                <w:color w:val="auto"/>
              </w:rPr>
            </w:pPr>
            <w:r>
              <w:rPr>
                <w:rFonts w:ascii="Times New Roman" w:cs="Times New Roman" w:eastAsia="Times New Roman" w:hAnsi="Times New Roman"/>
                <w:sz w:val="13"/>
                <w:szCs w:val="13"/>
                <w:color w:val="auto"/>
              </w:rPr>
              <w:t>Net</w:t>
            </w:r>
          </w:p>
        </w:tc>
        <w:tc>
          <w:tcPr>
            <w:tcW w:w="140" w:type="dxa"/>
            <w:vAlign w:val="bottom"/>
          </w:tcPr>
          <w:p>
            <w:pPr>
              <w:spacing w:after="0"/>
              <w:rPr>
                <w:sz w:val="13"/>
                <w:szCs w:val="13"/>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130,890</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148,774</w:t>
            </w:r>
          </w:p>
        </w:tc>
        <w:tc>
          <w:tcPr>
            <w:tcW w:w="0" w:type="dxa"/>
            <w:vAlign w:val="bottom"/>
          </w:tcPr>
          <w:p>
            <w:pPr>
              <w:spacing w:after="0"/>
              <w:rPr>
                <w:sz w:val="1"/>
                <w:szCs w:val="1"/>
                <w:color w:val="auto"/>
              </w:rPr>
            </w:pPr>
          </w:p>
        </w:tc>
      </w:tr>
      <w:tr>
        <w:trPr>
          <w:trHeight w:val="76"/>
        </w:trPr>
        <w:tc>
          <w:tcPr>
            <w:tcW w:w="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4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hanging="235"/>
        <w:spacing w:after="0"/>
        <w:tabs>
          <w:tab w:leader="none" w:pos="26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customer relationship value, deferred leasing costs and other intangibles on the consolidated balance sheet.</w:t>
      </w:r>
    </w:p>
    <w:p>
      <w:pPr>
        <w:spacing w:after="0" w:line="15"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other assets on the consolidated balance sheet.</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accounts payable and other accrued liabilities on the consolidated balance sheet.</w:t>
      </w:r>
    </w:p>
    <w:p>
      <w:pPr>
        <w:spacing w:after="0" w:line="141" w:lineRule="exact"/>
        <w:rPr>
          <w:sz w:val="20"/>
          <w:szCs w:val="20"/>
          <w:color w:val="auto"/>
        </w:rPr>
      </w:pPr>
    </w:p>
    <w:p>
      <w:pPr>
        <w:ind w:left="20" w:right="79" w:firstLine="228"/>
        <w:spacing w:after="0" w:line="256" w:lineRule="auto"/>
        <w:rPr>
          <w:sz w:val="20"/>
          <w:szCs w:val="20"/>
          <w:color w:val="auto"/>
        </w:rPr>
      </w:pPr>
      <w:r>
        <w:rPr>
          <w:rFonts w:ascii="Times New Roman" w:cs="Times New Roman" w:eastAsia="Times New Roman" w:hAnsi="Times New Roman"/>
          <w:sz w:val="13"/>
          <w:szCs w:val="13"/>
          <w:color w:val="auto"/>
        </w:rPr>
        <w:t>Amortization of acquired below-market lease value, net of acquired above-market lease value, resulted in a decrease in rental and other services revenue of $(10.5) million, $(17.1) million and $(27.3) million for the years ended December 31, 2020, 2019 and 2018, respectively. The expected average remaining lives for acquired below-market leases and acquired above-market leases was 7.2 years and 2.0 years, respectively, as of December 31, 2020. Estimated annual</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56" w:name="page157"/>
    <w:bookmarkEnd w:id="15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99"/>
        <w:spacing w:after="0" w:line="268" w:lineRule="auto"/>
        <w:rPr>
          <w:sz w:val="20"/>
          <w:szCs w:val="20"/>
          <w:color w:val="auto"/>
        </w:rPr>
      </w:pPr>
      <w:r>
        <w:rPr>
          <w:rFonts w:ascii="Times New Roman" w:cs="Times New Roman" w:eastAsia="Times New Roman" w:hAnsi="Times New Roman"/>
          <w:sz w:val="13"/>
          <w:szCs w:val="13"/>
          <w:color w:val="auto"/>
        </w:rPr>
        <w:t>amortization of acquired below-market lease value, net of acquired above-market lease value, for each of the five succeeding years and thereafter, commencing January 1, 2021 is as follows: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7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(Amounts in thousands)</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1"/>
        </w:trPr>
        <w:tc>
          <w:tcPr>
            <w:tcW w:w="20" w:type="dxa"/>
            <w:vAlign w:val="bottom"/>
          </w:tcPr>
          <w:p>
            <w:pPr>
              <w:spacing w:after="0"/>
              <w:rPr>
                <w:sz w:val="12"/>
                <w:szCs w:val="12"/>
                <w:color w:val="auto"/>
              </w:rPr>
            </w:pPr>
          </w:p>
        </w:tc>
        <w:tc>
          <w:tcPr>
            <w:tcW w:w="746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2021</w:t>
            </w:r>
          </w:p>
        </w:tc>
        <w:tc>
          <w:tcPr>
            <w:tcW w:w="700" w:type="dxa"/>
            <w:vAlign w:val="bottom"/>
            <w:tcBorders>
              <w:top w:val="single" w:sz="8" w:color="CCEEFF"/>
            </w:tcBorders>
            <w:gridSpan w:val="2"/>
            <w:shd w:val="clear" w:color="auto" w:fill="CCEEFF"/>
          </w:tcPr>
          <w:p>
            <w:pPr>
              <w:jc w:val="right"/>
              <w:ind w:right="347"/>
              <w:spacing w:after="0" w:line="141"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(2,865)</w:t>
            </w:r>
          </w:p>
        </w:tc>
      </w:tr>
      <w:tr>
        <w:trPr>
          <w:trHeight w:val="152"/>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2022</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4,977</w:t>
            </w:r>
          </w:p>
        </w:tc>
      </w:tr>
      <w:tr>
        <w:trPr>
          <w:trHeight w:val="152"/>
        </w:trPr>
        <w:tc>
          <w:tcPr>
            <w:tcW w:w="20" w:type="dxa"/>
            <w:vAlign w:val="bottom"/>
          </w:tcPr>
          <w:p>
            <w:pPr>
              <w:spacing w:after="0"/>
              <w:rPr>
                <w:sz w:val="13"/>
                <w:szCs w:val="13"/>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9,741</w:t>
            </w:r>
          </w:p>
        </w:tc>
      </w:tr>
      <w:tr>
        <w:trPr>
          <w:trHeight w:val="152"/>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10,393</w:t>
            </w:r>
          </w:p>
        </w:tc>
      </w:tr>
      <w:tr>
        <w:trPr>
          <w:trHeight w:val="152"/>
        </w:trPr>
        <w:tc>
          <w:tcPr>
            <w:tcW w:w="20" w:type="dxa"/>
            <w:vAlign w:val="bottom"/>
          </w:tcPr>
          <w:p>
            <w:pPr>
              <w:spacing w:after="0"/>
              <w:rPr>
                <w:sz w:val="13"/>
                <w:szCs w:val="13"/>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9,631</w:t>
            </w:r>
          </w:p>
        </w:tc>
      </w:tr>
      <w:tr>
        <w:trPr>
          <w:trHeight w:val="152"/>
        </w:trPr>
        <w:tc>
          <w:tcPr>
            <w:tcW w:w="20" w:type="dxa"/>
            <w:vAlign w:val="bottom"/>
          </w:tcPr>
          <w:p>
            <w:pPr>
              <w:spacing w:after="0"/>
              <w:rPr>
                <w:sz w:val="13"/>
                <w:szCs w:val="13"/>
                <w:color w:val="auto"/>
              </w:rPr>
            </w:pPr>
          </w:p>
        </w:tc>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2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55,721</w:t>
            </w:r>
          </w:p>
        </w:tc>
      </w:tr>
      <w:tr>
        <w:trPr>
          <w:trHeight w:val="150"/>
        </w:trPr>
        <w:tc>
          <w:tcPr>
            <w:tcW w:w="20" w:type="dxa"/>
            <w:vAlign w:val="bottom"/>
          </w:tcPr>
          <w:p>
            <w:pPr>
              <w:spacing w:after="0"/>
              <w:rPr>
                <w:sz w:val="13"/>
                <w:szCs w:val="13"/>
                <w:color w:val="auto"/>
              </w:rPr>
            </w:pPr>
          </w:p>
        </w:tc>
        <w:tc>
          <w:tcPr>
            <w:tcW w:w="7460" w:type="dxa"/>
            <w:vAlign w:val="bottom"/>
            <w:tcBorders>
              <w:bottom w:val="single" w:sz="8" w:color="CCEEFF"/>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87,598</w:t>
            </w:r>
          </w:p>
        </w:tc>
      </w:tr>
    </w:tbl>
    <w:p>
      <w:pPr>
        <w:spacing w:after="0" w:line="139" w:lineRule="exact"/>
        <w:rPr>
          <w:sz w:val="20"/>
          <w:szCs w:val="20"/>
          <w:color w:val="auto"/>
        </w:rPr>
      </w:pPr>
    </w:p>
    <w:p>
      <w:pPr>
        <w:ind w:left="20" w:right="39" w:firstLine="228"/>
        <w:spacing w:after="0" w:line="252" w:lineRule="auto"/>
        <w:rPr>
          <w:sz w:val="20"/>
          <w:szCs w:val="20"/>
          <w:color w:val="auto"/>
        </w:rPr>
      </w:pPr>
      <w:r>
        <w:rPr>
          <w:rFonts w:ascii="Times New Roman" w:cs="Times New Roman" w:eastAsia="Times New Roman" w:hAnsi="Times New Roman"/>
          <w:sz w:val="13"/>
          <w:szCs w:val="13"/>
          <w:color w:val="auto"/>
        </w:rPr>
        <w:t>Amortization of acquired in-place lease value (a component of depreciation and amortization expense) was $99.7 million, $143.0 million and $211.0 million for the years ended December 31, 2020, 2019 and 2018, respectively. The expected average amortization period for acquired in-place lease value was 5.7 years as of December 31, 2020. The weighted average remaining contractual life for acquired leases excluding renewals or extensions was 5.5 years as of December 31, 2020. Estimated annual amortization of acquired in-place lease value for each of the five succeeding years and thereafter, commencing January 1, 2021 is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77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(Amounts in thousands)</w:t>
            </w: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1"/>
        </w:trPr>
        <w:tc>
          <w:tcPr>
            <w:tcW w:w="748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2021</w:t>
            </w:r>
          </w:p>
        </w:tc>
        <w:tc>
          <w:tcPr>
            <w:tcW w:w="2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79,868</w:t>
            </w:r>
          </w:p>
        </w:tc>
      </w:tr>
      <w:tr>
        <w:trPr>
          <w:trHeight w:val="152"/>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2022</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60,129</w:t>
            </w:r>
          </w:p>
        </w:tc>
      </w:tr>
      <w:tr>
        <w:trPr>
          <w:trHeight w:val="152"/>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48,911</w:t>
            </w:r>
          </w:p>
        </w:tc>
      </w:tr>
      <w:tr>
        <w:trPr>
          <w:trHeight w:val="152"/>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41,604</w:t>
            </w:r>
          </w:p>
        </w:tc>
      </w:tr>
      <w:tr>
        <w:trPr>
          <w:trHeight w:val="152"/>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35,765</w:t>
            </w:r>
          </w:p>
        </w:tc>
      </w:tr>
      <w:tr>
        <w:trPr>
          <w:trHeight w:val="152"/>
        </w:trPr>
        <w:tc>
          <w:tcPr>
            <w:tcW w:w="7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Thereafter</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111,865</w:t>
            </w:r>
          </w:p>
        </w:tc>
      </w:tr>
      <w:tr>
        <w:trPr>
          <w:trHeight w:val="150"/>
        </w:trPr>
        <w:tc>
          <w:tcPr>
            <w:tcW w:w="7700" w:type="dxa"/>
            <w:vAlign w:val="bottom"/>
            <w:tcBorders>
              <w:bottom w:val="single" w:sz="8" w:color="CCEEFF"/>
            </w:tcBorders>
            <w:gridSpan w:val="2"/>
            <w:shd w:val="clear" w:color="auto" w:fill="CCEEFF"/>
          </w:tcPr>
          <w:p>
            <w:pPr>
              <w:ind w:left="80"/>
              <w:spacing w:after="0" w:line="141" w:lineRule="exact"/>
              <w:rPr>
                <w:sz w:val="20"/>
                <w:szCs w:val="20"/>
                <w:color w:val="auto"/>
              </w:rPr>
            </w:pPr>
            <w:r>
              <w:rPr>
                <w:rFonts w:ascii="Times New Roman" w:cs="Times New Roman" w:eastAsia="Times New Roman" w:hAnsi="Times New Roman"/>
                <w:sz w:val="13"/>
                <w:szCs w:val="13"/>
                <w:color w:val="auto"/>
              </w:rPr>
              <w:t>Total</w:t>
            </w:r>
          </w:p>
        </w:tc>
        <w:tc>
          <w:tcPr>
            <w:tcW w:w="440" w:type="dxa"/>
            <w:vAlign w:val="bottom"/>
            <w:tcBorders>
              <w:bottom w:val="single" w:sz="8" w:color="auto"/>
            </w:tcBorders>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378,142</w:t>
            </w:r>
          </w:p>
        </w:tc>
      </w:tr>
    </w:tbl>
    <w:p>
      <w:pPr>
        <w:spacing w:after="0" w:line="139" w:lineRule="exact"/>
        <w:rPr>
          <w:sz w:val="20"/>
          <w:szCs w:val="20"/>
          <w:color w:val="auto"/>
        </w:rPr>
      </w:pPr>
    </w:p>
    <w:p>
      <w:pPr>
        <w:jc w:val="both"/>
        <w:ind w:left="20" w:right="59" w:firstLine="228"/>
        <w:spacing w:after="0" w:line="287" w:lineRule="auto"/>
        <w:rPr>
          <w:sz w:val="20"/>
          <w:szCs w:val="20"/>
          <w:color w:val="auto"/>
        </w:rPr>
      </w:pPr>
      <w:r>
        <w:rPr>
          <w:rFonts w:ascii="Times New Roman" w:cs="Times New Roman" w:eastAsia="Times New Roman" w:hAnsi="Times New Roman"/>
          <w:sz w:val="12"/>
          <w:szCs w:val="12"/>
          <w:color w:val="auto"/>
        </w:rPr>
        <w:t>Amortization of customer relationship value (a component of depreciation and amortization expense) was approximately $166.5 million, $128.4 million and $123.5 million for the years ended December 31, 2020, 2019 and 2018, respectively. As of December 31, 2020, the weighted average remaining contractual life for customer relationship value was 14.7 years. Estimated annual amortization of customer relationship value for each of the five succeeding years and thereafter, commencing January 1, 2021 is as follows: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(Amounts in thousands)</w:t>
            </w:r>
          </w:p>
        </w:tc>
        <w:tc>
          <w:tcPr>
            <w:tcW w:w="476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38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r>
      <w:tr>
        <w:trPr>
          <w:trHeight w:val="141"/>
        </w:trPr>
        <w:tc>
          <w:tcPr>
            <w:tcW w:w="27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2021</w:t>
            </w:r>
          </w:p>
        </w:tc>
        <w:tc>
          <w:tcPr>
            <w:tcW w:w="47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7"/>
              <w:spacing w:after="0" w:line="141"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177,383</w:t>
            </w:r>
          </w:p>
        </w:tc>
      </w:tr>
      <w:tr>
        <w:trPr>
          <w:trHeight w:val="152"/>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2022</w:t>
            </w:r>
          </w:p>
        </w:tc>
        <w:tc>
          <w:tcPr>
            <w:tcW w:w="4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176,611</w:t>
            </w:r>
          </w:p>
        </w:tc>
      </w:tr>
      <w:tr>
        <w:trPr>
          <w:trHeight w:val="15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w:t>
            </w:r>
          </w:p>
        </w:tc>
        <w:tc>
          <w:tcPr>
            <w:tcW w:w="4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175,943</w:t>
            </w:r>
          </w:p>
        </w:tc>
      </w:tr>
      <w:tr>
        <w:trPr>
          <w:trHeight w:val="152"/>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4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175,363</w:t>
            </w:r>
          </w:p>
        </w:tc>
      </w:tr>
      <w:tr>
        <w:trPr>
          <w:trHeight w:val="15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w:t>
            </w:r>
          </w:p>
        </w:tc>
        <w:tc>
          <w:tcPr>
            <w:tcW w:w="4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174,861</w:t>
            </w:r>
          </w:p>
        </w:tc>
      </w:tr>
      <w:tr>
        <w:trPr>
          <w:trHeight w:val="152"/>
        </w:trPr>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47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1,542,046</w:t>
            </w:r>
          </w:p>
        </w:tc>
      </w:tr>
      <w:tr>
        <w:trPr>
          <w:trHeight w:val="161"/>
        </w:trPr>
        <w:tc>
          <w:tcPr>
            <w:tcW w:w="2720" w:type="dxa"/>
            <w:vAlign w:val="bottom"/>
            <w:tcBorders>
              <w:bottom w:val="single" w:sz="8" w:color="CCEEFF"/>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3"/>
                <w:szCs w:val="13"/>
                <w:color w:val="auto"/>
              </w:rPr>
              <w:t>Total</w:t>
            </w:r>
          </w:p>
        </w:tc>
        <w:tc>
          <w:tcPr>
            <w:tcW w:w="47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2,422,207</w:t>
            </w:r>
          </w:p>
        </w:tc>
      </w:tr>
      <w:tr>
        <w:trPr>
          <w:trHeight w:val="606"/>
        </w:trPr>
        <w:tc>
          <w:tcPr>
            <w:tcW w:w="2720" w:type="dxa"/>
            <w:vAlign w:val="bottom"/>
          </w:tcPr>
          <w:p>
            <w:pPr>
              <w:spacing w:after="0"/>
              <w:rPr>
                <w:sz w:val="24"/>
                <w:szCs w:val="24"/>
                <w:color w:val="auto"/>
              </w:rPr>
            </w:pPr>
          </w:p>
        </w:tc>
        <w:tc>
          <w:tcPr>
            <w:tcW w:w="4760" w:type="dxa"/>
            <w:vAlign w:val="bottom"/>
          </w:tcPr>
          <w:p>
            <w:pPr>
              <w:jc w:val="right"/>
              <w:ind w:right="2837"/>
              <w:spacing w:after="0"/>
              <w:rPr>
                <w:sz w:val="20"/>
                <w:szCs w:val="20"/>
                <w:color w:val="auto"/>
              </w:rPr>
            </w:pPr>
            <w:r>
              <w:rPr>
                <w:rFonts w:ascii="Times New Roman" w:cs="Times New Roman" w:eastAsia="Times New Roman" w:hAnsi="Times New Roman"/>
                <w:sz w:val="13"/>
                <w:szCs w:val="13"/>
                <w:color w:val="auto"/>
              </w:rPr>
              <w:t>152</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88"/>
        </w:trPr>
        <w:tc>
          <w:tcPr>
            <w:tcW w:w="27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157" w:name="page158"/>
    <w:bookmarkEnd w:id="15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8. Debt of the Company</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In this Note 8, the “Company” refers only to Digital Realty Trust, Inc. and not to any of its subsidiaries.</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Company itself does not have any indebtedness. All debt is held directly or indirectly by the Operating Partnership.</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8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Unsecured Senior Notes</w:t>
            </w:r>
          </w:p>
        </w:tc>
        <w:tc>
          <w:tcPr>
            <w:tcW w:w="178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Defined Name</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 xml:space="preserve">Initial Issuer </w:t>
            </w:r>
            <w:r>
              <w:rPr>
                <w:rFonts w:ascii="Times New Roman" w:cs="Times New Roman" w:eastAsia="Times New Roman" w:hAnsi="Times New Roman"/>
                <w:sz w:val="15"/>
                <w:szCs w:val="15"/>
                <w:b w:val="1"/>
                <w:bCs w:val="1"/>
                <w:color w:val="auto"/>
                <w:w w:val="95"/>
                <w:vertAlign w:val="superscript"/>
              </w:rPr>
              <w:t>(1)</w:t>
            </w:r>
          </w:p>
        </w:tc>
      </w:tr>
      <w:tr>
        <w:trPr>
          <w:trHeight w:val="94"/>
        </w:trPr>
        <w:tc>
          <w:tcPr>
            <w:tcW w:w="4600" w:type="dxa"/>
            <w:vAlign w:val="bottom"/>
            <w:tcBorders>
              <w:top w:val="single" w:sz="8" w:color="auto"/>
            </w:tcBorders>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Floating Rate Notes due 2022</w:t>
            </w:r>
          </w:p>
        </w:tc>
        <w:tc>
          <w:tcPr>
            <w:tcW w:w="240" w:type="dxa"/>
            <w:vAlign w:val="bottom"/>
            <w:tcBorders>
              <w:top w:val="single" w:sz="8" w:color="CCEEFF"/>
            </w:tcBorders>
            <w:shd w:val="clear" w:color="auto" w:fill="CCEEFF"/>
          </w:tcPr>
          <w:p>
            <w:pPr>
              <w:spacing w:after="0"/>
              <w:rPr>
                <w:sz w:val="8"/>
                <w:szCs w:val="8"/>
                <w:color w:val="auto"/>
              </w:rPr>
            </w:pPr>
          </w:p>
        </w:tc>
        <w:tc>
          <w:tcPr>
            <w:tcW w:w="1300" w:type="dxa"/>
            <w:vAlign w:val="bottom"/>
            <w:tcBorders>
              <w:top w:val="single" w:sz="8" w:color="auto"/>
            </w:tcBorders>
            <w:shd w:val="clear" w:color="auto" w:fill="CCEEFF"/>
          </w:tcPr>
          <w:p>
            <w:pPr>
              <w:jc w:val="center"/>
              <w:spacing w:after="0" w:line="94" w:lineRule="exact"/>
              <w:rPr>
                <w:sz w:val="20"/>
                <w:szCs w:val="20"/>
                <w:color w:val="auto"/>
              </w:rPr>
            </w:pPr>
            <w:r>
              <w:rPr>
                <w:rFonts w:ascii="Times New Roman" w:cs="Times New Roman" w:eastAsia="Times New Roman" w:hAnsi="Times New Roman"/>
                <w:sz w:val="10"/>
                <w:szCs w:val="10"/>
                <w:color w:val="auto"/>
              </w:rPr>
              <w:t>2022 Notes</w:t>
            </w:r>
          </w:p>
        </w:tc>
        <w:tc>
          <w:tcPr>
            <w:tcW w:w="480" w:type="dxa"/>
            <w:vAlign w:val="bottom"/>
            <w:tcBorders>
              <w:top w:val="single" w:sz="8" w:color="CCEEFF"/>
            </w:tcBorders>
            <w:shd w:val="clear" w:color="auto" w:fill="CCEEFF"/>
          </w:tcPr>
          <w:p>
            <w:pPr>
              <w:spacing w:after="0"/>
              <w:rPr>
                <w:sz w:val="8"/>
                <w:szCs w:val="8"/>
                <w:color w:val="auto"/>
              </w:rPr>
            </w:pPr>
          </w:p>
        </w:tc>
        <w:tc>
          <w:tcPr>
            <w:tcW w:w="2340" w:type="dxa"/>
            <w:vAlign w:val="bottom"/>
            <w:tcBorders>
              <w:top w:val="single" w:sz="8" w:color="auto"/>
            </w:tcBorders>
            <w:shd w:val="clear" w:color="auto" w:fill="CCEEFF"/>
          </w:tcPr>
          <w:p>
            <w:pPr>
              <w:jc w:val="center"/>
              <w:spacing w:after="0" w:line="94" w:lineRule="exact"/>
              <w:rPr>
                <w:sz w:val="20"/>
                <w:szCs w:val="20"/>
                <w:color w:val="auto"/>
              </w:rPr>
            </w:pPr>
            <w:r>
              <w:rPr>
                <w:rFonts w:ascii="Times New Roman" w:cs="Times New Roman" w:eastAsia="Times New Roman" w:hAnsi="Times New Roman"/>
                <w:sz w:val="7"/>
                <w:szCs w:val="7"/>
                <w:color w:val="auto"/>
              </w:rPr>
              <w:t xml:space="preserve">Digital Dutch Finco B.V. </w:t>
            </w:r>
            <w:r>
              <w:rPr>
                <w:rFonts w:ascii="Times New Roman" w:cs="Times New Roman" w:eastAsia="Times New Roman" w:hAnsi="Times New Roman"/>
                <w:sz w:val="10"/>
                <w:szCs w:val="10"/>
                <w:color w:val="auto"/>
                <w:vertAlign w:val="superscript"/>
              </w:rPr>
              <w:t>(2)</w:t>
            </w:r>
          </w:p>
        </w:tc>
      </w:tr>
      <w:tr>
        <w:trPr>
          <w:trHeight w:val="104"/>
        </w:trPr>
        <w:tc>
          <w:tcPr>
            <w:tcW w:w="484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color w:val="auto"/>
              </w:rPr>
              <w:t>0.125% Notes due 2022</w:t>
            </w:r>
          </w:p>
        </w:tc>
        <w:tc>
          <w:tcPr>
            <w:tcW w:w="1780" w:type="dxa"/>
            <w:vAlign w:val="bottom"/>
            <w:gridSpan w:val="2"/>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0.125% 2022 Notes</w:t>
            </w:r>
          </w:p>
        </w:tc>
        <w:tc>
          <w:tcPr>
            <w:tcW w:w="2340" w:type="dxa"/>
            <w:vAlign w:val="bottom"/>
          </w:tcPr>
          <w:p>
            <w:pPr>
              <w:jc w:val="center"/>
              <w:spacing w:after="0" w:line="105" w:lineRule="exact"/>
              <w:rPr>
                <w:sz w:val="20"/>
                <w:szCs w:val="20"/>
                <w:color w:val="auto"/>
              </w:rPr>
            </w:pPr>
            <w:r>
              <w:rPr>
                <w:rFonts w:ascii="Times New Roman" w:cs="Times New Roman" w:eastAsia="Times New Roman" w:hAnsi="Times New Roman"/>
                <w:sz w:val="8"/>
                <w:szCs w:val="8"/>
                <w:color w:val="auto"/>
              </w:rPr>
              <w:t xml:space="preserve">Digital Dutch Finco B.V. </w:t>
            </w:r>
            <w:r>
              <w:rPr>
                <w:rFonts w:ascii="Times New Roman" w:cs="Times New Roman" w:eastAsia="Times New Roman" w:hAnsi="Times New Roman"/>
                <w:sz w:val="12"/>
                <w:szCs w:val="12"/>
                <w:color w:val="auto"/>
                <w:vertAlign w:val="superscript"/>
              </w:rPr>
              <w:t>(2)</w:t>
            </w:r>
          </w:p>
        </w:tc>
      </w:tr>
      <w:tr>
        <w:trPr>
          <w:trHeight w:val="104"/>
        </w:trPr>
        <w:tc>
          <w:tcPr>
            <w:tcW w:w="4840" w:type="dxa"/>
            <w:vAlign w:val="bottom"/>
            <w:gridSpan w:val="3"/>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2.750% Notes due 2023</w:t>
            </w:r>
          </w:p>
        </w:tc>
        <w:tc>
          <w:tcPr>
            <w:tcW w:w="1780" w:type="dxa"/>
            <w:vAlign w:val="bottom"/>
            <w:gridSpan w:val="2"/>
            <w:shd w:val="clear" w:color="auto" w:fill="CCEEFF"/>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2.750% 2023 Notes</w:t>
            </w:r>
          </w:p>
        </w:tc>
        <w:tc>
          <w:tcPr>
            <w:tcW w:w="2340" w:type="dxa"/>
            <w:vAlign w:val="bottom"/>
            <w:shd w:val="clear" w:color="auto" w:fill="CCEEFF"/>
          </w:tcPr>
          <w:p>
            <w:pPr>
              <w:jc w:val="center"/>
              <w:spacing w:after="0" w:line="104" w:lineRule="exact"/>
              <w:rPr>
                <w:sz w:val="20"/>
                <w:szCs w:val="20"/>
                <w:color w:val="auto"/>
              </w:rPr>
            </w:pPr>
            <w:r>
              <w:rPr>
                <w:rFonts w:ascii="Times New Roman" w:cs="Times New Roman" w:eastAsia="Times New Roman" w:hAnsi="Times New Roman"/>
                <w:sz w:val="10"/>
                <w:szCs w:val="10"/>
                <w:color w:val="auto"/>
              </w:rPr>
              <w:t>Digital Realty Trust, L.P.</w:t>
            </w:r>
          </w:p>
        </w:tc>
      </w:tr>
      <w:tr>
        <w:trPr>
          <w:trHeight w:val="104"/>
        </w:trPr>
        <w:tc>
          <w:tcPr>
            <w:tcW w:w="484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color w:val="auto"/>
              </w:rPr>
              <w:t>2.625% Notes due 2024</w:t>
            </w:r>
          </w:p>
        </w:tc>
        <w:tc>
          <w:tcPr>
            <w:tcW w:w="1780" w:type="dxa"/>
            <w:vAlign w:val="bottom"/>
            <w:gridSpan w:val="2"/>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2.625% 2024 Notes</w:t>
            </w:r>
          </w:p>
        </w:tc>
        <w:tc>
          <w:tcPr>
            <w:tcW w:w="2340" w:type="dxa"/>
            <w:vAlign w:val="bottom"/>
          </w:tcPr>
          <w:p>
            <w:pPr>
              <w:jc w:val="center"/>
              <w:spacing w:after="0" w:line="105" w:lineRule="exact"/>
              <w:rPr>
                <w:sz w:val="20"/>
                <w:szCs w:val="20"/>
                <w:color w:val="auto"/>
              </w:rPr>
            </w:pPr>
            <w:r>
              <w:rPr>
                <w:rFonts w:ascii="Times New Roman" w:cs="Times New Roman" w:eastAsia="Times New Roman" w:hAnsi="Times New Roman"/>
                <w:sz w:val="8"/>
                <w:szCs w:val="8"/>
                <w:color w:val="auto"/>
              </w:rPr>
              <w:t xml:space="preserve">Digital Euro Finco, LLC </w:t>
            </w:r>
            <w:r>
              <w:rPr>
                <w:rFonts w:ascii="Times New Roman" w:cs="Times New Roman" w:eastAsia="Times New Roman" w:hAnsi="Times New Roman"/>
                <w:sz w:val="12"/>
                <w:szCs w:val="12"/>
                <w:color w:val="auto"/>
                <w:vertAlign w:val="superscript"/>
              </w:rPr>
              <w:t>(2)</w:t>
            </w:r>
          </w:p>
        </w:tc>
      </w:tr>
      <w:tr>
        <w:trPr>
          <w:trHeight w:val="104"/>
        </w:trPr>
        <w:tc>
          <w:tcPr>
            <w:tcW w:w="4840" w:type="dxa"/>
            <w:vAlign w:val="bottom"/>
            <w:gridSpan w:val="3"/>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2.750% Notes due 2024</w:t>
            </w:r>
          </w:p>
        </w:tc>
        <w:tc>
          <w:tcPr>
            <w:tcW w:w="1780" w:type="dxa"/>
            <w:vAlign w:val="bottom"/>
            <w:gridSpan w:val="2"/>
            <w:shd w:val="clear" w:color="auto" w:fill="CCEEFF"/>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2.750% 2024 Notes</w:t>
            </w:r>
          </w:p>
        </w:tc>
        <w:tc>
          <w:tcPr>
            <w:tcW w:w="2340" w:type="dxa"/>
            <w:vAlign w:val="bottom"/>
            <w:shd w:val="clear" w:color="auto" w:fill="CCEEFF"/>
          </w:tcPr>
          <w:p>
            <w:pPr>
              <w:jc w:val="center"/>
              <w:spacing w:after="0" w:line="105" w:lineRule="exact"/>
              <w:rPr>
                <w:sz w:val="20"/>
                <w:szCs w:val="20"/>
                <w:color w:val="auto"/>
              </w:rPr>
            </w:pPr>
            <w:r>
              <w:rPr>
                <w:rFonts w:ascii="Times New Roman" w:cs="Times New Roman" w:eastAsia="Times New Roman" w:hAnsi="Times New Roman"/>
                <w:sz w:val="8"/>
                <w:szCs w:val="8"/>
                <w:color w:val="auto"/>
              </w:rPr>
              <w:t xml:space="preserve">Digital Stout Holding, LLC </w:t>
            </w:r>
            <w:r>
              <w:rPr>
                <w:rFonts w:ascii="Times New Roman" w:cs="Times New Roman" w:eastAsia="Times New Roman" w:hAnsi="Times New Roman"/>
                <w:sz w:val="12"/>
                <w:szCs w:val="12"/>
                <w:color w:val="auto"/>
                <w:vertAlign w:val="superscript"/>
              </w:rPr>
              <w:t>(3)</w:t>
            </w:r>
          </w:p>
        </w:tc>
      </w:tr>
      <w:tr>
        <w:trPr>
          <w:trHeight w:val="104"/>
        </w:trPr>
        <w:tc>
          <w:tcPr>
            <w:tcW w:w="484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color w:val="auto"/>
              </w:rPr>
              <w:t>4.250% Notes due 2025</w:t>
            </w:r>
          </w:p>
        </w:tc>
        <w:tc>
          <w:tcPr>
            <w:tcW w:w="1780" w:type="dxa"/>
            <w:vAlign w:val="bottom"/>
            <w:gridSpan w:val="2"/>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4.250% 2025 Notes</w:t>
            </w:r>
          </w:p>
        </w:tc>
        <w:tc>
          <w:tcPr>
            <w:tcW w:w="2340" w:type="dxa"/>
            <w:vAlign w:val="bottom"/>
          </w:tcPr>
          <w:p>
            <w:pPr>
              <w:jc w:val="center"/>
              <w:spacing w:after="0" w:line="105" w:lineRule="exact"/>
              <w:rPr>
                <w:sz w:val="20"/>
                <w:szCs w:val="20"/>
                <w:color w:val="auto"/>
              </w:rPr>
            </w:pPr>
            <w:r>
              <w:rPr>
                <w:rFonts w:ascii="Times New Roman" w:cs="Times New Roman" w:eastAsia="Times New Roman" w:hAnsi="Times New Roman"/>
                <w:sz w:val="8"/>
                <w:szCs w:val="8"/>
                <w:color w:val="auto"/>
              </w:rPr>
              <w:t xml:space="preserve">Digital Stout Holding, LLC </w:t>
            </w:r>
            <w:r>
              <w:rPr>
                <w:rFonts w:ascii="Times New Roman" w:cs="Times New Roman" w:eastAsia="Times New Roman" w:hAnsi="Times New Roman"/>
                <w:sz w:val="12"/>
                <w:szCs w:val="12"/>
                <w:color w:val="auto"/>
                <w:vertAlign w:val="superscript"/>
              </w:rPr>
              <w:t>(3)</w:t>
            </w:r>
          </w:p>
        </w:tc>
      </w:tr>
      <w:tr>
        <w:trPr>
          <w:trHeight w:val="104"/>
        </w:trPr>
        <w:tc>
          <w:tcPr>
            <w:tcW w:w="4840" w:type="dxa"/>
            <w:vAlign w:val="bottom"/>
            <w:gridSpan w:val="3"/>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0.625% Notes due 2025</w:t>
            </w:r>
          </w:p>
        </w:tc>
        <w:tc>
          <w:tcPr>
            <w:tcW w:w="1780" w:type="dxa"/>
            <w:vAlign w:val="bottom"/>
            <w:gridSpan w:val="2"/>
            <w:shd w:val="clear" w:color="auto" w:fill="CCEEFF"/>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0.625% 2025 Notes</w:t>
            </w:r>
          </w:p>
        </w:tc>
        <w:tc>
          <w:tcPr>
            <w:tcW w:w="2340" w:type="dxa"/>
            <w:vAlign w:val="bottom"/>
            <w:shd w:val="clear" w:color="auto" w:fill="CCEEFF"/>
          </w:tcPr>
          <w:p>
            <w:pPr>
              <w:jc w:val="center"/>
              <w:spacing w:after="0" w:line="105" w:lineRule="exact"/>
              <w:rPr>
                <w:sz w:val="20"/>
                <w:szCs w:val="20"/>
                <w:color w:val="auto"/>
              </w:rPr>
            </w:pPr>
            <w:r>
              <w:rPr>
                <w:rFonts w:ascii="Times New Roman" w:cs="Times New Roman" w:eastAsia="Times New Roman" w:hAnsi="Times New Roman"/>
                <w:sz w:val="8"/>
                <w:szCs w:val="8"/>
                <w:color w:val="auto"/>
              </w:rPr>
              <w:t xml:space="preserve">Digital Dutch Finco B.V. </w:t>
            </w:r>
            <w:r>
              <w:rPr>
                <w:rFonts w:ascii="Times New Roman" w:cs="Times New Roman" w:eastAsia="Times New Roman" w:hAnsi="Times New Roman"/>
                <w:sz w:val="12"/>
                <w:szCs w:val="12"/>
                <w:color w:val="auto"/>
                <w:vertAlign w:val="superscript"/>
              </w:rPr>
              <w:t>(2)</w:t>
            </w:r>
          </w:p>
        </w:tc>
      </w:tr>
      <w:tr>
        <w:trPr>
          <w:trHeight w:val="104"/>
        </w:trPr>
        <w:tc>
          <w:tcPr>
            <w:tcW w:w="484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color w:val="auto"/>
              </w:rPr>
              <w:t>4.750% Notes due 2025</w:t>
            </w:r>
          </w:p>
        </w:tc>
        <w:tc>
          <w:tcPr>
            <w:tcW w:w="1780" w:type="dxa"/>
            <w:vAlign w:val="bottom"/>
            <w:gridSpan w:val="2"/>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4.750% 2025 Notes</w:t>
            </w:r>
          </w:p>
        </w:tc>
        <w:tc>
          <w:tcPr>
            <w:tcW w:w="2340" w:type="dxa"/>
            <w:vAlign w:val="bottom"/>
          </w:tcPr>
          <w:p>
            <w:pPr>
              <w:jc w:val="center"/>
              <w:spacing w:after="0" w:line="105" w:lineRule="exact"/>
              <w:rPr>
                <w:sz w:val="20"/>
                <w:szCs w:val="20"/>
                <w:color w:val="auto"/>
              </w:rPr>
            </w:pPr>
            <w:r>
              <w:rPr>
                <w:rFonts w:ascii="Times New Roman" w:cs="Times New Roman" w:eastAsia="Times New Roman" w:hAnsi="Times New Roman"/>
                <w:sz w:val="8"/>
                <w:szCs w:val="8"/>
                <w:color w:val="auto"/>
              </w:rPr>
              <w:t xml:space="preserve">Digital Delta Holdings, LLC </w:t>
            </w:r>
            <w:r>
              <w:rPr>
                <w:rFonts w:ascii="Times New Roman" w:cs="Times New Roman" w:eastAsia="Times New Roman" w:hAnsi="Times New Roman"/>
                <w:sz w:val="12"/>
                <w:szCs w:val="12"/>
                <w:color w:val="auto"/>
                <w:vertAlign w:val="superscript"/>
              </w:rPr>
              <w:t>(4)</w:t>
            </w:r>
          </w:p>
        </w:tc>
      </w:tr>
      <w:tr>
        <w:trPr>
          <w:trHeight w:val="104"/>
        </w:trPr>
        <w:tc>
          <w:tcPr>
            <w:tcW w:w="4840" w:type="dxa"/>
            <w:vAlign w:val="bottom"/>
            <w:gridSpan w:val="3"/>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2.500% Notes due 2026</w:t>
            </w:r>
          </w:p>
        </w:tc>
        <w:tc>
          <w:tcPr>
            <w:tcW w:w="1780" w:type="dxa"/>
            <w:vAlign w:val="bottom"/>
            <w:gridSpan w:val="2"/>
            <w:shd w:val="clear" w:color="auto" w:fill="CCEEFF"/>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2.500% 2026 Notes</w:t>
            </w:r>
          </w:p>
        </w:tc>
        <w:tc>
          <w:tcPr>
            <w:tcW w:w="2340" w:type="dxa"/>
            <w:vAlign w:val="bottom"/>
            <w:shd w:val="clear" w:color="auto" w:fill="CCEEFF"/>
          </w:tcPr>
          <w:p>
            <w:pPr>
              <w:jc w:val="center"/>
              <w:spacing w:after="0" w:line="105" w:lineRule="exact"/>
              <w:rPr>
                <w:sz w:val="20"/>
                <w:szCs w:val="20"/>
                <w:color w:val="auto"/>
              </w:rPr>
            </w:pPr>
            <w:r>
              <w:rPr>
                <w:rFonts w:ascii="Times New Roman" w:cs="Times New Roman" w:eastAsia="Times New Roman" w:hAnsi="Times New Roman"/>
                <w:sz w:val="8"/>
                <w:szCs w:val="8"/>
                <w:color w:val="auto"/>
              </w:rPr>
              <w:t xml:space="preserve">Digital Euro Finco, LLC </w:t>
            </w:r>
            <w:r>
              <w:rPr>
                <w:rFonts w:ascii="Times New Roman" w:cs="Times New Roman" w:eastAsia="Times New Roman" w:hAnsi="Times New Roman"/>
                <w:sz w:val="12"/>
                <w:szCs w:val="12"/>
                <w:color w:val="auto"/>
                <w:vertAlign w:val="superscript"/>
              </w:rPr>
              <w:t>(2)</w:t>
            </w:r>
          </w:p>
        </w:tc>
      </w:tr>
      <w:tr>
        <w:trPr>
          <w:trHeight w:val="104"/>
        </w:trPr>
        <w:tc>
          <w:tcPr>
            <w:tcW w:w="484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color w:val="auto"/>
              </w:rPr>
              <w:t>3.700% Notes due 2027</w:t>
            </w:r>
          </w:p>
        </w:tc>
        <w:tc>
          <w:tcPr>
            <w:tcW w:w="1780" w:type="dxa"/>
            <w:vAlign w:val="bottom"/>
            <w:gridSpan w:val="2"/>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3.700% 2027 Notes</w:t>
            </w:r>
          </w:p>
        </w:tc>
        <w:tc>
          <w:tcPr>
            <w:tcW w:w="234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Digital Realty Trust, L.P.</w:t>
            </w:r>
          </w:p>
        </w:tc>
      </w:tr>
      <w:tr>
        <w:trPr>
          <w:trHeight w:val="104"/>
        </w:trPr>
        <w:tc>
          <w:tcPr>
            <w:tcW w:w="4840" w:type="dxa"/>
            <w:vAlign w:val="bottom"/>
            <w:gridSpan w:val="3"/>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1.125% Notes due 2028</w:t>
            </w:r>
          </w:p>
        </w:tc>
        <w:tc>
          <w:tcPr>
            <w:tcW w:w="1780" w:type="dxa"/>
            <w:vAlign w:val="bottom"/>
            <w:gridSpan w:val="2"/>
            <w:shd w:val="clear" w:color="auto" w:fill="CCEEFF"/>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1.125% 2028 Notes</w:t>
            </w:r>
          </w:p>
        </w:tc>
        <w:tc>
          <w:tcPr>
            <w:tcW w:w="2340" w:type="dxa"/>
            <w:vAlign w:val="bottom"/>
            <w:shd w:val="clear" w:color="auto" w:fill="CCEEFF"/>
          </w:tcPr>
          <w:p>
            <w:pPr>
              <w:jc w:val="center"/>
              <w:spacing w:after="0" w:line="105" w:lineRule="exact"/>
              <w:rPr>
                <w:sz w:val="20"/>
                <w:szCs w:val="20"/>
                <w:color w:val="auto"/>
              </w:rPr>
            </w:pPr>
            <w:r>
              <w:rPr>
                <w:rFonts w:ascii="Times New Roman" w:cs="Times New Roman" w:eastAsia="Times New Roman" w:hAnsi="Times New Roman"/>
                <w:sz w:val="8"/>
                <w:szCs w:val="8"/>
                <w:color w:val="auto"/>
              </w:rPr>
              <w:t xml:space="preserve">Digital Euro Finco, LLC </w:t>
            </w:r>
            <w:r>
              <w:rPr>
                <w:rFonts w:ascii="Times New Roman" w:cs="Times New Roman" w:eastAsia="Times New Roman" w:hAnsi="Times New Roman"/>
                <w:sz w:val="12"/>
                <w:szCs w:val="12"/>
                <w:color w:val="auto"/>
                <w:vertAlign w:val="superscript"/>
              </w:rPr>
              <w:t>(2)</w:t>
            </w:r>
          </w:p>
        </w:tc>
      </w:tr>
      <w:tr>
        <w:trPr>
          <w:trHeight w:val="104"/>
        </w:trPr>
        <w:tc>
          <w:tcPr>
            <w:tcW w:w="484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color w:val="auto"/>
              </w:rPr>
              <w:t>4.450% Notes due 2028</w:t>
            </w:r>
          </w:p>
        </w:tc>
        <w:tc>
          <w:tcPr>
            <w:tcW w:w="1780" w:type="dxa"/>
            <w:vAlign w:val="bottom"/>
            <w:gridSpan w:val="2"/>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4.450% 2028 Notes</w:t>
            </w:r>
          </w:p>
        </w:tc>
        <w:tc>
          <w:tcPr>
            <w:tcW w:w="234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Digital Realty Trust, L.P.</w:t>
            </w:r>
          </w:p>
        </w:tc>
      </w:tr>
      <w:tr>
        <w:trPr>
          <w:trHeight w:val="104"/>
        </w:trPr>
        <w:tc>
          <w:tcPr>
            <w:tcW w:w="4840" w:type="dxa"/>
            <w:vAlign w:val="bottom"/>
            <w:gridSpan w:val="3"/>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3.600% Notes due 2029</w:t>
            </w:r>
          </w:p>
        </w:tc>
        <w:tc>
          <w:tcPr>
            <w:tcW w:w="1780" w:type="dxa"/>
            <w:vAlign w:val="bottom"/>
            <w:gridSpan w:val="2"/>
            <w:shd w:val="clear" w:color="auto" w:fill="CCEEFF"/>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3.600% 2029 Notes</w:t>
            </w:r>
          </w:p>
        </w:tc>
        <w:tc>
          <w:tcPr>
            <w:tcW w:w="2340" w:type="dxa"/>
            <w:vAlign w:val="bottom"/>
            <w:shd w:val="clear" w:color="auto" w:fill="CCEEFF"/>
          </w:tcPr>
          <w:p>
            <w:pPr>
              <w:jc w:val="center"/>
              <w:spacing w:after="0" w:line="104" w:lineRule="exact"/>
              <w:rPr>
                <w:sz w:val="20"/>
                <w:szCs w:val="20"/>
                <w:color w:val="auto"/>
              </w:rPr>
            </w:pPr>
            <w:r>
              <w:rPr>
                <w:rFonts w:ascii="Times New Roman" w:cs="Times New Roman" w:eastAsia="Times New Roman" w:hAnsi="Times New Roman"/>
                <w:sz w:val="10"/>
                <w:szCs w:val="10"/>
                <w:color w:val="auto"/>
              </w:rPr>
              <w:t>Digital Realty Trust, L.P.</w:t>
            </w:r>
          </w:p>
        </w:tc>
      </w:tr>
      <w:tr>
        <w:trPr>
          <w:trHeight w:val="104"/>
        </w:trPr>
        <w:tc>
          <w:tcPr>
            <w:tcW w:w="484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color w:val="auto"/>
              </w:rPr>
              <w:t>3.300% Notes due 2029</w:t>
            </w:r>
          </w:p>
        </w:tc>
        <w:tc>
          <w:tcPr>
            <w:tcW w:w="1780" w:type="dxa"/>
            <w:vAlign w:val="bottom"/>
            <w:gridSpan w:val="2"/>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3.300% 2029 Notes</w:t>
            </w:r>
          </w:p>
        </w:tc>
        <w:tc>
          <w:tcPr>
            <w:tcW w:w="2340" w:type="dxa"/>
            <w:vAlign w:val="bottom"/>
          </w:tcPr>
          <w:p>
            <w:pPr>
              <w:jc w:val="center"/>
              <w:spacing w:after="0" w:line="105" w:lineRule="exact"/>
              <w:rPr>
                <w:sz w:val="20"/>
                <w:szCs w:val="20"/>
                <w:color w:val="auto"/>
              </w:rPr>
            </w:pPr>
            <w:r>
              <w:rPr>
                <w:rFonts w:ascii="Times New Roman" w:cs="Times New Roman" w:eastAsia="Times New Roman" w:hAnsi="Times New Roman"/>
                <w:sz w:val="8"/>
                <w:szCs w:val="8"/>
                <w:color w:val="auto"/>
              </w:rPr>
              <w:t xml:space="preserve">Digital Stout Holding, LLC </w:t>
            </w:r>
            <w:r>
              <w:rPr>
                <w:rFonts w:ascii="Times New Roman" w:cs="Times New Roman" w:eastAsia="Times New Roman" w:hAnsi="Times New Roman"/>
                <w:sz w:val="12"/>
                <w:szCs w:val="12"/>
                <w:color w:val="auto"/>
                <w:vertAlign w:val="superscript"/>
              </w:rPr>
              <w:t>(3)</w:t>
            </w:r>
          </w:p>
        </w:tc>
      </w:tr>
      <w:tr>
        <w:trPr>
          <w:trHeight w:val="104"/>
        </w:trPr>
        <w:tc>
          <w:tcPr>
            <w:tcW w:w="4840" w:type="dxa"/>
            <w:vAlign w:val="bottom"/>
            <w:gridSpan w:val="3"/>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1.500% Notes due 2030</w:t>
            </w:r>
          </w:p>
        </w:tc>
        <w:tc>
          <w:tcPr>
            <w:tcW w:w="1780" w:type="dxa"/>
            <w:vAlign w:val="bottom"/>
            <w:gridSpan w:val="2"/>
            <w:shd w:val="clear" w:color="auto" w:fill="CCEEFF"/>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1.500% 2030 Notes</w:t>
            </w:r>
          </w:p>
        </w:tc>
        <w:tc>
          <w:tcPr>
            <w:tcW w:w="2340" w:type="dxa"/>
            <w:vAlign w:val="bottom"/>
            <w:shd w:val="clear" w:color="auto" w:fill="CCEEFF"/>
          </w:tcPr>
          <w:p>
            <w:pPr>
              <w:jc w:val="center"/>
              <w:spacing w:after="0" w:line="105" w:lineRule="exact"/>
              <w:rPr>
                <w:sz w:val="20"/>
                <w:szCs w:val="20"/>
                <w:color w:val="auto"/>
              </w:rPr>
            </w:pPr>
            <w:r>
              <w:rPr>
                <w:rFonts w:ascii="Times New Roman" w:cs="Times New Roman" w:eastAsia="Times New Roman" w:hAnsi="Times New Roman"/>
                <w:sz w:val="8"/>
                <w:szCs w:val="8"/>
                <w:color w:val="auto"/>
              </w:rPr>
              <w:t xml:space="preserve">Digital Dutch Finco B.V. </w:t>
            </w:r>
            <w:r>
              <w:rPr>
                <w:rFonts w:ascii="Times New Roman" w:cs="Times New Roman" w:eastAsia="Times New Roman" w:hAnsi="Times New Roman"/>
                <w:sz w:val="12"/>
                <w:szCs w:val="12"/>
                <w:color w:val="auto"/>
                <w:vertAlign w:val="superscript"/>
              </w:rPr>
              <w:t>(2)</w:t>
            </w:r>
          </w:p>
        </w:tc>
      </w:tr>
      <w:tr>
        <w:trPr>
          <w:trHeight w:val="104"/>
        </w:trPr>
        <w:tc>
          <w:tcPr>
            <w:tcW w:w="484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color w:val="auto"/>
              </w:rPr>
              <w:t>3.750% Notes due 2030</w:t>
            </w:r>
          </w:p>
        </w:tc>
        <w:tc>
          <w:tcPr>
            <w:tcW w:w="1780" w:type="dxa"/>
            <w:vAlign w:val="bottom"/>
            <w:gridSpan w:val="2"/>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3.750% 2030 Notes</w:t>
            </w:r>
          </w:p>
        </w:tc>
        <w:tc>
          <w:tcPr>
            <w:tcW w:w="2340" w:type="dxa"/>
            <w:vAlign w:val="bottom"/>
          </w:tcPr>
          <w:p>
            <w:pPr>
              <w:jc w:val="center"/>
              <w:spacing w:after="0" w:line="105" w:lineRule="exact"/>
              <w:rPr>
                <w:sz w:val="20"/>
                <w:szCs w:val="20"/>
                <w:color w:val="auto"/>
              </w:rPr>
            </w:pPr>
            <w:r>
              <w:rPr>
                <w:rFonts w:ascii="Times New Roman" w:cs="Times New Roman" w:eastAsia="Times New Roman" w:hAnsi="Times New Roman"/>
                <w:sz w:val="8"/>
                <w:szCs w:val="8"/>
                <w:color w:val="auto"/>
              </w:rPr>
              <w:t xml:space="preserve">Digital Stout Holding, LLC </w:t>
            </w:r>
            <w:r>
              <w:rPr>
                <w:rFonts w:ascii="Times New Roman" w:cs="Times New Roman" w:eastAsia="Times New Roman" w:hAnsi="Times New Roman"/>
                <w:sz w:val="12"/>
                <w:szCs w:val="12"/>
                <w:color w:val="auto"/>
                <w:vertAlign w:val="superscript"/>
              </w:rPr>
              <w:t>(3)</w:t>
            </w:r>
          </w:p>
        </w:tc>
      </w:tr>
      <w:tr>
        <w:trPr>
          <w:trHeight w:val="104"/>
        </w:trPr>
        <w:tc>
          <w:tcPr>
            <w:tcW w:w="4840" w:type="dxa"/>
            <w:vAlign w:val="bottom"/>
            <w:gridSpan w:val="3"/>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1.250% Notes due 2031</w:t>
            </w:r>
          </w:p>
        </w:tc>
        <w:tc>
          <w:tcPr>
            <w:tcW w:w="1780" w:type="dxa"/>
            <w:vAlign w:val="bottom"/>
            <w:gridSpan w:val="2"/>
            <w:shd w:val="clear" w:color="auto" w:fill="CCEEFF"/>
          </w:tcPr>
          <w:p>
            <w:pPr>
              <w:jc w:val="center"/>
              <w:ind w:right="460"/>
              <w:spacing w:after="0" w:line="104" w:lineRule="exact"/>
              <w:rPr>
                <w:sz w:val="20"/>
                <w:szCs w:val="20"/>
                <w:color w:val="auto"/>
              </w:rPr>
            </w:pPr>
            <w:r>
              <w:rPr>
                <w:rFonts w:ascii="Times New Roman" w:cs="Times New Roman" w:eastAsia="Times New Roman" w:hAnsi="Times New Roman"/>
                <w:sz w:val="10"/>
                <w:szCs w:val="10"/>
                <w:color w:val="auto"/>
              </w:rPr>
              <w:t>1.250% 2031 Notes</w:t>
            </w:r>
          </w:p>
        </w:tc>
        <w:tc>
          <w:tcPr>
            <w:tcW w:w="2340" w:type="dxa"/>
            <w:vAlign w:val="bottom"/>
            <w:shd w:val="clear" w:color="auto" w:fill="CCEEFF"/>
          </w:tcPr>
          <w:p>
            <w:pPr>
              <w:jc w:val="center"/>
              <w:spacing w:after="0" w:line="105" w:lineRule="exact"/>
              <w:rPr>
                <w:sz w:val="20"/>
                <w:szCs w:val="20"/>
                <w:color w:val="auto"/>
              </w:rPr>
            </w:pPr>
            <w:r>
              <w:rPr>
                <w:rFonts w:ascii="Times New Roman" w:cs="Times New Roman" w:eastAsia="Times New Roman" w:hAnsi="Times New Roman"/>
                <w:sz w:val="8"/>
                <w:szCs w:val="8"/>
                <w:color w:val="auto"/>
              </w:rPr>
              <w:t xml:space="preserve">Digital Dutch Finco B.V. </w:t>
            </w:r>
            <w:r>
              <w:rPr>
                <w:rFonts w:ascii="Times New Roman" w:cs="Times New Roman" w:eastAsia="Times New Roman" w:hAnsi="Times New Roman"/>
                <w:sz w:val="12"/>
                <w:szCs w:val="12"/>
                <w:color w:val="auto"/>
                <w:vertAlign w:val="superscript"/>
              </w:rPr>
              <w:t>(2)</w:t>
            </w:r>
          </w:p>
        </w:tc>
      </w:tr>
      <w:tr>
        <w:trPr>
          <w:trHeight w:val="180"/>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1.000% Notes due 2032</w:t>
            </w:r>
          </w:p>
        </w:tc>
        <w:tc>
          <w:tcPr>
            <w:tcW w:w="2600" w:type="dxa"/>
            <w:vAlign w:val="bottom"/>
            <w:gridSpan w:val="2"/>
          </w:tcPr>
          <w:p>
            <w:pPr>
              <w:spacing w:after="0"/>
              <w:rPr>
                <w:sz w:val="15"/>
                <w:szCs w:val="15"/>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color w:val="auto"/>
              </w:rPr>
              <w:t>1.000% Notes 2032</w:t>
            </w:r>
          </w:p>
        </w:tc>
        <w:tc>
          <w:tcPr>
            <w:tcW w:w="2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 xml:space="preserve">Digital Dutch Finco B.V. </w:t>
            </w:r>
            <w:r>
              <w:rPr>
                <w:rFonts w:ascii="Times New Roman" w:cs="Times New Roman" w:eastAsia="Times New Roman" w:hAnsi="Times New Roman"/>
                <w:sz w:val="15"/>
                <w:szCs w:val="15"/>
                <w:color w:val="auto"/>
                <w:w w:val="98"/>
                <w:vertAlign w:val="superscript"/>
              </w:rPr>
              <w:t>(2)</w:t>
            </w:r>
          </w:p>
        </w:tc>
      </w:tr>
    </w:tbl>
    <w:p>
      <w:pPr>
        <w:spacing w:after="0" w:line="196" w:lineRule="exact"/>
        <w:rPr>
          <w:sz w:val="20"/>
          <w:szCs w:val="20"/>
          <w:color w:val="auto"/>
        </w:rPr>
      </w:pPr>
    </w:p>
    <w:p>
      <w:pPr>
        <w:ind w:left="260" w:right="159" w:hanging="235"/>
        <w:spacing w:after="0" w:line="254" w:lineRule="auto"/>
        <w:tabs>
          <w:tab w:leader="none" w:pos="26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Digital Realty Trust, Inc. guarantees the senior notes issued by Digital Realty Trust, L.P. Both Digital Realty Trust, L.P. and Digital Realty Trust, Inc. guarantee the senior notes issued by Digital Stout Holding, LLC, Digital Euro Finco, LLC and Digital Dutch Finco, B.V.</w:t>
      </w:r>
    </w:p>
    <w:p>
      <w:pPr>
        <w:ind w:left="260" w:hanging="235"/>
        <w:spacing w:after="0"/>
        <w:tabs>
          <w:tab w:leader="none" w:pos="26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indirect wholly owned finance subsidiary of Digital Realty Trust, L.P.</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wholly owned subsidiary of Digital Realty Trust, L.P.</w:t>
      </w:r>
    </w:p>
    <w:p>
      <w:pPr>
        <w:spacing w:after="0" w:line="2" w:lineRule="exact"/>
        <w:rPr>
          <w:rFonts w:ascii="Times New Roman" w:cs="Times New Roman" w:eastAsia="Times New Roman" w:hAnsi="Times New Roman"/>
          <w:sz w:val="13"/>
          <w:szCs w:val="13"/>
          <w:color w:val="auto"/>
        </w:rPr>
      </w:pPr>
    </w:p>
    <w:p>
      <w:pPr>
        <w:ind w:left="260" w:right="39" w:hanging="235"/>
        <w:spacing w:after="0" w:line="245" w:lineRule="auto"/>
        <w:tabs>
          <w:tab w:leader="none" w:pos="26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Initially a wholly owned subsidiary of Digital Realty Trust, Inc., pursuant to the terms of the indenture, following the consummation of the Telx Acquisition, on October 13, 2015, Digital Delta Holdings, LLC merged with and into Digital Realty Trust, L.P., with Digital Realty Trust, L.P. surviving the merger and assuming Digital Delta Holdings, LLC’s obligations under the 4.750% 2025 Notes, the related indenture and registration rights agreement by operation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58" w:name="page159"/>
    <w:bookmarkEnd w:id="15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9. Debt of the Operating Partnership</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A summary of outstanding indebtedness of the Operating Partnership as of December 31, 2020 and 2019 is as follows (in thousands):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left="176"/>
              <w:spacing w:after="0"/>
              <w:rPr>
                <w:sz w:val="20"/>
                <w:szCs w:val="20"/>
                <w:color w:val="auto"/>
              </w:rPr>
            </w:pPr>
            <w:r>
              <w:rPr>
                <w:rFonts w:ascii="Times New Roman" w:cs="Times New Roman" w:eastAsia="Times New Roman" w:hAnsi="Times New Roman"/>
                <w:sz w:val="9"/>
                <w:szCs w:val="9"/>
                <w:b w:val="1"/>
                <w:bCs w:val="1"/>
                <w:color w:val="auto"/>
                <w:w w:val="96"/>
              </w:rPr>
              <w:t>Interest Rate at</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center"/>
              <w:ind w:right="96"/>
              <w:spacing w:after="0"/>
              <w:rPr>
                <w:sz w:val="20"/>
                <w:szCs w:val="20"/>
                <w:color w:val="auto"/>
              </w:rPr>
            </w:pPr>
            <w:r>
              <w:rPr>
                <w:rFonts w:ascii="Times New Roman" w:cs="Times New Roman" w:eastAsia="Times New Roman" w:hAnsi="Times New Roman"/>
                <w:sz w:val="9"/>
                <w:szCs w:val="9"/>
                <w:b w:val="1"/>
                <w:bCs w:val="1"/>
                <w:color w:val="auto"/>
              </w:rPr>
              <w:t>Principal</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jc w:val="center"/>
              <w:ind w:right="76"/>
              <w:spacing w:after="0"/>
              <w:rPr>
                <w:sz w:val="20"/>
                <w:szCs w:val="20"/>
                <w:color w:val="auto"/>
              </w:rPr>
            </w:pPr>
            <w:r>
              <w:rPr>
                <w:rFonts w:ascii="Times New Roman" w:cs="Times New Roman" w:eastAsia="Times New Roman" w:hAnsi="Times New Roman"/>
                <w:sz w:val="9"/>
                <w:szCs w:val="9"/>
                <w:b w:val="1"/>
                <w:bCs w:val="1"/>
                <w:color w:val="auto"/>
              </w:rPr>
              <w:t>Principal</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left="156"/>
              <w:spacing w:after="0" w:line="95" w:lineRule="exact"/>
              <w:rPr>
                <w:sz w:val="20"/>
                <w:szCs w:val="20"/>
                <w:color w:val="auto"/>
              </w:rPr>
            </w:pPr>
            <w:r>
              <w:rPr>
                <w:rFonts w:ascii="Times New Roman" w:cs="Times New Roman" w:eastAsia="Times New Roman" w:hAnsi="Times New Roman"/>
                <w:sz w:val="9"/>
                <w:szCs w:val="9"/>
                <w:b w:val="1"/>
                <w:bCs w:val="1"/>
                <w:color w:val="auto"/>
                <w:w w:val="98"/>
              </w:rPr>
              <w:t>December 31,</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center"/>
              <w:ind w:right="76"/>
              <w:spacing w:after="0" w:line="95" w:lineRule="exact"/>
              <w:rPr>
                <w:sz w:val="20"/>
                <w:szCs w:val="20"/>
                <w:color w:val="auto"/>
              </w:rPr>
            </w:pPr>
            <w:r>
              <w:rPr>
                <w:rFonts w:ascii="Times New Roman" w:cs="Times New Roman" w:eastAsia="Times New Roman" w:hAnsi="Times New Roman"/>
                <w:sz w:val="9"/>
                <w:szCs w:val="9"/>
                <w:b w:val="1"/>
                <w:bCs w:val="1"/>
                <w:color w:val="auto"/>
              </w:rPr>
              <w:t>Outstanding at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jc w:val="center"/>
              <w:ind w:right="56"/>
              <w:spacing w:after="0" w:line="95" w:lineRule="exact"/>
              <w:rPr>
                <w:sz w:val="20"/>
                <w:szCs w:val="20"/>
                <w:color w:val="auto"/>
              </w:rPr>
            </w:pPr>
            <w:r>
              <w:rPr>
                <w:rFonts w:ascii="Times New Roman" w:cs="Times New Roman" w:eastAsia="Times New Roman" w:hAnsi="Times New Roman"/>
                <w:sz w:val="9"/>
                <w:szCs w:val="9"/>
                <w:b w:val="1"/>
                <w:bCs w:val="1"/>
                <w:color w:val="auto"/>
              </w:rPr>
              <w:t>Outstanding at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00" w:type="dxa"/>
            <w:vAlign w:val="bottom"/>
            <w:gridSpan w:val="4"/>
          </w:tcPr>
          <w:p>
            <w:pPr>
              <w:spacing w:after="0"/>
              <w:rPr>
                <w:sz w:val="20"/>
                <w:szCs w:val="20"/>
                <w:color w:val="auto"/>
              </w:rPr>
            </w:pPr>
            <w:r>
              <w:rPr>
                <w:rFonts w:ascii="Times New Roman" w:cs="Times New Roman" w:eastAsia="Times New Roman" w:hAnsi="Times New Roman"/>
                <w:sz w:val="9"/>
                <w:szCs w:val="9"/>
                <w:b w:val="1"/>
                <w:bCs w:val="1"/>
                <w:color w:val="auto"/>
              </w:rPr>
              <w:t>Indebtedness</w:t>
            </w:r>
          </w:p>
        </w:tc>
        <w:tc>
          <w:tcPr>
            <w:tcW w:w="800" w:type="dxa"/>
            <w:vAlign w:val="bottom"/>
          </w:tcPr>
          <w:p>
            <w:pPr>
              <w:jc w:val="center"/>
              <w:ind w:left="176"/>
              <w:spacing w:after="0"/>
              <w:rPr>
                <w:sz w:val="20"/>
                <w:szCs w:val="20"/>
                <w:color w:val="auto"/>
              </w:rPr>
            </w:pPr>
            <w:r>
              <w:rPr>
                <w:rFonts w:ascii="Times New Roman" w:cs="Times New Roman" w:eastAsia="Times New Roman" w:hAnsi="Times New Roman"/>
                <w:sz w:val="9"/>
                <w:szCs w:val="9"/>
                <w:b w:val="1"/>
                <w:bCs w:val="1"/>
                <w:color w:val="auto"/>
                <w:w w:val="99"/>
              </w:rPr>
              <w:t>2020</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9"/>
                <w:szCs w:val="9"/>
                <w:b w:val="1"/>
                <w:bCs w:val="1"/>
                <w:color w:val="auto"/>
              </w:rPr>
              <w:t>Maturity Date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76"/>
              <w:spacing w:after="0"/>
              <w:rPr>
                <w:sz w:val="20"/>
                <w:szCs w:val="20"/>
                <w:color w:val="auto"/>
              </w:rPr>
            </w:pPr>
            <w:r>
              <w:rPr>
                <w:rFonts w:ascii="Times New Roman" w:cs="Times New Roman" w:eastAsia="Times New Roman" w:hAnsi="Times New Roman"/>
                <w:sz w:val="9"/>
                <w:szCs w:val="9"/>
                <w:b w:val="1"/>
                <w:bCs w:val="1"/>
                <w:color w:val="auto"/>
                <w:w w:val="96"/>
              </w:rPr>
              <w:t>December 31, 2020</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jc w:val="center"/>
              <w:ind w:right="56"/>
              <w:spacing w:after="0"/>
              <w:rPr>
                <w:sz w:val="20"/>
                <w:szCs w:val="20"/>
                <w:color w:val="auto"/>
              </w:rPr>
            </w:pPr>
            <w:r>
              <w:rPr>
                <w:rFonts w:ascii="Times New Roman" w:cs="Times New Roman" w:eastAsia="Times New Roman" w:hAnsi="Times New Roman"/>
                <w:sz w:val="9"/>
                <w:szCs w:val="9"/>
                <w:b w:val="1"/>
                <w:bCs w:val="1"/>
                <w:color w:val="auto"/>
                <w:w w:val="96"/>
              </w:rPr>
              <w:t>December 31, 2019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7"/>
                <w:szCs w:val="7"/>
                <w:color w:val="auto"/>
                <w:w w:val="72"/>
              </w:rPr>
              <w:t>(1)</w:t>
            </w: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416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9"/>
                <w:szCs w:val="9"/>
                <w:b w:val="1"/>
                <w:bCs w:val="1"/>
                <w:color w:val="auto"/>
              </w:rPr>
              <w:t>Global revolving credit facilities</w:t>
            </w:r>
          </w:p>
        </w:tc>
        <w:tc>
          <w:tcPr>
            <w:tcW w:w="120" w:type="dxa"/>
            <w:vAlign w:val="bottom"/>
            <w:vMerge w:val="continue"/>
            <w:shd w:val="clear" w:color="auto" w:fill="CCEEFF"/>
          </w:tcPr>
          <w:p>
            <w:pPr>
              <w:spacing w:after="0"/>
              <w:rPr>
                <w:sz w:val="7"/>
                <w:szCs w:val="7"/>
                <w:color w:val="auto"/>
              </w:rPr>
            </w:pPr>
          </w:p>
        </w:tc>
        <w:tc>
          <w:tcPr>
            <w:tcW w:w="1040" w:type="dxa"/>
            <w:vAlign w:val="bottom"/>
            <w:gridSpan w:val="2"/>
            <w:shd w:val="clear" w:color="auto" w:fill="CCEEFF"/>
          </w:tcPr>
          <w:p>
            <w:pPr>
              <w:ind w:left="740"/>
              <w:spacing w:after="0" w:line="85" w:lineRule="exact"/>
              <w:rPr>
                <w:sz w:val="20"/>
                <w:szCs w:val="20"/>
                <w:color w:val="auto"/>
              </w:rPr>
            </w:pPr>
            <w:r>
              <w:rPr>
                <w:rFonts w:ascii="Times New Roman" w:cs="Times New Roman" w:eastAsia="Times New Roman" w:hAnsi="Times New Roman"/>
                <w:sz w:val="9"/>
                <w:szCs w:val="9"/>
                <w:color w:val="auto"/>
                <w:w w:val="98"/>
              </w:rPr>
              <w:t>Various</w:t>
            </w:r>
          </w:p>
        </w:tc>
        <w:tc>
          <w:tcPr>
            <w:tcW w:w="260" w:type="dxa"/>
            <w:vAlign w:val="bottom"/>
            <w:vMerge w:val="continue"/>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jc w:val="center"/>
              <w:ind w:left="36"/>
              <w:spacing w:after="0" w:line="85" w:lineRule="exact"/>
              <w:rPr>
                <w:sz w:val="20"/>
                <w:szCs w:val="20"/>
                <w:color w:val="auto"/>
              </w:rPr>
            </w:pPr>
            <w:r>
              <w:rPr>
                <w:rFonts w:ascii="Times New Roman" w:cs="Times New Roman" w:eastAsia="Times New Roman" w:hAnsi="Times New Roman"/>
                <w:sz w:val="9"/>
                <w:szCs w:val="9"/>
                <w:color w:val="auto"/>
                <w:w w:val="96"/>
              </w:rPr>
              <w:t>Jan 24, 2023</w:t>
            </w:r>
          </w:p>
        </w:tc>
        <w:tc>
          <w:tcPr>
            <w:tcW w:w="120" w:type="dxa"/>
            <w:vAlign w:val="bottom"/>
            <w:tcBorders>
              <w:right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4"/>
                <w:szCs w:val="4"/>
                <w:color w:val="auto"/>
                <w:w w:val="84"/>
              </w:rPr>
              <w:t>(1)</w:t>
            </w:r>
          </w:p>
        </w:tc>
        <w:tc>
          <w:tcPr>
            <w:tcW w:w="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94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540,184</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(2)</w:t>
            </w:r>
          </w:p>
        </w:tc>
        <w:tc>
          <w:tcPr>
            <w:tcW w:w="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color w:val="auto"/>
                <w:w w:val="4294967286"/>
              </w:rPr>
              <w:t>$</w:t>
            </w:r>
          </w:p>
        </w:tc>
        <w:tc>
          <w:tcPr>
            <w:tcW w:w="96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245,766</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w w:val="72"/>
              </w:rPr>
              <w:t>(2)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Borders>
              <w:bottom w:val="single" w:sz="8" w:color="CCEEFF"/>
            </w:tcBorders>
            <w:gridSpan w:val="3"/>
          </w:tcPr>
          <w:p>
            <w:pPr>
              <w:spacing w:after="0" w:line="95" w:lineRule="exact"/>
              <w:rPr>
                <w:sz w:val="20"/>
                <w:szCs w:val="20"/>
                <w:color w:val="auto"/>
              </w:rPr>
            </w:pPr>
            <w:r>
              <w:rPr>
                <w:rFonts w:ascii="Times New Roman" w:cs="Times New Roman" w:eastAsia="Times New Roman" w:hAnsi="Times New Roman"/>
                <w:sz w:val="9"/>
                <w:szCs w:val="9"/>
                <w:color w:val="auto"/>
              </w:rPr>
              <w:t>Deferred financing costs, net</w:t>
            </w:r>
          </w:p>
        </w:tc>
        <w:tc>
          <w:tcPr>
            <w:tcW w:w="800" w:type="dxa"/>
            <w:vAlign w:val="bottom"/>
            <w:tcBorders>
              <w:bottom w:val="single" w:sz="8" w:color="CCEEFF"/>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(8,279)</w:t>
            </w:r>
          </w:p>
        </w:tc>
        <w:tc>
          <w:tcPr>
            <w:tcW w:w="24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(11,661)</w:t>
            </w:r>
          </w:p>
        </w:tc>
        <w:tc>
          <w:tcPr>
            <w:tcW w:w="1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80" w:type="dxa"/>
            <w:vAlign w:val="bottom"/>
            <w:gridSpan w:val="3"/>
            <w:shd w:val="clear" w:color="auto" w:fill="CCEEFF"/>
          </w:tcPr>
          <w:p>
            <w:pPr>
              <w:spacing w:after="0" w:line="85" w:lineRule="exact"/>
              <w:rPr>
                <w:sz w:val="20"/>
                <w:szCs w:val="20"/>
                <w:color w:val="auto"/>
              </w:rPr>
            </w:pPr>
            <w:r>
              <w:rPr>
                <w:rFonts w:ascii="Times New Roman" w:cs="Times New Roman" w:eastAsia="Times New Roman" w:hAnsi="Times New Roman"/>
                <w:sz w:val="9"/>
                <w:szCs w:val="9"/>
                <w:b w:val="1"/>
                <w:bCs w:val="1"/>
                <w:color w:val="auto"/>
              </w:rPr>
              <w:t>Global revolving credit facilities, net</w:t>
            </w:r>
          </w:p>
        </w:tc>
        <w:tc>
          <w:tcPr>
            <w:tcW w:w="8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531,905</w:t>
            </w:r>
          </w:p>
        </w:tc>
        <w:tc>
          <w:tcPr>
            <w:tcW w:w="240" w:type="dxa"/>
            <w:vAlign w:val="bottom"/>
            <w:tcBorders>
              <w:right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234,105</w:t>
            </w: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80" w:type="dxa"/>
            <w:vAlign w:val="bottom"/>
            <w:gridSpan w:val="3"/>
          </w:tcPr>
          <w:p>
            <w:pPr>
              <w:spacing w:after="0" w:line="85" w:lineRule="exact"/>
              <w:rPr>
                <w:sz w:val="20"/>
                <w:szCs w:val="20"/>
                <w:color w:val="auto"/>
              </w:rPr>
            </w:pPr>
            <w:r>
              <w:rPr>
                <w:rFonts w:ascii="Times New Roman" w:cs="Times New Roman" w:eastAsia="Times New Roman" w:hAnsi="Times New Roman"/>
                <w:sz w:val="9"/>
                <w:szCs w:val="9"/>
                <w:b w:val="1"/>
                <w:bCs w:val="1"/>
                <w:color w:val="auto"/>
              </w:rPr>
              <w:t>Unsecured Term Loans</w:t>
            </w: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300" w:type="dxa"/>
            <w:vAlign w:val="bottom"/>
            <w:gridSpan w:val="4"/>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2023 Term Loan</w:t>
            </w:r>
          </w:p>
        </w:tc>
        <w:tc>
          <w:tcPr>
            <w:tcW w:w="1300" w:type="dxa"/>
            <w:vAlign w:val="bottom"/>
            <w:gridSpan w:val="3"/>
            <w:shd w:val="clear" w:color="auto" w:fill="CCEEFF"/>
          </w:tcPr>
          <w:p>
            <w:pPr>
              <w:ind w:left="740"/>
              <w:spacing w:after="0" w:line="95" w:lineRule="exact"/>
              <w:rPr>
                <w:sz w:val="20"/>
                <w:szCs w:val="20"/>
                <w:color w:val="auto"/>
              </w:rPr>
            </w:pPr>
            <w:r>
              <w:rPr>
                <w:rFonts w:ascii="Times New Roman" w:cs="Times New Roman" w:eastAsia="Times New Roman" w:hAnsi="Times New Roman"/>
                <w:sz w:val="9"/>
                <w:szCs w:val="9"/>
                <w:color w:val="auto"/>
              </w:rPr>
              <w:t xml:space="preserve">Various </w:t>
            </w:r>
            <w:r>
              <w:rPr>
                <w:rFonts w:ascii="Times New Roman" w:cs="Times New Roman" w:eastAsia="Times New Roman" w:hAnsi="Times New Roman"/>
                <w:sz w:val="6"/>
                <w:szCs w:val="6"/>
                <w:color w:val="auto"/>
              </w:rPr>
              <w:t>(3)(4)</w:t>
            </w:r>
          </w:p>
        </w:tc>
        <w:tc>
          <w:tcPr>
            <w:tcW w:w="800" w:type="dxa"/>
            <w:vAlign w:val="bottom"/>
            <w:tcBorders>
              <w:right w:val="single" w:sz="8" w:color="CCEEFF"/>
            </w:tcBorders>
            <w:shd w:val="clear" w:color="auto" w:fill="CCEEFF"/>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w w:val="96"/>
              </w:rPr>
              <w:t>Jan 15, 2023</w:t>
            </w: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tcBorders>
              <w:right w:val="single" w:sz="8" w:color="CCEEFF"/>
            </w:tcBorders>
            <w:gridSpan w:val="2"/>
            <w:shd w:val="clear" w:color="auto" w:fill="CCEEFF"/>
          </w:tcPr>
          <w:p>
            <w:pPr>
              <w:ind w:left="820"/>
              <w:spacing w:after="0" w:line="95"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6"/>
                <w:szCs w:val="6"/>
                <w:color w:val="auto"/>
              </w:rPr>
              <w:t>(5)(9)</w:t>
            </w: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300,000</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w w:val="72"/>
              </w:rPr>
              <w:t>(5)</w:t>
            </w:r>
          </w:p>
        </w:tc>
        <w:tc>
          <w:tcPr>
            <w:tcW w:w="0" w:type="dxa"/>
            <w:vAlign w:val="bottom"/>
          </w:tcPr>
          <w:p>
            <w:pPr>
              <w:spacing w:after="0"/>
              <w:rPr>
                <w:sz w:val="1"/>
                <w:szCs w:val="1"/>
                <w:color w:val="auto"/>
              </w:rPr>
            </w:pPr>
          </w:p>
        </w:tc>
      </w:tr>
      <w:tr>
        <w:trPr>
          <w:trHeight w:val="95"/>
        </w:trPr>
        <w:tc>
          <w:tcPr>
            <w:tcW w:w="4300" w:type="dxa"/>
            <w:vAlign w:val="bottom"/>
            <w:gridSpan w:val="4"/>
          </w:tcPr>
          <w:p>
            <w:pPr>
              <w:spacing w:after="0" w:line="95" w:lineRule="exact"/>
              <w:rPr>
                <w:sz w:val="20"/>
                <w:szCs w:val="20"/>
                <w:color w:val="auto"/>
              </w:rPr>
            </w:pPr>
            <w:r>
              <w:rPr>
                <w:rFonts w:ascii="Times New Roman" w:cs="Times New Roman" w:eastAsia="Times New Roman" w:hAnsi="Times New Roman"/>
                <w:sz w:val="9"/>
                <w:szCs w:val="9"/>
                <w:color w:val="auto"/>
              </w:rPr>
              <w:t>2024 Term Loan</w:t>
            </w:r>
          </w:p>
        </w:tc>
        <w:tc>
          <w:tcPr>
            <w:tcW w:w="1300" w:type="dxa"/>
            <w:vAlign w:val="bottom"/>
            <w:gridSpan w:val="3"/>
          </w:tcPr>
          <w:p>
            <w:pPr>
              <w:ind w:left="740"/>
              <w:spacing w:after="0" w:line="95" w:lineRule="exact"/>
              <w:rPr>
                <w:sz w:val="20"/>
                <w:szCs w:val="20"/>
                <w:color w:val="auto"/>
              </w:rPr>
            </w:pPr>
            <w:r>
              <w:rPr>
                <w:rFonts w:ascii="Times New Roman" w:cs="Times New Roman" w:eastAsia="Times New Roman" w:hAnsi="Times New Roman"/>
                <w:sz w:val="9"/>
                <w:szCs w:val="9"/>
                <w:color w:val="auto"/>
              </w:rPr>
              <w:t xml:space="preserve">Various </w:t>
            </w:r>
            <w:r>
              <w:rPr>
                <w:rFonts w:ascii="Times New Roman" w:cs="Times New Roman" w:eastAsia="Times New Roman" w:hAnsi="Times New Roman"/>
                <w:sz w:val="6"/>
                <w:szCs w:val="6"/>
                <w:color w:val="auto"/>
              </w:rPr>
              <w:t>(3)(4)</w:t>
            </w:r>
          </w:p>
        </w:tc>
        <w:tc>
          <w:tcPr>
            <w:tcW w:w="800" w:type="dxa"/>
            <w:vAlign w:val="bottom"/>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w w:val="96"/>
              </w:rPr>
              <w:t>Jan 24, 2023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537,470</w:t>
            </w:r>
          </w:p>
        </w:tc>
        <w:tc>
          <w:tcPr>
            <w:tcW w:w="240" w:type="dxa"/>
            <w:vAlign w:val="bottom"/>
          </w:tcPr>
          <w:p>
            <w:pPr>
              <w:spacing w:after="0"/>
              <w:rPr>
                <w:sz w:val="20"/>
                <w:szCs w:val="20"/>
                <w:color w:val="auto"/>
              </w:rPr>
            </w:pPr>
            <w:r>
              <w:rPr>
                <w:rFonts w:ascii="Times New Roman" w:cs="Times New Roman" w:eastAsia="Times New Roman" w:hAnsi="Times New Roman"/>
                <w:sz w:val="7"/>
                <w:szCs w:val="7"/>
                <w:color w:val="auto"/>
              </w:rPr>
              <w:t>(5)(12)</w:t>
            </w:r>
          </w:p>
        </w:tc>
        <w:tc>
          <w:tcPr>
            <w:tcW w:w="8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513,205</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7"/>
                <w:szCs w:val="7"/>
                <w:color w:val="auto"/>
                <w:w w:val="72"/>
              </w:rPr>
              <w:t>(5)</w:t>
            </w:r>
          </w:p>
        </w:tc>
        <w:tc>
          <w:tcPr>
            <w:tcW w:w="0" w:type="dxa"/>
            <w:vAlign w:val="bottom"/>
          </w:tcPr>
          <w:p>
            <w:pPr>
              <w:spacing w:after="0"/>
              <w:rPr>
                <w:sz w:val="1"/>
                <w:szCs w:val="1"/>
                <w:color w:val="auto"/>
              </w:rPr>
            </w:pPr>
          </w:p>
        </w:tc>
      </w:tr>
      <w:tr>
        <w:trPr>
          <w:trHeight w:val="95"/>
        </w:trPr>
        <w:tc>
          <w:tcPr>
            <w:tcW w:w="4300" w:type="dxa"/>
            <w:vAlign w:val="bottom"/>
            <w:gridSpan w:val="4"/>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Deferred financing costs, net</w:t>
            </w: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0" w:type="dxa"/>
            <w:vAlign w:val="bottom"/>
            <w:tcBorders>
              <w:right w:val="single" w:sz="8" w:color="CCEEFF"/>
            </w:tcBorders>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940" w:type="dxa"/>
            <w:vAlign w:val="bottom"/>
            <w:tcBorders>
              <w:bottom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(890)</w:t>
            </w:r>
          </w:p>
        </w:tc>
        <w:tc>
          <w:tcPr>
            <w:tcW w:w="240" w:type="dxa"/>
            <w:vAlign w:val="bottom"/>
            <w:tcBorders>
              <w:right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(2,986)</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4300" w:type="dxa"/>
            <w:vAlign w:val="bottom"/>
            <w:gridSpan w:val="4"/>
          </w:tcPr>
          <w:p>
            <w:pPr>
              <w:spacing w:after="0" w:line="85" w:lineRule="exact"/>
              <w:rPr>
                <w:sz w:val="20"/>
                <w:szCs w:val="20"/>
                <w:color w:val="auto"/>
              </w:rPr>
            </w:pPr>
            <w:r>
              <w:rPr>
                <w:rFonts w:ascii="Times New Roman" w:cs="Times New Roman" w:eastAsia="Times New Roman" w:hAnsi="Times New Roman"/>
                <w:sz w:val="9"/>
                <w:szCs w:val="9"/>
                <w:b w:val="1"/>
                <w:bCs w:val="1"/>
                <w:color w:val="auto"/>
              </w:rPr>
              <w:t>Unsecured term loans, net</w:t>
            </w: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536,580</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810,219</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80" w:type="dxa"/>
            <w:vAlign w:val="bottom"/>
            <w:tcBorders>
              <w:top w:val="single" w:sz="8" w:color="CCEEFF"/>
            </w:tcBorders>
            <w:gridSpan w:val="3"/>
            <w:shd w:val="clear" w:color="auto" w:fill="CCEEFF"/>
          </w:tcPr>
          <w:p>
            <w:pPr>
              <w:ind w:left="60"/>
              <w:spacing w:after="0" w:line="85" w:lineRule="exact"/>
              <w:rPr>
                <w:sz w:val="20"/>
                <w:szCs w:val="20"/>
                <w:color w:val="auto"/>
              </w:rPr>
            </w:pPr>
            <w:r>
              <w:rPr>
                <w:rFonts w:ascii="Times New Roman" w:cs="Times New Roman" w:eastAsia="Times New Roman" w:hAnsi="Times New Roman"/>
                <w:sz w:val="9"/>
                <w:szCs w:val="9"/>
                <w:b w:val="1"/>
                <w:bCs w:val="1"/>
                <w:color w:val="auto"/>
              </w:rPr>
              <w:t>Unsecured senior notes:</w:t>
            </w:r>
          </w:p>
        </w:tc>
        <w:tc>
          <w:tcPr>
            <w:tcW w:w="8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right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right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tcPr>
          <w:p>
            <w:pPr>
              <w:ind w:left="140"/>
              <w:spacing w:after="0" w:line="95" w:lineRule="exact"/>
              <w:rPr>
                <w:sz w:val="20"/>
                <w:szCs w:val="20"/>
                <w:color w:val="auto"/>
              </w:rPr>
            </w:pPr>
            <w:r>
              <w:rPr>
                <w:rFonts w:ascii="Times New Roman" w:cs="Times New Roman" w:eastAsia="Times New Roman" w:hAnsi="Times New Roman"/>
                <w:sz w:val="9"/>
                <w:szCs w:val="9"/>
                <w:color w:val="auto"/>
              </w:rPr>
              <w:t>Senior Notes:</w:t>
            </w: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shd w:val="clear" w:color="auto" w:fill="CCEEFF"/>
          </w:tcPr>
          <w:p>
            <w:pPr>
              <w:ind w:left="300"/>
              <w:spacing w:after="0" w:line="95" w:lineRule="exact"/>
              <w:rPr>
                <w:sz w:val="20"/>
                <w:szCs w:val="20"/>
                <w:color w:val="auto"/>
              </w:rPr>
            </w:pPr>
            <w:r>
              <w:rPr>
                <w:rFonts w:ascii="Times New Roman" w:cs="Times New Roman" w:eastAsia="Times New Roman" w:hAnsi="Times New Roman"/>
                <w:sz w:val="9"/>
                <w:szCs w:val="9"/>
                <w:color w:val="auto"/>
              </w:rPr>
              <w:t>3.950% notes due 2022</w:t>
            </w:r>
          </w:p>
        </w:tc>
        <w:tc>
          <w:tcPr>
            <w:tcW w:w="8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3.950 %</w:t>
            </w:r>
          </w:p>
        </w:tc>
        <w:tc>
          <w:tcPr>
            <w:tcW w:w="800" w:type="dxa"/>
            <w:vAlign w:val="bottom"/>
            <w:tcBorders>
              <w:right w:val="single" w:sz="8" w:color="CCEEFF"/>
            </w:tcBorders>
            <w:shd w:val="clear" w:color="auto" w:fill="CCEEFF"/>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rPr>
              <w:t>Jul 1, 2022</w:t>
            </w: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(10)</w:t>
            </w: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500,000</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tcPr>
          <w:p>
            <w:pPr>
              <w:ind w:left="300"/>
              <w:spacing w:after="0" w:line="95" w:lineRule="exact"/>
              <w:rPr>
                <w:sz w:val="20"/>
                <w:szCs w:val="20"/>
                <w:color w:val="auto"/>
              </w:rPr>
            </w:pPr>
            <w:r>
              <w:rPr>
                <w:rFonts w:ascii="Times New Roman" w:cs="Times New Roman" w:eastAsia="Times New Roman" w:hAnsi="Times New Roman"/>
                <w:sz w:val="9"/>
                <w:szCs w:val="9"/>
                <w:color w:val="auto"/>
              </w:rPr>
              <w:t>Floating rate notes due 2022</w:t>
            </w:r>
          </w:p>
        </w:tc>
        <w:tc>
          <w:tcPr>
            <w:tcW w:w="8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EURIBOR +</w:t>
            </w:r>
          </w:p>
        </w:tc>
        <w:tc>
          <w:tcPr>
            <w:tcW w:w="500" w:type="dxa"/>
            <w:vAlign w:val="bottom"/>
            <w:gridSpan w:val="2"/>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0.500 %</w:t>
            </w:r>
          </w:p>
        </w:tc>
        <w:tc>
          <w:tcPr>
            <w:tcW w:w="800" w:type="dxa"/>
            <w:vAlign w:val="bottom"/>
          </w:tcPr>
          <w:p>
            <w:pPr>
              <w:jc w:val="center"/>
              <w:ind w:left="16"/>
              <w:spacing w:after="0" w:line="95" w:lineRule="exact"/>
              <w:rPr>
                <w:sz w:val="20"/>
                <w:szCs w:val="20"/>
                <w:color w:val="auto"/>
              </w:rPr>
            </w:pPr>
            <w:r>
              <w:rPr>
                <w:rFonts w:ascii="Times New Roman" w:cs="Times New Roman" w:eastAsia="Times New Roman" w:hAnsi="Times New Roman"/>
                <w:sz w:val="9"/>
                <w:szCs w:val="9"/>
                <w:color w:val="auto"/>
                <w:w w:val="97"/>
              </w:rPr>
              <w:t>Sep 23, 2022</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366,480</w:t>
            </w:r>
          </w:p>
        </w:tc>
        <w:tc>
          <w:tcPr>
            <w:tcW w:w="240" w:type="dxa"/>
            <w:vAlign w:val="bottom"/>
          </w:tcPr>
          <w:p>
            <w:pPr>
              <w:spacing w:after="0"/>
              <w:rPr>
                <w:sz w:val="20"/>
                <w:szCs w:val="20"/>
                <w:color w:val="auto"/>
              </w:rPr>
            </w:pPr>
            <w:r>
              <w:rPr>
                <w:rFonts w:ascii="Times New Roman" w:cs="Times New Roman" w:eastAsia="Times New Roman" w:hAnsi="Times New Roman"/>
                <w:sz w:val="7"/>
                <w:szCs w:val="7"/>
                <w:color w:val="auto"/>
              </w:rPr>
              <w:t>(6)</w:t>
            </w:r>
          </w:p>
        </w:tc>
        <w:tc>
          <w:tcPr>
            <w:tcW w:w="8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shd w:val="clear" w:color="auto" w:fill="CCEEFF"/>
          </w:tcPr>
          <w:p>
            <w:pPr>
              <w:ind w:left="300"/>
              <w:spacing w:after="0" w:line="95" w:lineRule="exact"/>
              <w:rPr>
                <w:sz w:val="20"/>
                <w:szCs w:val="20"/>
                <w:color w:val="auto"/>
              </w:rPr>
            </w:pPr>
            <w:r>
              <w:rPr>
                <w:rFonts w:ascii="Times New Roman" w:cs="Times New Roman" w:eastAsia="Times New Roman" w:hAnsi="Times New Roman"/>
                <w:sz w:val="9"/>
                <w:szCs w:val="9"/>
                <w:color w:val="auto"/>
              </w:rPr>
              <w:t>3.625% notes due 2022</w:t>
            </w:r>
          </w:p>
        </w:tc>
        <w:tc>
          <w:tcPr>
            <w:tcW w:w="8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3.625 %</w:t>
            </w:r>
          </w:p>
        </w:tc>
        <w:tc>
          <w:tcPr>
            <w:tcW w:w="800" w:type="dxa"/>
            <w:vAlign w:val="bottom"/>
            <w:tcBorders>
              <w:right w:val="single" w:sz="8" w:color="CCEEFF"/>
            </w:tcBorders>
            <w:shd w:val="clear" w:color="auto" w:fill="CCEEFF"/>
          </w:tcPr>
          <w:p>
            <w:pPr>
              <w:jc w:val="center"/>
              <w:ind w:left="16"/>
              <w:spacing w:after="0" w:line="95" w:lineRule="exact"/>
              <w:rPr>
                <w:sz w:val="20"/>
                <w:szCs w:val="20"/>
                <w:color w:val="auto"/>
              </w:rPr>
            </w:pPr>
            <w:r>
              <w:rPr>
                <w:rFonts w:ascii="Times New Roman" w:cs="Times New Roman" w:eastAsia="Times New Roman" w:hAnsi="Times New Roman"/>
                <w:sz w:val="9"/>
                <w:szCs w:val="9"/>
                <w:color w:val="auto"/>
                <w:w w:val="99"/>
              </w:rPr>
              <w:t>Oct 1, 2022</w:t>
            </w: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(10)</w:t>
            </w: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300,000</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tcPr>
          <w:p>
            <w:pPr>
              <w:ind w:left="300"/>
              <w:spacing w:after="0" w:line="95" w:lineRule="exact"/>
              <w:rPr>
                <w:sz w:val="20"/>
                <w:szCs w:val="20"/>
                <w:color w:val="auto"/>
              </w:rPr>
            </w:pPr>
            <w:r>
              <w:rPr>
                <w:rFonts w:ascii="Times New Roman" w:cs="Times New Roman" w:eastAsia="Times New Roman" w:hAnsi="Times New Roman"/>
                <w:sz w:val="9"/>
                <w:szCs w:val="9"/>
                <w:color w:val="auto"/>
              </w:rPr>
              <w:t>0.125% notes due 2022</w:t>
            </w:r>
          </w:p>
        </w:tc>
        <w:tc>
          <w:tcPr>
            <w:tcW w:w="800" w:type="dxa"/>
            <w:vAlign w:val="bottom"/>
          </w:tcPr>
          <w:p>
            <w:pPr>
              <w:spacing w:after="0"/>
              <w:rPr>
                <w:sz w:val="8"/>
                <w:szCs w:val="8"/>
                <w:color w:val="auto"/>
              </w:rPr>
            </w:pPr>
          </w:p>
        </w:tc>
        <w:tc>
          <w:tcPr>
            <w:tcW w:w="500" w:type="dxa"/>
            <w:vAlign w:val="bottom"/>
            <w:gridSpan w:val="2"/>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0.125 %</w:t>
            </w:r>
          </w:p>
        </w:tc>
        <w:tc>
          <w:tcPr>
            <w:tcW w:w="800" w:type="dxa"/>
            <w:vAlign w:val="bottom"/>
          </w:tcPr>
          <w:p>
            <w:pPr>
              <w:jc w:val="center"/>
              <w:ind w:left="16"/>
              <w:spacing w:after="0" w:line="95" w:lineRule="exact"/>
              <w:rPr>
                <w:sz w:val="20"/>
                <w:szCs w:val="20"/>
                <w:color w:val="auto"/>
              </w:rPr>
            </w:pPr>
            <w:r>
              <w:rPr>
                <w:rFonts w:ascii="Times New Roman" w:cs="Times New Roman" w:eastAsia="Times New Roman" w:hAnsi="Times New Roman"/>
                <w:sz w:val="9"/>
                <w:szCs w:val="9"/>
                <w:color w:val="auto"/>
                <w:w w:val="98"/>
              </w:rPr>
              <w:t>Oct 15, 2022</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366,480</w:t>
            </w:r>
          </w:p>
        </w:tc>
        <w:tc>
          <w:tcPr>
            <w:tcW w:w="240" w:type="dxa"/>
            <w:vAlign w:val="bottom"/>
          </w:tcPr>
          <w:p>
            <w:pPr>
              <w:spacing w:after="0"/>
              <w:rPr>
                <w:sz w:val="20"/>
                <w:szCs w:val="20"/>
                <w:color w:val="auto"/>
              </w:rPr>
            </w:pPr>
            <w:r>
              <w:rPr>
                <w:rFonts w:ascii="Times New Roman" w:cs="Times New Roman" w:eastAsia="Times New Roman" w:hAnsi="Times New Roman"/>
                <w:sz w:val="7"/>
                <w:szCs w:val="7"/>
                <w:color w:val="auto"/>
              </w:rPr>
              <w:t>(6)</w:t>
            </w:r>
          </w:p>
        </w:tc>
        <w:tc>
          <w:tcPr>
            <w:tcW w:w="8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shd w:val="clear" w:color="auto" w:fill="CCEEFF"/>
          </w:tcPr>
          <w:p>
            <w:pPr>
              <w:ind w:left="300"/>
              <w:spacing w:after="0" w:line="95" w:lineRule="exact"/>
              <w:rPr>
                <w:sz w:val="20"/>
                <w:szCs w:val="20"/>
                <w:color w:val="auto"/>
              </w:rPr>
            </w:pPr>
            <w:r>
              <w:rPr>
                <w:rFonts w:ascii="Times New Roman" w:cs="Times New Roman" w:eastAsia="Times New Roman" w:hAnsi="Times New Roman"/>
                <w:sz w:val="9"/>
                <w:szCs w:val="9"/>
                <w:color w:val="auto"/>
              </w:rPr>
              <w:t>2.750% notes due 2023</w:t>
            </w:r>
          </w:p>
        </w:tc>
        <w:tc>
          <w:tcPr>
            <w:tcW w:w="8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2.750 %</w:t>
            </w:r>
          </w:p>
        </w:tc>
        <w:tc>
          <w:tcPr>
            <w:tcW w:w="800" w:type="dxa"/>
            <w:vAlign w:val="bottom"/>
            <w:tcBorders>
              <w:right w:val="single" w:sz="8" w:color="CCEEFF"/>
            </w:tcBorders>
            <w:shd w:val="clear" w:color="auto" w:fill="CCEEFF"/>
          </w:tcPr>
          <w:p>
            <w:pPr>
              <w:jc w:val="center"/>
              <w:ind w:left="16"/>
              <w:spacing w:after="0" w:line="95" w:lineRule="exact"/>
              <w:rPr>
                <w:sz w:val="20"/>
                <w:szCs w:val="20"/>
                <w:color w:val="auto"/>
              </w:rPr>
            </w:pPr>
            <w:r>
              <w:rPr>
                <w:rFonts w:ascii="Times New Roman" w:cs="Times New Roman" w:eastAsia="Times New Roman" w:hAnsi="Times New Roman"/>
                <w:sz w:val="9"/>
                <w:szCs w:val="9"/>
                <w:color w:val="auto"/>
                <w:w w:val="98"/>
              </w:rPr>
              <w:t>Feb 1, 2023</w:t>
            </w: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350,000</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(13)</w:t>
            </w: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350,000</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tcPr>
          <w:p>
            <w:pPr>
              <w:ind w:left="300"/>
              <w:spacing w:after="0" w:line="95" w:lineRule="exact"/>
              <w:rPr>
                <w:sz w:val="20"/>
                <w:szCs w:val="20"/>
                <w:color w:val="auto"/>
              </w:rPr>
            </w:pPr>
            <w:r>
              <w:rPr>
                <w:rFonts w:ascii="Times New Roman" w:cs="Times New Roman" w:eastAsia="Times New Roman" w:hAnsi="Times New Roman"/>
                <w:sz w:val="9"/>
                <w:szCs w:val="9"/>
                <w:color w:val="auto"/>
              </w:rPr>
              <w:t>4.750% notes due 2023</w:t>
            </w:r>
          </w:p>
        </w:tc>
        <w:tc>
          <w:tcPr>
            <w:tcW w:w="800" w:type="dxa"/>
            <w:vAlign w:val="bottom"/>
          </w:tcPr>
          <w:p>
            <w:pPr>
              <w:spacing w:after="0"/>
              <w:rPr>
                <w:sz w:val="8"/>
                <w:szCs w:val="8"/>
                <w:color w:val="auto"/>
              </w:rPr>
            </w:pPr>
          </w:p>
        </w:tc>
        <w:tc>
          <w:tcPr>
            <w:tcW w:w="500" w:type="dxa"/>
            <w:vAlign w:val="bottom"/>
            <w:gridSpan w:val="2"/>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4.750 %</w:t>
            </w:r>
          </w:p>
        </w:tc>
        <w:tc>
          <w:tcPr>
            <w:tcW w:w="800" w:type="dxa"/>
            <w:vAlign w:val="bottom"/>
          </w:tcPr>
          <w:p>
            <w:pPr>
              <w:jc w:val="center"/>
              <w:ind w:left="16"/>
              <w:spacing w:after="0" w:line="95" w:lineRule="exact"/>
              <w:rPr>
                <w:sz w:val="20"/>
                <w:szCs w:val="20"/>
                <w:color w:val="auto"/>
              </w:rPr>
            </w:pPr>
            <w:r>
              <w:rPr>
                <w:rFonts w:ascii="Times New Roman" w:cs="Times New Roman" w:eastAsia="Times New Roman" w:hAnsi="Times New Roman"/>
                <w:sz w:val="9"/>
                <w:szCs w:val="9"/>
                <w:color w:val="auto"/>
                <w:w w:val="98"/>
              </w:rPr>
              <w:t>Oct 13, 2023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7"/>
                <w:szCs w:val="7"/>
                <w:color w:val="auto"/>
              </w:rPr>
              <w:t>(11)</w:t>
            </w:r>
          </w:p>
        </w:tc>
        <w:tc>
          <w:tcPr>
            <w:tcW w:w="8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397,710</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7"/>
                <w:szCs w:val="7"/>
                <w:color w:val="auto"/>
                <w:w w:val="72"/>
              </w:rPr>
              <w:t>(7)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shd w:val="clear" w:color="auto" w:fill="CCEEFF"/>
          </w:tcPr>
          <w:p>
            <w:pPr>
              <w:ind w:left="300"/>
              <w:spacing w:after="0" w:line="95" w:lineRule="exact"/>
              <w:rPr>
                <w:sz w:val="20"/>
                <w:szCs w:val="20"/>
                <w:color w:val="auto"/>
              </w:rPr>
            </w:pPr>
            <w:r>
              <w:rPr>
                <w:rFonts w:ascii="Times New Roman" w:cs="Times New Roman" w:eastAsia="Times New Roman" w:hAnsi="Times New Roman"/>
                <w:sz w:val="9"/>
                <w:szCs w:val="9"/>
                <w:color w:val="auto"/>
              </w:rPr>
              <w:t>2.625% notes due 2024</w:t>
            </w:r>
          </w:p>
        </w:tc>
        <w:tc>
          <w:tcPr>
            <w:tcW w:w="8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2.625 %</w:t>
            </w:r>
          </w:p>
        </w:tc>
        <w:tc>
          <w:tcPr>
            <w:tcW w:w="800" w:type="dxa"/>
            <w:vAlign w:val="bottom"/>
            <w:tcBorders>
              <w:right w:val="single" w:sz="8" w:color="CCEEFF"/>
            </w:tcBorders>
            <w:shd w:val="clear" w:color="auto" w:fill="CCEEFF"/>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rPr>
              <w:t>Apr 15, 2024</w:t>
            </w: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732,960</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(6)</w:t>
            </w: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672,780</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w w:val="72"/>
              </w:rPr>
              <w:t>(6)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tcPr>
          <w:p>
            <w:pPr>
              <w:ind w:left="300"/>
              <w:spacing w:after="0" w:line="95" w:lineRule="exact"/>
              <w:rPr>
                <w:sz w:val="20"/>
                <w:szCs w:val="20"/>
                <w:color w:val="auto"/>
              </w:rPr>
            </w:pPr>
            <w:r>
              <w:rPr>
                <w:rFonts w:ascii="Times New Roman" w:cs="Times New Roman" w:eastAsia="Times New Roman" w:hAnsi="Times New Roman"/>
                <w:sz w:val="9"/>
                <w:szCs w:val="9"/>
                <w:color w:val="auto"/>
              </w:rPr>
              <w:t>2.750% notes due 2024</w:t>
            </w:r>
          </w:p>
        </w:tc>
        <w:tc>
          <w:tcPr>
            <w:tcW w:w="800" w:type="dxa"/>
            <w:vAlign w:val="bottom"/>
          </w:tcPr>
          <w:p>
            <w:pPr>
              <w:spacing w:after="0"/>
              <w:rPr>
                <w:sz w:val="8"/>
                <w:szCs w:val="8"/>
                <w:color w:val="auto"/>
              </w:rPr>
            </w:pPr>
          </w:p>
        </w:tc>
        <w:tc>
          <w:tcPr>
            <w:tcW w:w="500" w:type="dxa"/>
            <w:vAlign w:val="bottom"/>
            <w:gridSpan w:val="2"/>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2.750 %</w:t>
            </w:r>
          </w:p>
        </w:tc>
        <w:tc>
          <w:tcPr>
            <w:tcW w:w="800" w:type="dxa"/>
            <w:vAlign w:val="bottom"/>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w w:val="99"/>
              </w:rPr>
              <w:t>Jul 19, 2024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341,750</w:t>
            </w:r>
          </w:p>
        </w:tc>
        <w:tc>
          <w:tcPr>
            <w:tcW w:w="240" w:type="dxa"/>
            <w:vAlign w:val="bottom"/>
          </w:tcPr>
          <w:p>
            <w:pPr>
              <w:spacing w:after="0"/>
              <w:rPr>
                <w:sz w:val="20"/>
                <w:szCs w:val="20"/>
                <w:color w:val="auto"/>
              </w:rPr>
            </w:pPr>
            <w:r>
              <w:rPr>
                <w:rFonts w:ascii="Times New Roman" w:cs="Times New Roman" w:eastAsia="Times New Roman" w:hAnsi="Times New Roman"/>
                <w:sz w:val="7"/>
                <w:szCs w:val="7"/>
                <w:color w:val="auto"/>
              </w:rPr>
              <w:t>(7)</w:t>
            </w:r>
          </w:p>
        </w:tc>
        <w:tc>
          <w:tcPr>
            <w:tcW w:w="8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331,425</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7"/>
                <w:szCs w:val="7"/>
                <w:color w:val="auto"/>
                <w:w w:val="72"/>
              </w:rPr>
              <w:t>(7)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shd w:val="clear" w:color="auto" w:fill="CCEEFF"/>
          </w:tcPr>
          <w:p>
            <w:pPr>
              <w:ind w:left="300"/>
              <w:spacing w:after="0" w:line="95" w:lineRule="exact"/>
              <w:rPr>
                <w:sz w:val="20"/>
                <w:szCs w:val="20"/>
                <w:color w:val="auto"/>
              </w:rPr>
            </w:pPr>
            <w:r>
              <w:rPr>
                <w:rFonts w:ascii="Times New Roman" w:cs="Times New Roman" w:eastAsia="Times New Roman" w:hAnsi="Times New Roman"/>
                <w:sz w:val="9"/>
                <w:szCs w:val="9"/>
                <w:color w:val="auto"/>
              </w:rPr>
              <w:t>4.250% notes due 2025</w:t>
            </w:r>
          </w:p>
        </w:tc>
        <w:tc>
          <w:tcPr>
            <w:tcW w:w="8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4.250 %</w:t>
            </w:r>
          </w:p>
        </w:tc>
        <w:tc>
          <w:tcPr>
            <w:tcW w:w="800" w:type="dxa"/>
            <w:vAlign w:val="bottom"/>
            <w:tcBorders>
              <w:right w:val="single" w:sz="8" w:color="CCEEFF"/>
            </w:tcBorders>
            <w:shd w:val="clear" w:color="auto" w:fill="CCEEFF"/>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w w:val="96"/>
              </w:rPr>
              <w:t>Jan 17, 2025</w:t>
            </w: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546,800</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(7)</w:t>
            </w: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530,280</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w w:val="72"/>
              </w:rPr>
              <w:t>(7)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tcPr>
          <w:p>
            <w:pPr>
              <w:ind w:left="300"/>
              <w:spacing w:after="0" w:line="95" w:lineRule="exact"/>
              <w:rPr>
                <w:sz w:val="20"/>
                <w:szCs w:val="20"/>
                <w:color w:val="auto"/>
              </w:rPr>
            </w:pPr>
            <w:r>
              <w:rPr>
                <w:rFonts w:ascii="Times New Roman" w:cs="Times New Roman" w:eastAsia="Times New Roman" w:hAnsi="Times New Roman"/>
                <w:sz w:val="9"/>
                <w:szCs w:val="9"/>
                <w:color w:val="auto"/>
              </w:rPr>
              <w:t>0.625% notes due 2025</w:t>
            </w:r>
          </w:p>
        </w:tc>
        <w:tc>
          <w:tcPr>
            <w:tcW w:w="800" w:type="dxa"/>
            <w:vAlign w:val="bottom"/>
          </w:tcPr>
          <w:p>
            <w:pPr>
              <w:spacing w:after="0"/>
              <w:rPr>
                <w:sz w:val="8"/>
                <w:szCs w:val="8"/>
                <w:color w:val="auto"/>
              </w:rPr>
            </w:pPr>
          </w:p>
        </w:tc>
        <w:tc>
          <w:tcPr>
            <w:tcW w:w="500" w:type="dxa"/>
            <w:vAlign w:val="bottom"/>
            <w:gridSpan w:val="2"/>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0.625 %</w:t>
            </w:r>
          </w:p>
        </w:tc>
        <w:tc>
          <w:tcPr>
            <w:tcW w:w="800" w:type="dxa"/>
            <w:vAlign w:val="bottom"/>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w w:val="99"/>
              </w:rPr>
              <w:t>Jul 15, 2025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794,040</w:t>
            </w:r>
          </w:p>
        </w:tc>
        <w:tc>
          <w:tcPr>
            <w:tcW w:w="240" w:type="dxa"/>
            <w:vAlign w:val="bottom"/>
          </w:tcPr>
          <w:p>
            <w:pPr>
              <w:spacing w:after="0"/>
              <w:rPr>
                <w:sz w:val="20"/>
                <w:szCs w:val="20"/>
                <w:color w:val="auto"/>
              </w:rPr>
            </w:pPr>
            <w:r>
              <w:rPr>
                <w:rFonts w:ascii="Times New Roman" w:cs="Times New Roman" w:eastAsia="Times New Roman" w:hAnsi="Times New Roman"/>
                <w:sz w:val="7"/>
                <w:szCs w:val="7"/>
                <w:color w:val="auto"/>
              </w:rPr>
              <w:t>(6)</w:t>
            </w:r>
          </w:p>
        </w:tc>
        <w:tc>
          <w:tcPr>
            <w:tcW w:w="8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shd w:val="clear" w:color="auto" w:fill="CCEEFF"/>
          </w:tcPr>
          <w:p>
            <w:pPr>
              <w:ind w:left="300"/>
              <w:spacing w:after="0" w:line="95" w:lineRule="exact"/>
              <w:rPr>
                <w:sz w:val="20"/>
                <w:szCs w:val="20"/>
                <w:color w:val="auto"/>
              </w:rPr>
            </w:pPr>
            <w:r>
              <w:rPr>
                <w:rFonts w:ascii="Times New Roman" w:cs="Times New Roman" w:eastAsia="Times New Roman" w:hAnsi="Times New Roman"/>
                <w:sz w:val="9"/>
                <w:szCs w:val="9"/>
                <w:color w:val="auto"/>
              </w:rPr>
              <w:t>4.750% notes due 2025</w:t>
            </w:r>
          </w:p>
        </w:tc>
        <w:tc>
          <w:tcPr>
            <w:tcW w:w="8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4.750 %</w:t>
            </w:r>
          </w:p>
        </w:tc>
        <w:tc>
          <w:tcPr>
            <w:tcW w:w="800" w:type="dxa"/>
            <w:vAlign w:val="bottom"/>
            <w:tcBorders>
              <w:right w:val="single" w:sz="8" w:color="CCEEFF"/>
            </w:tcBorders>
            <w:shd w:val="clear" w:color="auto" w:fill="CCEEFF"/>
          </w:tcPr>
          <w:p>
            <w:pPr>
              <w:jc w:val="center"/>
              <w:ind w:left="16"/>
              <w:spacing w:after="0" w:line="95" w:lineRule="exact"/>
              <w:rPr>
                <w:sz w:val="20"/>
                <w:szCs w:val="20"/>
                <w:color w:val="auto"/>
              </w:rPr>
            </w:pPr>
            <w:r>
              <w:rPr>
                <w:rFonts w:ascii="Times New Roman" w:cs="Times New Roman" w:eastAsia="Times New Roman" w:hAnsi="Times New Roman"/>
                <w:sz w:val="9"/>
                <w:szCs w:val="9"/>
                <w:color w:val="auto"/>
                <w:w w:val="99"/>
              </w:rPr>
              <w:t>Oct 1, 2025</w:t>
            </w: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450,000</w:t>
            </w:r>
          </w:p>
        </w:tc>
        <w:tc>
          <w:tcPr>
            <w:tcW w:w="24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450,000</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tcPr>
          <w:p>
            <w:pPr>
              <w:ind w:left="300"/>
              <w:spacing w:after="0" w:line="95" w:lineRule="exact"/>
              <w:rPr>
                <w:sz w:val="20"/>
                <w:szCs w:val="20"/>
                <w:color w:val="auto"/>
              </w:rPr>
            </w:pPr>
            <w:r>
              <w:rPr>
                <w:rFonts w:ascii="Times New Roman" w:cs="Times New Roman" w:eastAsia="Times New Roman" w:hAnsi="Times New Roman"/>
                <w:sz w:val="9"/>
                <w:szCs w:val="9"/>
                <w:color w:val="auto"/>
              </w:rPr>
              <w:t>2.500% notes due 2026</w:t>
            </w:r>
          </w:p>
        </w:tc>
        <w:tc>
          <w:tcPr>
            <w:tcW w:w="800" w:type="dxa"/>
            <w:vAlign w:val="bottom"/>
          </w:tcPr>
          <w:p>
            <w:pPr>
              <w:spacing w:after="0"/>
              <w:rPr>
                <w:sz w:val="8"/>
                <w:szCs w:val="8"/>
                <w:color w:val="auto"/>
              </w:rPr>
            </w:pPr>
          </w:p>
        </w:tc>
        <w:tc>
          <w:tcPr>
            <w:tcW w:w="500" w:type="dxa"/>
            <w:vAlign w:val="bottom"/>
            <w:gridSpan w:val="2"/>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2.500 %</w:t>
            </w:r>
          </w:p>
        </w:tc>
        <w:tc>
          <w:tcPr>
            <w:tcW w:w="800" w:type="dxa"/>
            <w:vAlign w:val="bottom"/>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w w:val="96"/>
              </w:rPr>
              <w:t>Jan 16, 2026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1,313,219</w:t>
            </w:r>
          </w:p>
        </w:tc>
        <w:tc>
          <w:tcPr>
            <w:tcW w:w="240" w:type="dxa"/>
            <w:vAlign w:val="bottom"/>
          </w:tcPr>
          <w:p>
            <w:pPr>
              <w:spacing w:after="0"/>
              <w:rPr>
                <w:sz w:val="20"/>
                <w:szCs w:val="20"/>
                <w:color w:val="auto"/>
              </w:rPr>
            </w:pPr>
            <w:r>
              <w:rPr>
                <w:rFonts w:ascii="Times New Roman" w:cs="Times New Roman" w:eastAsia="Times New Roman" w:hAnsi="Times New Roman"/>
                <w:sz w:val="7"/>
                <w:szCs w:val="7"/>
                <w:color w:val="auto"/>
              </w:rPr>
              <w:t>(6)</w:t>
            </w:r>
          </w:p>
        </w:tc>
        <w:tc>
          <w:tcPr>
            <w:tcW w:w="8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1,205,398</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7"/>
                <w:szCs w:val="7"/>
                <w:color w:val="auto"/>
                <w:w w:val="72"/>
              </w:rPr>
              <w:t>(6)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shd w:val="clear" w:color="auto" w:fill="CCEEFF"/>
          </w:tcPr>
          <w:p>
            <w:pPr>
              <w:ind w:left="300"/>
              <w:spacing w:after="0" w:line="95" w:lineRule="exact"/>
              <w:rPr>
                <w:sz w:val="20"/>
                <w:szCs w:val="20"/>
                <w:color w:val="auto"/>
              </w:rPr>
            </w:pPr>
            <w:r>
              <w:rPr>
                <w:rFonts w:ascii="Times New Roman" w:cs="Times New Roman" w:eastAsia="Times New Roman" w:hAnsi="Times New Roman"/>
                <w:sz w:val="9"/>
                <w:szCs w:val="9"/>
                <w:color w:val="auto"/>
              </w:rPr>
              <w:t>3.700% notes due 2027</w:t>
            </w:r>
          </w:p>
        </w:tc>
        <w:tc>
          <w:tcPr>
            <w:tcW w:w="8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3.700 %</w:t>
            </w:r>
          </w:p>
        </w:tc>
        <w:tc>
          <w:tcPr>
            <w:tcW w:w="800" w:type="dxa"/>
            <w:vAlign w:val="bottom"/>
            <w:tcBorders>
              <w:right w:val="single" w:sz="8" w:color="CCEEFF"/>
            </w:tcBorders>
            <w:shd w:val="clear" w:color="auto" w:fill="CCEEFF"/>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w w:val="97"/>
              </w:rPr>
              <w:t>Aug 15, 2027</w:t>
            </w: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1,000,000</w:t>
            </w:r>
          </w:p>
        </w:tc>
        <w:tc>
          <w:tcPr>
            <w:tcW w:w="24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1,000,000</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tcPr>
          <w:p>
            <w:pPr>
              <w:ind w:left="300"/>
              <w:spacing w:after="0" w:line="95" w:lineRule="exact"/>
              <w:rPr>
                <w:sz w:val="20"/>
                <w:szCs w:val="20"/>
                <w:color w:val="auto"/>
              </w:rPr>
            </w:pPr>
            <w:r>
              <w:rPr>
                <w:rFonts w:ascii="Times New Roman" w:cs="Times New Roman" w:eastAsia="Times New Roman" w:hAnsi="Times New Roman"/>
                <w:sz w:val="9"/>
                <w:szCs w:val="9"/>
                <w:color w:val="auto"/>
              </w:rPr>
              <w:t>1.125% notes due 2028</w:t>
            </w:r>
          </w:p>
        </w:tc>
        <w:tc>
          <w:tcPr>
            <w:tcW w:w="800" w:type="dxa"/>
            <w:vAlign w:val="bottom"/>
          </w:tcPr>
          <w:p>
            <w:pPr>
              <w:spacing w:after="0"/>
              <w:rPr>
                <w:sz w:val="8"/>
                <w:szCs w:val="8"/>
                <w:color w:val="auto"/>
              </w:rPr>
            </w:pPr>
          </w:p>
        </w:tc>
        <w:tc>
          <w:tcPr>
            <w:tcW w:w="500" w:type="dxa"/>
            <w:vAlign w:val="bottom"/>
            <w:gridSpan w:val="2"/>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1.125 %</w:t>
            </w:r>
          </w:p>
        </w:tc>
        <w:tc>
          <w:tcPr>
            <w:tcW w:w="800" w:type="dxa"/>
            <w:vAlign w:val="bottom"/>
          </w:tcPr>
          <w:p>
            <w:pPr>
              <w:jc w:val="center"/>
              <w:ind w:left="16"/>
              <w:spacing w:after="0" w:line="95" w:lineRule="exact"/>
              <w:rPr>
                <w:sz w:val="20"/>
                <w:szCs w:val="20"/>
                <w:color w:val="auto"/>
              </w:rPr>
            </w:pPr>
            <w:r>
              <w:rPr>
                <w:rFonts w:ascii="Times New Roman" w:cs="Times New Roman" w:eastAsia="Times New Roman" w:hAnsi="Times New Roman"/>
                <w:sz w:val="9"/>
                <w:szCs w:val="9"/>
                <w:color w:val="auto"/>
                <w:w w:val="97"/>
              </w:rPr>
              <w:t>Apr 9, 2028</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610,800</w:t>
            </w:r>
          </w:p>
        </w:tc>
        <w:tc>
          <w:tcPr>
            <w:tcW w:w="240" w:type="dxa"/>
            <w:vAlign w:val="bottom"/>
          </w:tcPr>
          <w:p>
            <w:pPr>
              <w:spacing w:after="0"/>
              <w:rPr>
                <w:sz w:val="20"/>
                <w:szCs w:val="20"/>
                <w:color w:val="auto"/>
              </w:rPr>
            </w:pPr>
            <w:r>
              <w:rPr>
                <w:rFonts w:ascii="Times New Roman" w:cs="Times New Roman" w:eastAsia="Times New Roman" w:hAnsi="Times New Roman"/>
                <w:sz w:val="7"/>
                <w:szCs w:val="7"/>
                <w:color w:val="auto"/>
              </w:rPr>
              <w:t>(6)</w:t>
            </w:r>
          </w:p>
        </w:tc>
        <w:tc>
          <w:tcPr>
            <w:tcW w:w="8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560,650</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7"/>
                <w:szCs w:val="7"/>
                <w:color w:val="auto"/>
                <w:w w:val="72"/>
              </w:rPr>
              <w:t>(6)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shd w:val="clear" w:color="auto" w:fill="CCEEFF"/>
          </w:tcPr>
          <w:p>
            <w:pPr>
              <w:ind w:left="300"/>
              <w:spacing w:after="0" w:line="95" w:lineRule="exact"/>
              <w:rPr>
                <w:sz w:val="20"/>
                <w:szCs w:val="20"/>
                <w:color w:val="auto"/>
              </w:rPr>
            </w:pPr>
            <w:r>
              <w:rPr>
                <w:rFonts w:ascii="Times New Roman" w:cs="Times New Roman" w:eastAsia="Times New Roman" w:hAnsi="Times New Roman"/>
                <w:sz w:val="9"/>
                <w:szCs w:val="9"/>
                <w:color w:val="auto"/>
              </w:rPr>
              <w:t>4.450% notes due 2028</w:t>
            </w:r>
          </w:p>
        </w:tc>
        <w:tc>
          <w:tcPr>
            <w:tcW w:w="8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4.450 %</w:t>
            </w:r>
          </w:p>
        </w:tc>
        <w:tc>
          <w:tcPr>
            <w:tcW w:w="800" w:type="dxa"/>
            <w:vAlign w:val="bottom"/>
            <w:tcBorders>
              <w:right w:val="single" w:sz="8" w:color="CCEEFF"/>
            </w:tcBorders>
            <w:shd w:val="clear" w:color="auto" w:fill="CCEEFF"/>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w w:val="99"/>
              </w:rPr>
              <w:t>Jul 15, 2028</w:t>
            </w: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650,000</w:t>
            </w:r>
          </w:p>
        </w:tc>
        <w:tc>
          <w:tcPr>
            <w:tcW w:w="24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650,000</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tcPr>
          <w:p>
            <w:pPr>
              <w:ind w:left="300"/>
              <w:spacing w:after="0" w:line="95" w:lineRule="exact"/>
              <w:rPr>
                <w:sz w:val="20"/>
                <w:szCs w:val="20"/>
                <w:color w:val="auto"/>
              </w:rPr>
            </w:pPr>
            <w:r>
              <w:rPr>
                <w:rFonts w:ascii="Times New Roman" w:cs="Times New Roman" w:eastAsia="Times New Roman" w:hAnsi="Times New Roman"/>
                <w:sz w:val="9"/>
                <w:szCs w:val="9"/>
                <w:color w:val="auto"/>
              </w:rPr>
              <w:t>3.600% notes due 2029</w:t>
            </w:r>
          </w:p>
        </w:tc>
        <w:tc>
          <w:tcPr>
            <w:tcW w:w="800" w:type="dxa"/>
            <w:vAlign w:val="bottom"/>
          </w:tcPr>
          <w:p>
            <w:pPr>
              <w:spacing w:after="0"/>
              <w:rPr>
                <w:sz w:val="8"/>
                <w:szCs w:val="8"/>
                <w:color w:val="auto"/>
              </w:rPr>
            </w:pPr>
          </w:p>
        </w:tc>
        <w:tc>
          <w:tcPr>
            <w:tcW w:w="500" w:type="dxa"/>
            <w:vAlign w:val="bottom"/>
            <w:gridSpan w:val="2"/>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3.600 %</w:t>
            </w:r>
          </w:p>
        </w:tc>
        <w:tc>
          <w:tcPr>
            <w:tcW w:w="800" w:type="dxa"/>
            <w:vAlign w:val="bottom"/>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rPr>
              <w:t>Jul 1, 2029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900,000</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900,000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shd w:val="clear" w:color="auto" w:fill="CCEEFF"/>
          </w:tcPr>
          <w:p>
            <w:pPr>
              <w:ind w:left="300"/>
              <w:spacing w:after="0" w:line="95" w:lineRule="exact"/>
              <w:rPr>
                <w:sz w:val="20"/>
                <w:szCs w:val="20"/>
                <w:color w:val="auto"/>
              </w:rPr>
            </w:pPr>
            <w:r>
              <w:rPr>
                <w:rFonts w:ascii="Times New Roman" w:cs="Times New Roman" w:eastAsia="Times New Roman" w:hAnsi="Times New Roman"/>
                <w:sz w:val="9"/>
                <w:szCs w:val="9"/>
                <w:color w:val="auto"/>
              </w:rPr>
              <w:t>3.300% notes due 2029</w:t>
            </w:r>
          </w:p>
        </w:tc>
        <w:tc>
          <w:tcPr>
            <w:tcW w:w="8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3.300 %</w:t>
            </w:r>
          </w:p>
        </w:tc>
        <w:tc>
          <w:tcPr>
            <w:tcW w:w="800" w:type="dxa"/>
            <w:vAlign w:val="bottom"/>
            <w:tcBorders>
              <w:right w:val="single" w:sz="8" w:color="CCEEFF"/>
            </w:tcBorders>
            <w:shd w:val="clear" w:color="auto" w:fill="CCEEFF"/>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w w:val="99"/>
              </w:rPr>
              <w:t>Jul 19, 2029</w:t>
            </w: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478,450</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(7)</w:t>
            </w: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463,995</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w w:val="72"/>
              </w:rPr>
              <w:t>(7)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tcPr>
          <w:p>
            <w:pPr>
              <w:ind w:left="300"/>
              <w:spacing w:after="0" w:line="95" w:lineRule="exact"/>
              <w:rPr>
                <w:sz w:val="20"/>
                <w:szCs w:val="20"/>
                <w:color w:val="auto"/>
              </w:rPr>
            </w:pPr>
            <w:r>
              <w:rPr>
                <w:rFonts w:ascii="Times New Roman" w:cs="Times New Roman" w:eastAsia="Times New Roman" w:hAnsi="Times New Roman"/>
                <w:sz w:val="9"/>
                <w:szCs w:val="9"/>
                <w:color w:val="auto"/>
              </w:rPr>
              <w:t>1.500% notes due 2030</w:t>
            </w:r>
          </w:p>
        </w:tc>
        <w:tc>
          <w:tcPr>
            <w:tcW w:w="800" w:type="dxa"/>
            <w:vAlign w:val="bottom"/>
          </w:tcPr>
          <w:p>
            <w:pPr>
              <w:spacing w:after="0"/>
              <w:rPr>
                <w:sz w:val="8"/>
                <w:szCs w:val="8"/>
                <w:color w:val="auto"/>
              </w:rPr>
            </w:pPr>
          </w:p>
        </w:tc>
        <w:tc>
          <w:tcPr>
            <w:tcW w:w="500" w:type="dxa"/>
            <w:vAlign w:val="bottom"/>
            <w:gridSpan w:val="2"/>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1.500 %</w:t>
            </w:r>
          </w:p>
        </w:tc>
        <w:tc>
          <w:tcPr>
            <w:tcW w:w="800" w:type="dxa"/>
            <w:vAlign w:val="bottom"/>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w w:val="98"/>
              </w:rPr>
              <w:t>Mar 15, 2030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916,200</w:t>
            </w:r>
          </w:p>
        </w:tc>
        <w:tc>
          <w:tcPr>
            <w:tcW w:w="240" w:type="dxa"/>
            <w:vAlign w:val="bottom"/>
          </w:tcPr>
          <w:p>
            <w:pPr>
              <w:spacing w:after="0"/>
              <w:rPr>
                <w:sz w:val="20"/>
                <w:szCs w:val="20"/>
                <w:color w:val="auto"/>
              </w:rPr>
            </w:pPr>
            <w:r>
              <w:rPr>
                <w:rFonts w:ascii="Times New Roman" w:cs="Times New Roman" w:eastAsia="Times New Roman" w:hAnsi="Times New Roman"/>
                <w:sz w:val="7"/>
                <w:szCs w:val="7"/>
                <w:color w:val="auto"/>
              </w:rPr>
              <w:t>(6)</w:t>
            </w:r>
          </w:p>
        </w:tc>
        <w:tc>
          <w:tcPr>
            <w:tcW w:w="8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shd w:val="clear" w:color="auto" w:fill="CCEEFF"/>
          </w:tcPr>
          <w:p>
            <w:pPr>
              <w:ind w:left="300"/>
              <w:spacing w:after="0" w:line="95" w:lineRule="exact"/>
              <w:rPr>
                <w:sz w:val="20"/>
                <w:szCs w:val="20"/>
                <w:color w:val="auto"/>
              </w:rPr>
            </w:pPr>
            <w:r>
              <w:rPr>
                <w:rFonts w:ascii="Times New Roman" w:cs="Times New Roman" w:eastAsia="Times New Roman" w:hAnsi="Times New Roman"/>
                <w:sz w:val="9"/>
                <w:szCs w:val="9"/>
                <w:color w:val="auto"/>
              </w:rPr>
              <w:t>3.750% notes due 2030</w:t>
            </w:r>
          </w:p>
        </w:tc>
        <w:tc>
          <w:tcPr>
            <w:tcW w:w="8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3.750 %</w:t>
            </w:r>
          </w:p>
        </w:tc>
        <w:tc>
          <w:tcPr>
            <w:tcW w:w="800" w:type="dxa"/>
            <w:vAlign w:val="bottom"/>
            <w:tcBorders>
              <w:right w:val="single" w:sz="8" w:color="CCEEFF"/>
            </w:tcBorders>
            <w:shd w:val="clear" w:color="auto" w:fill="CCEEFF"/>
          </w:tcPr>
          <w:p>
            <w:pPr>
              <w:jc w:val="center"/>
              <w:ind w:left="16"/>
              <w:spacing w:after="0" w:line="95" w:lineRule="exact"/>
              <w:rPr>
                <w:sz w:val="20"/>
                <w:szCs w:val="20"/>
                <w:color w:val="auto"/>
              </w:rPr>
            </w:pPr>
            <w:r>
              <w:rPr>
                <w:rFonts w:ascii="Times New Roman" w:cs="Times New Roman" w:eastAsia="Times New Roman" w:hAnsi="Times New Roman"/>
                <w:sz w:val="9"/>
                <w:szCs w:val="9"/>
                <w:color w:val="auto"/>
                <w:w w:val="98"/>
              </w:rPr>
              <w:t>Oct 17, 2030</w:t>
            </w: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751,850</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(7)</w:t>
            </w: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729,135</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w w:val="72"/>
              </w:rPr>
              <w:t>(7)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tcPr>
          <w:p>
            <w:pPr>
              <w:ind w:left="300"/>
              <w:spacing w:after="0" w:line="95" w:lineRule="exact"/>
              <w:rPr>
                <w:sz w:val="20"/>
                <w:szCs w:val="20"/>
                <w:color w:val="auto"/>
              </w:rPr>
            </w:pPr>
            <w:r>
              <w:rPr>
                <w:rFonts w:ascii="Times New Roman" w:cs="Times New Roman" w:eastAsia="Times New Roman" w:hAnsi="Times New Roman"/>
                <w:sz w:val="9"/>
                <w:szCs w:val="9"/>
                <w:color w:val="auto"/>
              </w:rPr>
              <w:t>1.250% notes due 2031</w:t>
            </w:r>
          </w:p>
        </w:tc>
        <w:tc>
          <w:tcPr>
            <w:tcW w:w="800" w:type="dxa"/>
            <w:vAlign w:val="bottom"/>
          </w:tcPr>
          <w:p>
            <w:pPr>
              <w:spacing w:after="0"/>
              <w:rPr>
                <w:sz w:val="8"/>
                <w:szCs w:val="8"/>
                <w:color w:val="auto"/>
              </w:rPr>
            </w:pPr>
          </w:p>
        </w:tc>
        <w:tc>
          <w:tcPr>
            <w:tcW w:w="500" w:type="dxa"/>
            <w:vAlign w:val="bottom"/>
            <w:gridSpan w:val="2"/>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1.250 %</w:t>
            </w:r>
          </w:p>
        </w:tc>
        <w:tc>
          <w:tcPr>
            <w:tcW w:w="800" w:type="dxa"/>
            <w:vAlign w:val="bottom"/>
          </w:tcPr>
          <w:p>
            <w:pPr>
              <w:jc w:val="center"/>
              <w:ind w:left="16"/>
              <w:spacing w:after="0" w:line="95" w:lineRule="exact"/>
              <w:rPr>
                <w:sz w:val="20"/>
                <w:szCs w:val="20"/>
                <w:color w:val="auto"/>
              </w:rPr>
            </w:pPr>
            <w:r>
              <w:rPr>
                <w:rFonts w:ascii="Times New Roman" w:cs="Times New Roman" w:eastAsia="Times New Roman" w:hAnsi="Times New Roman"/>
                <w:sz w:val="9"/>
                <w:szCs w:val="9"/>
                <w:color w:val="auto"/>
                <w:w w:val="98"/>
              </w:rPr>
              <w:t>Feb 1, 2031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610,800</w:t>
            </w:r>
          </w:p>
        </w:tc>
        <w:tc>
          <w:tcPr>
            <w:tcW w:w="240" w:type="dxa"/>
            <w:vAlign w:val="bottom"/>
          </w:tcPr>
          <w:p>
            <w:pPr>
              <w:spacing w:after="0"/>
              <w:rPr>
                <w:sz w:val="20"/>
                <w:szCs w:val="20"/>
                <w:color w:val="auto"/>
              </w:rPr>
            </w:pPr>
            <w:r>
              <w:rPr>
                <w:rFonts w:ascii="Times New Roman" w:cs="Times New Roman" w:eastAsia="Times New Roman" w:hAnsi="Times New Roman"/>
                <w:sz w:val="7"/>
                <w:szCs w:val="7"/>
                <w:color w:val="auto"/>
              </w:rPr>
              <w:t>(6)</w:t>
            </w:r>
          </w:p>
        </w:tc>
        <w:tc>
          <w:tcPr>
            <w:tcW w:w="8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shd w:val="clear" w:color="auto" w:fill="CCEEFF"/>
          </w:tcPr>
          <w:p>
            <w:pPr>
              <w:ind w:left="300"/>
              <w:spacing w:after="0" w:line="95" w:lineRule="exact"/>
              <w:rPr>
                <w:sz w:val="20"/>
                <w:szCs w:val="20"/>
                <w:color w:val="auto"/>
              </w:rPr>
            </w:pPr>
            <w:r>
              <w:rPr>
                <w:rFonts w:ascii="Times New Roman" w:cs="Times New Roman" w:eastAsia="Times New Roman" w:hAnsi="Times New Roman"/>
                <w:sz w:val="9"/>
                <w:szCs w:val="9"/>
                <w:color w:val="auto"/>
              </w:rPr>
              <w:t>1.000% notes due 2032</w:t>
            </w:r>
          </w:p>
        </w:tc>
        <w:tc>
          <w:tcPr>
            <w:tcW w:w="8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1.000 %</w:t>
            </w:r>
          </w:p>
        </w:tc>
        <w:tc>
          <w:tcPr>
            <w:tcW w:w="800" w:type="dxa"/>
            <w:vAlign w:val="bottom"/>
            <w:tcBorders>
              <w:right w:val="single" w:sz="8" w:color="CCEEFF"/>
            </w:tcBorders>
            <w:shd w:val="clear" w:color="auto" w:fill="CCEEFF"/>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w w:val="96"/>
              </w:rPr>
              <w:t>Jan 15, 2032</w:t>
            </w: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916,200</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(6)</w:t>
            </w: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Borders>
              <w:bottom w:val="single" w:sz="8" w:color="CCEEFF"/>
            </w:tcBorders>
            <w:gridSpan w:val="3"/>
          </w:tcPr>
          <w:p>
            <w:pPr>
              <w:ind w:left="300"/>
              <w:spacing w:after="0" w:line="95" w:lineRule="exact"/>
              <w:rPr>
                <w:sz w:val="20"/>
                <w:szCs w:val="20"/>
                <w:color w:val="auto"/>
              </w:rPr>
            </w:pPr>
            <w:r>
              <w:rPr>
                <w:rFonts w:ascii="Times New Roman" w:cs="Times New Roman" w:eastAsia="Times New Roman" w:hAnsi="Times New Roman"/>
                <w:sz w:val="9"/>
                <w:szCs w:val="9"/>
                <w:color w:val="auto"/>
              </w:rPr>
              <w:t>Unamortized discounts, net of premiums</w:t>
            </w:r>
          </w:p>
        </w:tc>
        <w:tc>
          <w:tcPr>
            <w:tcW w:w="800" w:type="dxa"/>
            <w:vAlign w:val="bottom"/>
            <w:tcBorders>
              <w:bottom w:val="single" w:sz="8" w:color="CCEEFF"/>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(34,988)</w:t>
            </w:r>
          </w:p>
        </w:tc>
        <w:tc>
          <w:tcPr>
            <w:tcW w:w="24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(16,145)</w:t>
            </w:r>
          </w:p>
        </w:tc>
        <w:tc>
          <w:tcPr>
            <w:tcW w:w="1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80" w:type="dxa"/>
            <w:vAlign w:val="bottom"/>
            <w:gridSpan w:val="3"/>
            <w:shd w:val="clear" w:color="auto" w:fill="CCEEFF"/>
          </w:tcPr>
          <w:p>
            <w:pPr>
              <w:ind w:left="360"/>
              <w:spacing w:after="0" w:line="85" w:lineRule="exact"/>
              <w:rPr>
                <w:sz w:val="20"/>
                <w:szCs w:val="20"/>
                <w:color w:val="auto"/>
              </w:rPr>
            </w:pPr>
            <w:r>
              <w:rPr>
                <w:rFonts w:ascii="Times New Roman" w:cs="Times New Roman" w:eastAsia="Times New Roman" w:hAnsi="Times New Roman"/>
                <w:sz w:val="9"/>
                <w:szCs w:val="9"/>
                <w:color w:val="auto"/>
              </w:rPr>
              <w:t>Total senior notes, net of discount</w:t>
            </w:r>
          </w:p>
        </w:tc>
        <w:tc>
          <w:tcPr>
            <w:tcW w:w="8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12,061,041</w:t>
            </w:r>
          </w:p>
        </w:tc>
        <w:tc>
          <w:tcPr>
            <w:tcW w:w="2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9,025,228</w:t>
            </w: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Borders>
              <w:bottom w:val="single" w:sz="8" w:color="CCEEFF"/>
            </w:tcBorders>
            <w:gridSpan w:val="3"/>
          </w:tcPr>
          <w:p>
            <w:pPr>
              <w:ind w:left="360"/>
              <w:spacing w:after="0" w:line="95" w:lineRule="exact"/>
              <w:rPr>
                <w:sz w:val="20"/>
                <w:szCs w:val="20"/>
                <w:color w:val="auto"/>
              </w:rPr>
            </w:pPr>
            <w:r>
              <w:rPr>
                <w:rFonts w:ascii="Times New Roman" w:cs="Times New Roman" w:eastAsia="Times New Roman" w:hAnsi="Times New Roman"/>
                <w:sz w:val="9"/>
                <w:szCs w:val="9"/>
                <w:color w:val="auto"/>
              </w:rPr>
              <w:t>Deferred financing costs, net</w:t>
            </w:r>
          </w:p>
        </w:tc>
        <w:tc>
          <w:tcPr>
            <w:tcW w:w="800" w:type="dxa"/>
            <w:vAlign w:val="bottom"/>
            <w:tcBorders>
              <w:bottom w:val="single" w:sz="8" w:color="CCEEFF"/>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(64,031)</w:t>
            </w:r>
          </w:p>
        </w:tc>
        <w:tc>
          <w:tcPr>
            <w:tcW w:w="24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(52,038)</w:t>
            </w:r>
          </w:p>
        </w:tc>
        <w:tc>
          <w:tcPr>
            <w:tcW w:w="1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80" w:type="dxa"/>
            <w:vAlign w:val="bottom"/>
            <w:gridSpan w:val="3"/>
            <w:shd w:val="clear" w:color="auto" w:fill="CCEEFF"/>
          </w:tcPr>
          <w:p>
            <w:pPr>
              <w:ind w:left="360"/>
              <w:spacing w:after="0" w:line="85" w:lineRule="exact"/>
              <w:rPr>
                <w:sz w:val="20"/>
                <w:szCs w:val="20"/>
                <w:color w:val="auto"/>
              </w:rPr>
            </w:pPr>
            <w:r>
              <w:rPr>
                <w:rFonts w:ascii="Times New Roman" w:cs="Times New Roman" w:eastAsia="Times New Roman" w:hAnsi="Times New Roman"/>
                <w:sz w:val="9"/>
                <w:szCs w:val="9"/>
                <w:b w:val="1"/>
                <w:bCs w:val="1"/>
                <w:color w:val="auto"/>
              </w:rPr>
              <w:t>Total unsecured senior notes, net of discount and deferred financing costs</w:t>
            </w:r>
          </w:p>
        </w:tc>
        <w:tc>
          <w:tcPr>
            <w:tcW w:w="8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11,997,010</w:t>
            </w:r>
          </w:p>
        </w:tc>
        <w:tc>
          <w:tcPr>
            <w:tcW w:w="240" w:type="dxa"/>
            <w:vAlign w:val="bottom"/>
            <w:tcBorders>
              <w:right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8,973,190</w:t>
            </w: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22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4280" w:type="dxa"/>
            <w:vAlign w:val="bottom"/>
            <w:gridSpan w:val="3"/>
            <w:shd w:val="clear" w:color="auto" w:fill="CCEEFF"/>
          </w:tcPr>
          <w:p>
            <w:pPr>
              <w:spacing w:after="0" w:line="95" w:lineRule="exact"/>
              <w:rPr>
                <w:sz w:val="20"/>
                <w:szCs w:val="20"/>
                <w:color w:val="auto"/>
              </w:rPr>
            </w:pPr>
            <w:r>
              <w:rPr>
                <w:rFonts w:ascii="Times New Roman" w:cs="Times New Roman" w:eastAsia="Times New Roman" w:hAnsi="Times New Roman"/>
                <w:sz w:val="9"/>
                <w:szCs w:val="9"/>
                <w:b w:val="1"/>
                <w:bCs w:val="1"/>
                <w:color w:val="auto"/>
              </w:rPr>
              <w:t>Secured Debt:</w:t>
            </w: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0" w:type="dxa"/>
            <w:vAlign w:val="bottom"/>
            <w:tcBorders>
              <w:right w:val="single" w:sz="8" w:color="CCEEFF"/>
            </w:tcBorders>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tcPr>
          <w:p>
            <w:pPr>
              <w:ind w:left="140"/>
              <w:spacing w:after="0" w:line="95" w:lineRule="exact"/>
              <w:rPr>
                <w:sz w:val="20"/>
                <w:szCs w:val="20"/>
                <w:color w:val="auto"/>
              </w:rPr>
            </w:pPr>
            <w:r>
              <w:rPr>
                <w:rFonts w:ascii="Times New Roman" w:cs="Times New Roman" w:eastAsia="Times New Roman" w:hAnsi="Times New Roman"/>
                <w:sz w:val="9"/>
                <w:szCs w:val="9"/>
                <w:color w:val="auto"/>
              </w:rPr>
              <w:t>731 East Trade Street</w:t>
            </w:r>
          </w:p>
        </w:tc>
        <w:tc>
          <w:tcPr>
            <w:tcW w:w="800" w:type="dxa"/>
            <w:vAlign w:val="bottom"/>
          </w:tcPr>
          <w:p>
            <w:pPr>
              <w:spacing w:after="0"/>
              <w:rPr>
                <w:sz w:val="8"/>
                <w:szCs w:val="8"/>
                <w:color w:val="auto"/>
              </w:rPr>
            </w:pPr>
          </w:p>
        </w:tc>
        <w:tc>
          <w:tcPr>
            <w:tcW w:w="500" w:type="dxa"/>
            <w:vAlign w:val="bottom"/>
            <w:gridSpan w:val="2"/>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rPr>
              <w:t>8.22 %</w:t>
            </w:r>
          </w:p>
        </w:tc>
        <w:tc>
          <w:tcPr>
            <w:tcW w:w="800" w:type="dxa"/>
            <w:vAlign w:val="bottom"/>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rPr>
              <w:t>Jul 1, 2020</w:t>
            </w:r>
          </w:p>
        </w:tc>
        <w:tc>
          <w:tcPr>
            <w:tcW w:w="120" w:type="dxa"/>
            <w:vAlign w:val="bottom"/>
          </w:tcPr>
          <w:p>
            <w:pPr>
              <w:spacing w:after="0"/>
              <w:rPr>
                <w:sz w:val="8"/>
                <w:szCs w:val="8"/>
                <w:color w:val="auto"/>
              </w:rPr>
            </w:pPr>
          </w:p>
        </w:tc>
        <w:tc>
          <w:tcPr>
            <w:tcW w:w="100" w:type="dxa"/>
            <w:vAlign w:val="bottom"/>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9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7"/>
                <w:szCs w:val="7"/>
                <w:color w:val="auto"/>
              </w:rPr>
              <w:t>(8)</w:t>
            </w:r>
          </w:p>
        </w:tc>
        <w:tc>
          <w:tcPr>
            <w:tcW w:w="80" w:type="dxa"/>
            <w:vAlign w:val="bottom"/>
          </w:tcPr>
          <w:p>
            <w:pPr>
              <w:jc w:val="right"/>
              <w:ind w:right="54"/>
              <w:spacing w:after="0"/>
              <w:rPr>
                <w:sz w:val="20"/>
                <w:szCs w:val="20"/>
                <w:color w:val="auto"/>
              </w:rPr>
            </w:pPr>
            <w:r>
              <w:rPr>
                <w:rFonts w:ascii="Times New Roman" w:cs="Times New Roman" w:eastAsia="Times New Roman" w:hAnsi="Times New Roman"/>
                <w:sz w:val="1"/>
                <w:szCs w:val="1"/>
                <w:color w:val="auto"/>
                <w:w w:val="4294967286"/>
              </w:rPr>
              <w:t>$</w:t>
            </w:r>
          </w:p>
        </w:tc>
        <w:tc>
          <w:tcPr>
            <w:tcW w:w="9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1,089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shd w:val="clear" w:color="auto" w:fill="CCEEFF"/>
          </w:tcPr>
          <w:p>
            <w:pPr>
              <w:ind w:left="140"/>
              <w:spacing w:after="0" w:line="95" w:lineRule="exact"/>
              <w:rPr>
                <w:sz w:val="20"/>
                <w:szCs w:val="20"/>
                <w:color w:val="auto"/>
              </w:rPr>
            </w:pPr>
            <w:r>
              <w:rPr>
                <w:rFonts w:ascii="Times New Roman" w:cs="Times New Roman" w:eastAsia="Times New Roman" w:hAnsi="Times New Roman"/>
                <w:sz w:val="9"/>
                <w:szCs w:val="9"/>
                <w:color w:val="auto"/>
              </w:rPr>
              <w:t>Secured note due March 2023</w:t>
            </w:r>
          </w:p>
        </w:tc>
        <w:tc>
          <w:tcPr>
            <w:tcW w:w="8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LIBOR +</w:t>
            </w:r>
          </w:p>
        </w:tc>
        <w:tc>
          <w:tcPr>
            <w:tcW w:w="500" w:type="dxa"/>
            <w:vAlign w:val="bottom"/>
            <w:gridSpan w:val="2"/>
            <w:shd w:val="clear" w:color="auto" w:fill="CCEEFF"/>
          </w:tcPr>
          <w:p>
            <w:pPr>
              <w:jc w:val="right"/>
              <w:ind w:right="47"/>
              <w:spacing w:after="0" w:line="95" w:lineRule="exact"/>
              <w:rPr>
                <w:sz w:val="20"/>
                <w:szCs w:val="20"/>
                <w:color w:val="auto"/>
              </w:rPr>
            </w:pPr>
            <w:r>
              <w:rPr>
                <w:rFonts w:ascii="Times New Roman" w:cs="Times New Roman" w:eastAsia="Times New Roman" w:hAnsi="Times New Roman"/>
                <w:sz w:val="8"/>
                <w:szCs w:val="8"/>
                <w:color w:val="auto"/>
              </w:rPr>
              <w:t xml:space="preserve">1.000 % </w:t>
            </w:r>
            <w:r>
              <w:rPr>
                <w:rFonts w:ascii="Times New Roman" w:cs="Times New Roman" w:eastAsia="Times New Roman" w:hAnsi="Times New Roman"/>
                <w:sz w:val="11"/>
                <w:szCs w:val="11"/>
                <w:color w:val="auto"/>
                <w:vertAlign w:val="superscript"/>
              </w:rPr>
              <w:t>(4)</w:t>
            </w:r>
          </w:p>
        </w:tc>
        <w:tc>
          <w:tcPr>
            <w:tcW w:w="800" w:type="dxa"/>
            <w:vAlign w:val="bottom"/>
            <w:tcBorders>
              <w:right w:val="single" w:sz="8" w:color="CCEEFF"/>
            </w:tcBorders>
            <w:shd w:val="clear" w:color="auto" w:fill="CCEEFF"/>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w w:val="99"/>
              </w:rPr>
              <w:t>Mar 1, 2023</w:t>
            </w: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104,000</w:t>
            </w:r>
          </w:p>
        </w:tc>
        <w:tc>
          <w:tcPr>
            <w:tcW w:w="24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104,000</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tcPr>
          <w:p>
            <w:pPr>
              <w:ind w:left="140"/>
              <w:spacing w:after="0" w:line="95" w:lineRule="exact"/>
              <w:rPr>
                <w:sz w:val="20"/>
                <w:szCs w:val="20"/>
                <w:color w:val="auto"/>
              </w:rPr>
            </w:pPr>
            <w:r>
              <w:rPr>
                <w:rFonts w:ascii="Times New Roman" w:cs="Times New Roman" w:eastAsia="Times New Roman" w:hAnsi="Times New Roman"/>
                <w:sz w:val="9"/>
                <w:szCs w:val="9"/>
                <w:color w:val="auto"/>
              </w:rPr>
              <w:t>Westin</w:t>
            </w:r>
          </w:p>
        </w:tc>
        <w:tc>
          <w:tcPr>
            <w:tcW w:w="800" w:type="dxa"/>
            <w:vAlign w:val="bottom"/>
          </w:tcPr>
          <w:p>
            <w:pPr>
              <w:spacing w:after="0"/>
              <w:rPr>
                <w:sz w:val="8"/>
                <w:szCs w:val="8"/>
                <w:color w:val="auto"/>
              </w:rPr>
            </w:pPr>
          </w:p>
        </w:tc>
        <w:tc>
          <w:tcPr>
            <w:tcW w:w="500" w:type="dxa"/>
            <w:vAlign w:val="bottom"/>
            <w:gridSpan w:val="2"/>
          </w:tcPr>
          <w:p>
            <w:pPr>
              <w:jc w:val="right"/>
              <w:ind w:right="167"/>
              <w:spacing w:after="0" w:line="95" w:lineRule="exact"/>
              <w:rPr>
                <w:sz w:val="20"/>
                <w:szCs w:val="20"/>
                <w:color w:val="auto"/>
              </w:rPr>
            </w:pPr>
            <w:r>
              <w:rPr>
                <w:rFonts w:ascii="Times New Roman" w:cs="Times New Roman" w:eastAsia="Times New Roman" w:hAnsi="Times New Roman"/>
                <w:sz w:val="9"/>
                <w:szCs w:val="9"/>
                <w:color w:val="auto"/>
                <w:w w:val="93"/>
              </w:rPr>
              <w:t>3.290 %</w:t>
            </w:r>
          </w:p>
        </w:tc>
        <w:tc>
          <w:tcPr>
            <w:tcW w:w="800" w:type="dxa"/>
            <w:vAlign w:val="bottom"/>
          </w:tcPr>
          <w:p>
            <w:pPr>
              <w:jc w:val="center"/>
              <w:ind w:left="36"/>
              <w:spacing w:after="0" w:line="95" w:lineRule="exact"/>
              <w:rPr>
                <w:sz w:val="20"/>
                <w:szCs w:val="20"/>
                <w:color w:val="auto"/>
              </w:rPr>
            </w:pPr>
            <w:r>
              <w:rPr>
                <w:rFonts w:ascii="Times New Roman" w:cs="Times New Roman" w:eastAsia="Times New Roman" w:hAnsi="Times New Roman"/>
                <w:sz w:val="9"/>
                <w:szCs w:val="9"/>
                <w:color w:val="auto"/>
                <w:w w:val="99"/>
              </w:rPr>
              <w:t>Jul 11, 2027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135,000</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gridSpan w:val="3"/>
            <w:shd w:val="clear" w:color="auto" w:fill="CCEEFF"/>
          </w:tcPr>
          <w:p>
            <w:pPr>
              <w:ind w:left="140"/>
              <w:spacing w:after="0" w:line="95" w:lineRule="exact"/>
              <w:rPr>
                <w:sz w:val="20"/>
                <w:szCs w:val="20"/>
                <w:color w:val="auto"/>
              </w:rPr>
            </w:pPr>
            <w:r>
              <w:rPr>
                <w:rFonts w:ascii="Times New Roman" w:cs="Times New Roman" w:eastAsia="Times New Roman" w:hAnsi="Times New Roman"/>
                <w:sz w:val="9"/>
                <w:szCs w:val="9"/>
                <w:color w:val="auto"/>
              </w:rPr>
              <w:t>Other secured debt</w:t>
            </w: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0" w:type="dxa"/>
            <w:vAlign w:val="bottom"/>
            <w:tcBorders>
              <w:right w:val="single" w:sz="8" w:color="CCEEFF"/>
            </w:tcBorders>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330</w:t>
            </w:r>
          </w:p>
        </w:tc>
        <w:tc>
          <w:tcPr>
            <w:tcW w:w="24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Borders>
              <w:bottom w:val="single" w:sz="8" w:color="CCEEFF"/>
            </w:tcBorders>
            <w:gridSpan w:val="3"/>
          </w:tcPr>
          <w:p>
            <w:pPr>
              <w:ind w:left="140"/>
              <w:spacing w:after="0" w:line="95" w:lineRule="exact"/>
              <w:rPr>
                <w:sz w:val="20"/>
                <w:szCs w:val="20"/>
                <w:color w:val="auto"/>
              </w:rPr>
            </w:pPr>
            <w:r>
              <w:rPr>
                <w:rFonts w:ascii="Times New Roman" w:cs="Times New Roman" w:eastAsia="Times New Roman" w:hAnsi="Times New Roman"/>
                <w:sz w:val="9"/>
                <w:szCs w:val="9"/>
                <w:color w:val="auto"/>
              </w:rPr>
              <w:t>Unamortized net (discounts) / premiums</w:t>
            </w:r>
          </w:p>
        </w:tc>
        <w:tc>
          <w:tcPr>
            <w:tcW w:w="800" w:type="dxa"/>
            <w:vAlign w:val="bottom"/>
            <w:tcBorders>
              <w:bottom w:val="single" w:sz="8" w:color="CCEEFF"/>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(4)</w:t>
            </w:r>
          </w:p>
        </w:tc>
        <w:tc>
          <w:tcPr>
            <w:tcW w:w="24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54</w:t>
            </w:r>
          </w:p>
        </w:tc>
        <w:tc>
          <w:tcPr>
            <w:tcW w:w="1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80" w:type="dxa"/>
            <w:vAlign w:val="bottom"/>
            <w:gridSpan w:val="3"/>
            <w:shd w:val="clear" w:color="auto" w:fill="CCEEFF"/>
          </w:tcPr>
          <w:p>
            <w:pPr>
              <w:ind w:left="300"/>
              <w:spacing w:after="0" w:line="85" w:lineRule="exact"/>
              <w:rPr>
                <w:sz w:val="20"/>
                <w:szCs w:val="20"/>
                <w:color w:val="auto"/>
              </w:rPr>
            </w:pPr>
            <w:r>
              <w:rPr>
                <w:rFonts w:ascii="Times New Roman" w:cs="Times New Roman" w:eastAsia="Times New Roman" w:hAnsi="Times New Roman"/>
                <w:sz w:val="9"/>
                <w:szCs w:val="9"/>
                <w:color w:val="auto"/>
              </w:rPr>
              <w:t>Total secured debt, including premiums</w:t>
            </w:r>
          </w:p>
        </w:tc>
        <w:tc>
          <w:tcPr>
            <w:tcW w:w="8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239,326</w:t>
            </w:r>
          </w:p>
        </w:tc>
        <w:tc>
          <w:tcPr>
            <w:tcW w:w="2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105,143</w:t>
            </w: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Borders>
              <w:bottom w:val="single" w:sz="8" w:color="CCEEFF"/>
            </w:tcBorders>
            <w:gridSpan w:val="3"/>
          </w:tcPr>
          <w:p>
            <w:pPr>
              <w:ind w:left="140"/>
              <w:spacing w:after="0" w:line="95" w:lineRule="exact"/>
              <w:rPr>
                <w:sz w:val="20"/>
                <w:szCs w:val="20"/>
                <w:color w:val="auto"/>
              </w:rPr>
            </w:pPr>
            <w:r>
              <w:rPr>
                <w:rFonts w:ascii="Times New Roman" w:cs="Times New Roman" w:eastAsia="Times New Roman" w:hAnsi="Times New Roman"/>
                <w:sz w:val="9"/>
                <w:szCs w:val="9"/>
                <w:color w:val="auto"/>
              </w:rPr>
              <w:t>Deferred financing costs, net</w:t>
            </w:r>
          </w:p>
        </w:tc>
        <w:tc>
          <w:tcPr>
            <w:tcW w:w="800" w:type="dxa"/>
            <w:vAlign w:val="bottom"/>
            <w:tcBorders>
              <w:bottom w:val="single" w:sz="8" w:color="CCEEFF"/>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(104)</w:t>
            </w:r>
          </w:p>
        </w:tc>
        <w:tc>
          <w:tcPr>
            <w:tcW w:w="24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9"/>
                <w:szCs w:val="9"/>
                <w:color w:val="auto"/>
              </w:rPr>
              <w:t>(209)</w:t>
            </w:r>
          </w:p>
        </w:tc>
        <w:tc>
          <w:tcPr>
            <w:tcW w:w="1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80" w:type="dxa"/>
            <w:vAlign w:val="bottom"/>
            <w:gridSpan w:val="3"/>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Total secured debt, including premiums and net of deferred financing costs</w:t>
            </w:r>
          </w:p>
        </w:tc>
        <w:tc>
          <w:tcPr>
            <w:tcW w:w="8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239,222</w:t>
            </w:r>
          </w:p>
        </w:tc>
        <w:tc>
          <w:tcPr>
            <w:tcW w:w="240" w:type="dxa"/>
            <w:vAlign w:val="bottom"/>
            <w:tcBorders>
              <w:right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104,934</w:t>
            </w: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280" w:type="dxa"/>
            <w:vAlign w:val="bottom"/>
            <w:gridSpan w:val="3"/>
          </w:tcPr>
          <w:p>
            <w:pPr>
              <w:ind w:left="140"/>
              <w:spacing w:after="0" w:line="85" w:lineRule="exact"/>
              <w:rPr>
                <w:sz w:val="20"/>
                <w:szCs w:val="20"/>
                <w:color w:val="auto"/>
              </w:rPr>
            </w:pPr>
            <w:r>
              <w:rPr>
                <w:rFonts w:ascii="Times New Roman" w:cs="Times New Roman" w:eastAsia="Times New Roman" w:hAnsi="Times New Roman"/>
                <w:sz w:val="9"/>
                <w:szCs w:val="9"/>
                <w:color w:val="auto"/>
              </w:rPr>
              <w:t>Total indebtedness</w:t>
            </w: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940" w:type="dxa"/>
            <w:vAlign w:val="bottom"/>
            <w:tcBorders>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13,304,717</w:t>
            </w:r>
          </w:p>
        </w:tc>
        <w:tc>
          <w:tcPr>
            <w:tcW w:w="240" w:type="dxa"/>
            <w:vAlign w:val="bottom"/>
          </w:tcPr>
          <w:p>
            <w:pPr>
              <w:spacing w:after="0"/>
              <w:rPr>
                <w:sz w:val="8"/>
                <w:szCs w:val="8"/>
                <w:color w:val="auto"/>
              </w:rPr>
            </w:pPr>
          </w:p>
        </w:tc>
        <w:tc>
          <w:tcPr>
            <w:tcW w:w="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
                <w:szCs w:val="1"/>
                <w:color w:val="auto"/>
                <w:w w:val="4294967286"/>
              </w:rPr>
              <w:t>$</w:t>
            </w:r>
          </w:p>
        </w:tc>
        <w:tc>
          <w:tcPr>
            <w:tcW w:w="960" w:type="dxa"/>
            <w:vAlign w:val="bottom"/>
            <w:tcBorders>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10,122,448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jc w:val="both"/>
        <w:ind w:left="260" w:right="159" w:hanging="235"/>
        <w:spacing w:after="0" w:line="256" w:lineRule="auto"/>
        <w:tabs>
          <w:tab w:leader="none" w:pos="26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 for borrowings under the global revolving credit facility equals the applicable index plus a margin of 90 basis points, which is based on the current credit ratings of our long-term debt. An annual facility fee of 20 basis points, which is based on the credit ratings of our long-term debt, is due and payable quarterly on the total commitment amount of the facility. Two six-month extensions are available, which we may exercise if certain</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59" w:name="page160"/>
    <w:bookmarkEnd w:id="15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60" w:right="179"/>
        <w:spacing w:after="0" w:line="254" w:lineRule="auto"/>
        <w:rPr>
          <w:sz w:val="20"/>
          <w:szCs w:val="20"/>
          <w:color w:val="auto"/>
        </w:rPr>
      </w:pPr>
      <w:r>
        <w:rPr>
          <w:rFonts w:ascii="Times New Roman" w:cs="Times New Roman" w:eastAsia="Times New Roman" w:hAnsi="Times New Roman"/>
          <w:sz w:val="13"/>
          <w:szCs w:val="13"/>
          <w:color w:val="auto"/>
        </w:rPr>
        <w:t>conditions are met. The interest rate for borrowings under the Yen revolving credit facility equals the applicable index plus a margin of 50 basis points, which is based on the current credit ratings of our long-term debt.</w:t>
      </w:r>
    </w:p>
    <w:p>
      <w:pPr>
        <w:ind w:left="20"/>
        <w:spacing w:after="0"/>
        <w:rPr>
          <w:sz w:val="20"/>
          <w:szCs w:val="20"/>
          <w:color w:val="auto"/>
        </w:rPr>
      </w:pPr>
      <w:r>
        <w:rPr>
          <w:rFonts w:ascii="Times New Roman" w:cs="Times New Roman" w:eastAsia="Times New Roman" w:hAnsi="Times New Roman"/>
          <w:sz w:val="13"/>
          <w:szCs w:val="13"/>
          <w:color w:val="auto"/>
        </w:rPr>
        <w:t>(2) Balances as of December 31, 2020 and December 31, 2019 are as follows (balances, in thousands):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Balance as of</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Weighted-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Balance as of</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Weighted-</w:t>
            </w:r>
          </w:p>
        </w:tc>
        <w:tc>
          <w:tcPr>
            <w:tcW w:w="0" w:type="dxa"/>
            <w:vAlign w:val="bottom"/>
          </w:tcPr>
          <w:p>
            <w:pPr>
              <w:spacing w:after="0"/>
              <w:rPr>
                <w:sz w:val="1"/>
                <w:szCs w:val="1"/>
                <w:color w:val="auto"/>
              </w:rPr>
            </w:pPr>
          </w:p>
        </w:tc>
      </w:tr>
      <w:tr>
        <w:trPr>
          <w:trHeight w:val="104"/>
        </w:trPr>
        <w:tc>
          <w:tcPr>
            <w:tcW w:w="4840" w:type="dxa"/>
            <w:vAlign w:val="bottom"/>
            <w:gridSpan w:val="7"/>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Denomination of Draw</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ind w:right="60"/>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average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20"/>
              <w:spacing w:after="0" w:line="104" w:lineRule="exact"/>
              <w:rPr>
                <w:sz w:val="20"/>
                <w:szCs w:val="20"/>
                <w:color w:val="auto"/>
              </w:rPr>
            </w:pPr>
            <w:r>
              <w:rPr>
                <w:rFonts w:ascii="Times New Roman" w:cs="Times New Roman" w:eastAsia="Times New Roman" w:hAnsi="Times New Roman"/>
                <w:sz w:val="10"/>
                <w:szCs w:val="10"/>
                <w:b w:val="1"/>
                <w:bCs w:val="1"/>
                <w:color w:val="auto"/>
              </w:rPr>
              <w:t>December</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rPr>
              <w:t>average</w:t>
            </w:r>
          </w:p>
        </w:tc>
        <w:tc>
          <w:tcPr>
            <w:tcW w:w="0" w:type="dxa"/>
            <w:vAlign w:val="bottom"/>
          </w:tcPr>
          <w:p>
            <w:pPr>
              <w:spacing w:after="0"/>
              <w:rPr>
                <w:sz w:val="1"/>
                <w:szCs w:val="1"/>
                <w:color w:val="auto"/>
              </w:rPr>
            </w:pPr>
          </w:p>
        </w:tc>
      </w:tr>
      <w:tr>
        <w:trPr>
          <w:trHeight w:val="121"/>
        </w:trPr>
        <w:tc>
          <w:tcPr>
            <w:tcW w:w="484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31, 2019</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320" w:type="dxa"/>
            <w:vAlign w:val="bottom"/>
            <w:tcBorders>
              <w:top w:val="single" w:sz="8" w:color="auto"/>
              <w:bottom w:val="single" w:sz="8" w:color="auto"/>
            </w:tcBorders>
          </w:tcPr>
          <w:p>
            <w:pPr>
              <w:spacing w:after="0" w:line="85" w:lineRule="exact"/>
              <w:rPr>
                <w:sz w:val="20"/>
                <w:szCs w:val="20"/>
                <w:color w:val="auto"/>
              </w:rPr>
            </w:pPr>
            <w:r>
              <w:rPr>
                <w:rFonts w:ascii="Times New Roman" w:cs="Times New Roman" w:eastAsia="Times New Roman" w:hAnsi="Times New Roman"/>
                <w:sz w:val="9"/>
                <w:szCs w:val="9"/>
                <w:b w:val="1"/>
                <w:bCs w:val="1"/>
                <w:i w:val="1"/>
                <w:iCs w:val="1"/>
                <w:color w:val="auto"/>
              </w:rPr>
              <w:t>Global Revolving Credit Facility</w:t>
            </w:r>
          </w:p>
        </w:tc>
        <w:tc>
          <w:tcPr>
            <w:tcW w:w="3480" w:type="dxa"/>
            <w:vAlign w:val="bottom"/>
            <w:tcBorders>
              <w:top w:val="single" w:sz="8" w:color="auto"/>
            </w:tcBorders>
            <w:gridSpan w:val="4"/>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0" w:type="dxa"/>
            <w:vAlign w:val="bottom"/>
            <w:gridSpan w:val="5"/>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i w:val="1"/>
                <w:iCs w:val="1"/>
                <w:color w:val="auto"/>
              </w:rPr>
              <w:t>Floating Rate Borrowing (a) (d)</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3"/>
                <w:szCs w:val="13"/>
                <w:color w:val="auto"/>
              </w:rPr>
              <w:t>U.S. dollar ($)</w:t>
            </w:r>
          </w:p>
        </w:tc>
        <w:tc>
          <w:tcPr>
            <w:tcW w:w="3160" w:type="dxa"/>
            <w:vAlign w:val="bottom"/>
            <w:tcBorders>
              <w:top w:val="single" w:sz="8" w:color="CCEEFF"/>
            </w:tcBorders>
            <w:gridSpan w:val="3"/>
          </w:tcPr>
          <w:p>
            <w:pPr>
              <w:spacing w:after="0"/>
              <w:rPr>
                <w:sz w:val="12"/>
                <w:szCs w:val="12"/>
                <w:color w:val="auto"/>
              </w:rPr>
            </w:pPr>
          </w:p>
        </w:tc>
        <w:tc>
          <w:tcPr>
            <w:tcW w:w="240" w:type="dxa"/>
            <w:vAlign w:val="bottom"/>
            <w:tcBorders>
              <w:top w:val="single" w:sz="8" w:color="CCEEFF"/>
            </w:tcBorders>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CCEEFF"/>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40,000</w:t>
            </w:r>
          </w:p>
        </w:tc>
        <w:tc>
          <w:tcPr>
            <w:tcW w:w="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gridSpan w:val="2"/>
          </w:tcPr>
          <w:p>
            <w:pPr>
              <w:jc w:val="right"/>
              <w:ind w:right="140"/>
              <w:spacing w:after="0" w:line="141" w:lineRule="exact"/>
              <w:rPr>
                <w:sz w:val="20"/>
                <w:szCs w:val="20"/>
                <w:color w:val="auto"/>
              </w:rPr>
            </w:pPr>
            <w:r>
              <w:rPr>
                <w:rFonts w:ascii="Times New Roman" w:cs="Times New Roman" w:eastAsia="Times New Roman" w:hAnsi="Times New Roman"/>
                <w:sz w:val="13"/>
                <w:szCs w:val="13"/>
                <w:color w:val="auto"/>
              </w:rPr>
              <w:t>1.05 %</w:t>
            </w:r>
          </w:p>
        </w:tc>
        <w:tc>
          <w:tcPr>
            <w:tcW w:w="100" w:type="dxa"/>
            <w:vAlign w:val="bottom"/>
            <w:tcBorders>
              <w:top w:val="single" w:sz="8" w:color="CCEEFF"/>
            </w:tcBorders>
            <w:gridSpan w:val="2"/>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CCEEFF"/>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gridSpan w:val="2"/>
          </w:tcPr>
          <w:p>
            <w:pPr>
              <w:jc w:val="right"/>
              <w:ind w:right="60"/>
              <w:spacing w:after="0" w:line="14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British pound sterling (£)</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47,845</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(b)</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0.93 %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Euro (€)</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284,633</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(b)</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0.90 %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44,852</w:t>
            </w:r>
          </w:p>
        </w:tc>
        <w:tc>
          <w:tcPr>
            <w:tcW w:w="16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(c)</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0.90 %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Australian dollar (AUD)</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9"/>
                <w:szCs w:val="9"/>
                <w:color w:val="auto"/>
              </w:rPr>
              <w:t>(c)</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1.74 %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Singapore dollar (SGD)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111,340</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(b)</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1.02 %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53,199</w:t>
            </w:r>
          </w:p>
        </w:tc>
        <w:tc>
          <w:tcPr>
            <w:tcW w:w="16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(c)</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2.46 %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Canadian dollar (CAD)</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9,423</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(b)</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1.36 %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bottom w:val="single" w:sz="8" w:color="CCEEFF"/>
            </w:tcBorders>
            <w:gridSpan w:val="5"/>
          </w:tcPr>
          <w:p>
            <w:pPr>
              <w:ind w:left="40"/>
              <w:spacing w:after="0" w:line="141" w:lineRule="exact"/>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493,241</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gridSpan w:val="2"/>
          </w:tcPr>
          <w:p>
            <w:pPr>
              <w:jc w:val="right"/>
              <w:ind w:right="140"/>
              <w:spacing w:after="0" w:line="141" w:lineRule="exact"/>
              <w:rPr>
                <w:sz w:val="20"/>
                <w:szCs w:val="20"/>
                <w:color w:val="auto"/>
              </w:rPr>
            </w:pPr>
            <w:r>
              <w:rPr>
                <w:rFonts w:ascii="Times New Roman" w:cs="Times New Roman" w:eastAsia="Times New Roman" w:hAnsi="Times New Roman"/>
                <w:sz w:val="13"/>
                <w:szCs w:val="13"/>
                <w:color w:val="auto"/>
              </w:rPr>
              <w:t>0.95 %</w:t>
            </w: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99,315</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gridSpan w:val="2"/>
          </w:tcPr>
          <w:p>
            <w:pPr>
              <w:jc w:val="right"/>
              <w:ind w:right="60"/>
              <w:spacing w:after="0" w:line="141" w:lineRule="exact"/>
              <w:rPr>
                <w:sz w:val="20"/>
                <w:szCs w:val="20"/>
                <w:color w:val="auto"/>
              </w:rPr>
            </w:pPr>
            <w:r>
              <w:rPr>
                <w:rFonts w:ascii="Times New Roman" w:cs="Times New Roman" w:eastAsia="Times New Roman" w:hAnsi="Times New Roman"/>
                <w:sz w:val="13"/>
                <w:szCs w:val="13"/>
                <w:color w:val="auto"/>
              </w:rPr>
              <w:t>1.75 %</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1680" w:type="dxa"/>
            <w:vAlign w:val="bottom"/>
            <w:tcBorders>
              <w:bottom w:val="single" w:sz="8" w:color="auto"/>
            </w:tcBorders>
            <w:gridSpan w:val="3"/>
          </w:tcPr>
          <w:p>
            <w:pPr>
              <w:spacing w:after="0" w:line="104" w:lineRule="exact"/>
              <w:rPr>
                <w:sz w:val="20"/>
                <w:szCs w:val="20"/>
                <w:color w:val="auto"/>
              </w:rPr>
            </w:pPr>
            <w:r>
              <w:rPr>
                <w:rFonts w:ascii="Times New Roman" w:cs="Times New Roman" w:eastAsia="Times New Roman" w:hAnsi="Times New Roman"/>
                <w:sz w:val="11"/>
                <w:szCs w:val="11"/>
                <w:b w:val="1"/>
                <w:bCs w:val="1"/>
                <w:i w:val="1"/>
                <w:iCs w:val="1"/>
                <w:color w:val="auto"/>
              </w:rPr>
              <w:t>Yen Revolving Credit Facility (a)</w:t>
            </w:r>
          </w:p>
        </w:tc>
        <w:tc>
          <w:tcPr>
            <w:tcW w:w="5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3"/>
                <w:szCs w:val="13"/>
                <w:color w:val="auto"/>
              </w:rPr>
              <w:t>46,943</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(e)</w:t>
            </w:r>
          </w:p>
        </w:tc>
        <w:tc>
          <w:tcPr>
            <w:tcW w:w="100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3"/>
                <w:szCs w:val="13"/>
                <w:color w:val="auto"/>
              </w:rPr>
              <w:t>0.50 %</w:t>
            </w:r>
          </w:p>
        </w:tc>
        <w:tc>
          <w:tcPr>
            <w:tcW w:w="100" w:type="dxa"/>
            <w:vAlign w:val="bottom"/>
            <w:gridSpan w:val="2"/>
          </w:tcPr>
          <w:p>
            <w:pPr>
              <w:jc w:val="right"/>
              <w:ind w:right="14"/>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13" w:lineRule="exact"/>
              <w:rPr>
                <w:sz w:val="20"/>
                <w:szCs w:val="20"/>
                <w:color w:val="auto"/>
              </w:rPr>
            </w:pPr>
            <w:r>
              <w:rPr>
                <w:rFonts w:ascii="Times New Roman" w:cs="Times New Roman" w:eastAsia="Times New Roman" w:hAnsi="Times New Roman"/>
                <w:sz w:val="13"/>
                <w:szCs w:val="13"/>
                <w:color w:val="auto"/>
              </w:rPr>
              <w:t>146,451</w:t>
            </w:r>
          </w:p>
        </w:tc>
        <w:tc>
          <w:tcPr>
            <w:tcW w:w="16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(e)</w:t>
            </w:r>
          </w:p>
        </w:tc>
        <w:tc>
          <w:tcPr>
            <w:tcW w:w="9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3"/>
                <w:szCs w:val="13"/>
                <w:color w:val="auto"/>
              </w:rPr>
              <w:t>0.50 %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Total borrowings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540,184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0.91 %</w:t>
            </w:r>
          </w:p>
        </w:tc>
        <w:tc>
          <w:tcPr>
            <w:tcW w:w="100" w:type="dxa"/>
            <w:vAlign w:val="bottom"/>
            <w:gridSpan w:val="2"/>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245,766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1.00 %</w:t>
            </w:r>
          </w:p>
        </w:tc>
        <w:tc>
          <w:tcPr>
            <w:tcW w:w="0" w:type="dxa"/>
            <w:vAlign w:val="bottom"/>
          </w:tcPr>
          <w:p>
            <w:pPr>
              <w:spacing w:after="0"/>
              <w:rPr>
                <w:sz w:val="1"/>
                <w:szCs w:val="1"/>
                <w:color w:val="auto"/>
              </w:rPr>
            </w:pPr>
          </w:p>
        </w:tc>
      </w:tr>
      <w:tr>
        <w:trPr>
          <w:trHeight w:val="76"/>
        </w:trPr>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500" w:hanging="228"/>
        <w:spacing w:after="0"/>
        <w:tabs>
          <w:tab w:leader="none" w:pos="500"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rates for floating rate borrowings under the global revolving credit facility currently equal the applicable index, subject to a zero floor, plus a margin</w:t>
      </w:r>
    </w:p>
    <w:p>
      <w:pPr>
        <w:spacing w:after="0" w:line="15" w:lineRule="exact"/>
        <w:rPr>
          <w:rFonts w:ascii="Times New Roman" w:cs="Times New Roman" w:eastAsia="Times New Roman" w:hAnsi="Times New Roman"/>
          <w:sz w:val="13"/>
          <w:szCs w:val="13"/>
          <w:color w:val="auto"/>
        </w:rPr>
      </w:pPr>
    </w:p>
    <w:p>
      <w:pPr>
        <w:ind w:left="500" w:right="159"/>
        <w:spacing w:after="0" w:line="24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90 basis points, which is based on the current credit rating of our long-term debt. The interest rate for borrowings under the Yen revolving credit facility equals the applicable index, subject to a zero floor, plus a margin of 50 basis points, which is based on the current credit rating of our long-term debt.</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exchange rates of $1.37 to £1.00, $1.22 to €1.00, $0.76 to 1.00 SGD and $0.79 to 1.00 CAD, respectively, as of December 31, 2020.</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exchange rates of $1.12 to €1.00, $0.70 to 1.00 AUD and $0.74 to 1.00 SGD, respectively, as of December 31, 2019.</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2020, approximately $60.8 million of letters of credit were issued.</w:t>
      </w:r>
    </w:p>
    <w:p>
      <w:pPr>
        <w:spacing w:after="0" w:line="2"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exchange rates of $0.01 to 1.00 JPY for December 31, 2020 and 2019.</w:t>
      </w:r>
    </w:p>
    <w:p>
      <w:pPr>
        <w:spacing w:after="0" w:line="2" w:lineRule="exact"/>
        <w:rPr>
          <w:rFonts w:ascii="Times New Roman" w:cs="Times New Roman" w:eastAsia="Times New Roman" w:hAnsi="Times New Roman"/>
          <w:sz w:val="13"/>
          <w:szCs w:val="13"/>
          <w:color w:val="auto"/>
        </w:rPr>
      </w:pPr>
    </w:p>
    <w:p>
      <w:pPr>
        <w:ind w:left="260" w:right="119" w:hanging="235"/>
        <w:spacing w:after="0" w:line="243" w:lineRule="auto"/>
        <w:tabs>
          <w:tab w:leader="none" w:pos="26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rates are based on our current senior unsecured debt ratings and is currently 100 basis points over the applicable index for floating rate advances for the 2023 Term Loan and the 2024 Term Loan.</w:t>
      </w:r>
    </w:p>
    <w:p>
      <w:pPr>
        <w:spacing w:after="0" w:line="1" w:lineRule="exact"/>
        <w:rPr>
          <w:rFonts w:ascii="Times New Roman" w:cs="Times New Roman" w:eastAsia="Times New Roman" w:hAnsi="Times New Roman"/>
          <w:sz w:val="13"/>
          <w:szCs w:val="13"/>
          <w:color w:val="auto"/>
        </w:rPr>
      </w:pPr>
    </w:p>
    <w:p>
      <w:pPr>
        <w:ind w:left="260" w:right="179" w:hanging="235"/>
        <w:spacing w:after="0" w:line="247" w:lineRule="auto"/>
        <w:tabs>
          <w:tab w:leader="none" w:pos="26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entered into interest rate swap agreements as a cash flow hedge for interest generated by a portion of U.S. dollar and Canadian dollar borrowings under the 2023 Term Loan and 2024 Term Loan, and the secured note due March 2023. See Note 16. "Derivative Instruments" for further information.</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60" w:name="page161"/>
    <w:bookmarkEnd w:id="16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(5) Balances as of December 31, 2020 and December 31, 2019 are as follows (balances, 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1"/>
              <w:spacing w:after="0"/>
              <w:rPr>
                <w:sz w:val="20"/>
                <w:szCs w:val="20"/>
                <w:color w:val="auto"/>
              </w:rPr>
            </w:pPr>
            <w:r>
              <w:rPr>
                <w:rFonts w:ascii="Times New Roman" w:cs="Times New Roman" w:eastAsia="Times New Roman" w:hAnsi="Times New Roman"/>
                <w:sz w:val="10"/>
                <w:szCs w:val="10"/>
                <w:b w:val="1"/>
                <w:bCs w:val="1"/>
                <w:color w:val="auto"/>
              </w:rPr>
              <w:t>Balance as of</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37"/>
              <w:spacing w:after="0"/>
              <w:rPr>
                <w:sz w:val="20"/>
                <w:szCs w:val="20"/>
                <w:color w:val="auto"/>
              </w:rPr>
            </w:pPr>
            <w:r>
              <w:rPr>
                <w:rFonts w:ascii="Times New Roman" w:cs="Times New Roman" w:eastAsia="Times New Roman" w:hAnsi="Times New Roman"/>
                <w:sz w:val="10"/>
                <w:szCs w:val="10"/>
                <w:b w:val="1"/>
                <w:bCs w:val="1"/>
                <w:color w:val="auto"/>
                <w:w w:val="98"/>
              </w:rPr>
              <w:t>Weighted-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10"/>
                <w:szCs w:val="10"/>
                <w:b w:val="1"/>
                <w:bCs w:val="1"/>
                <w:color w:val="auto"/>
              </w:rPr>
              <w:t>Balance as of</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right="357"/>
              <w:spacing w:after="0"/>
              <w:rPr>
                <w:sz w:val="20"/>
                <w:szCs w:val="20"/>
                <w:color w:val="auto"/>
              </w:rPr>
            </w:pPr>
            <w:r>
              <w:rPr>
                <w:rFonts w:ascii="Times New Roman" w:cs="Times New Roman" w:eastAsia="Times New Roman" w:hAnsi="Times New Roman"/>
                <w:sz w:val="10"/>
                <w:szCs w:val="10"/>
                <w:b w:val="1"/>
                <w:bCs w:val="1"/>
                <w:color w:val="auto"/>
              </w:rPr>
              <w:t>Weighted-</w:t>
            </w:r>
          </w:p>
        </w:tc>
        <w:tc>
          <w:tcPr>
            <w:tcW w:w="0" w:type="dxa"/>
            <w:vAlign w:val="bottom"/>
          </w:tcPr>
          <w:p>
            <w:pPr>
              <w:spacing w:after="0"/>
              <w:rPr>
                <w:sz w:val="1"/>
                <w:szCs w:val="1"/>
                <w:color w:val="auto"/>
              </w:rPr>
            </w:pPr>
          </w:p>
        </w:tc>
      </w:tr>
      <w:tr>
        <w:trPr>
          <w:trHeight w:val="104"/>
        </w:trPr>
        <w:tc>
          <w:tcPr>
            <w:tcW w:w="42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Denomination of Draw</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ind w:right="41"/>
              <w:spacing w:after="0" w:line="104"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tcPr>
          <w:p>
            <w:pPr>
              <w:jc w:val="center"/>
              <w:ind w:right="357"/>
              <w:spacing w:after="0" w:line="104" w:lineRule="exact"/>
              <w:rPr>
                <w:sz w:val="20"/>
                <w:szCs w:val="20"/>
                <w:color w:val="auto"/>
              </w:rPr>
            </w:pPr>
            <w:r>
              <w:rPr>
                <w:rFonts w:ascii="Times New Roman" w:cs="Times New Roman" w:eastAsia="Times New Roman" w:hAnsi="Times New Roman"/>
                <w:sz w:val="10"/>
                <w:szCs w:val="10"/>
                <w:b w:val="1"/>
                <w:bCs w:val="1"/>
                <w:color w:val="auto"/>
              </w:rPr>
              <w:t>average</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ind w:right="81"/>
              <w:spacing w:after="0" w:line="104"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jc w:val="center"/>
              <w:ind w:right="357"/>
              <w:spacing w:after="0" w:line="104" w:lineRule="exact"/>
              <w:rPr>
                <w:sz w:val="20"/>
                <w:szCs w:val="20"/>
                <w:color w:val="auto"/>
              </w:rPr>
            </w:pPr>
            <w:r>
              <w:rPr>
                <w:rFonts w:ascii="Times New Roman" w:cs="Times New Roman" w:eastAsia="Times New Roman" w:hAnsi="Times New Roman"/>
                <w:sz w:val="10"/>
                <w:szCs w:val="10"/>
                <w:b w:val="1"/>
                <w:bCs w:val="1"/>
                <w:color w:val="auto"/>
              </w:rPr>
              <w:t>average</w:t>
            </w:r>
          </w:p>
        </w:tc>
        <w:tc>
          <w:tcPr>
            <w:tcW w:w="0" w:type="dxa"/>
            <w:vAlign w:val="bottom"/>
          </w:tcPr>
          <w:p>
            <w:pPr>
              <w:spacing w:after="0"/>
              <w:rPr>
                <w:sz w:val="1"/>
                <w:szCs w:val="1"/>
                <w:color w:val="auto"/>
              </w:rPr>
            </w:pPr>
          </w:p>
        </w:tc>
      </w:tr>
      <w:tr>
        <w:trPr>
          <w:trHeight w:val="121"/>
        </w:trPr>
        <w:tc>
          <w:tcPr>
            <w:tcW w:w="42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1"/>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37"/>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41"/>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right="377"/>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tcBorders>
              <w:top w:val="single" w:sz="8" w:color="auto"/>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U.S. dollar ($)</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CCEEFF"/>
            </w:tcBorders>
            <w:shd w:val="clear" w:color="auto" w:fill="CCEEFF"/>
          </w:tcPr>
          <w:p>
            <w:pPr>
              <w:jc w:val="right"/>
              <w:ind w:right="23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300,000</w:t>
            </w: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ind w:left="520"/>
              <w:spacing w:after="0" w:line="141" w:lineRule="exact"/>
              <w:rPr>
                <w:sz w:val="20"/>
                <w:szCs w:val="20"/>
                <w:color w:val="auto"/>
              </w:rPr>
            </w:pPr>
            <w:r>
              <w:rPr>
                <w:rFonts w:ascii="Times New Roman" w:cs="Times New Roman" w:eastAsia="Times New Roman" w:hAnsi="Times New Roman"/>
                <w:sz w:val="13"/>
                <w:szCs w:val="13"/>
                <w:color w:val="auto"/>
              </w:rPr>
              <w:t>2.74</w:t>
            </w:r>
          </w:p>
        </w:tc>
        <w:tc>
          <w:tcPr>
            <w:tcW w:w="420" w:type="dxa"/>
            <w:vAlign w:val="bottom"/>
            <w:tcBorders>
              <w:top w:val="single" w:sz="8" w:color="CCEEFF"/>
            </w:tcBorders>
            <w:shd w:val="clear" w:color="auto" w:fill="CCEEFF"/>
          </w:tcPr>
          <w:p>
            <w:pPr>
              <w:jc w:val="right"/>
              <w:ind w:right="77"/>
              <w:spacing w:after="0" w:line="141" w:lineRule="exact"/>
              <w:rPr>
                <w:sz w:val="20"/>
                <w:szCs w:val="20"/>
                <w:color w:val="auto"/>
              </w:rPr>
            </w:pPr>
            <w:r>
              <w:rPr>
                <w:rFonts w:ascii="Times New Roman" w:cs="Times New Roman" w:eastAsia="Times New Roman" w:hAnsi="Times New Roman"/>
                <w:sz w:val="13"/>
                <w:szCs w:val="13"/>
                <w:color w:val="auto"/>
                <w:w w:val="88"/>
              </w:rPr>
              <w:t>% (d)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Singapore dollar (SGD)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150,699</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w:t>
            </w:r>
          </w:p>
        </w:tc>
        <w:tc>
          <w:tcPr>
            <w:tcW w:w="1160" w:type="dxa"/>
            <w:vAlign w:val="bottom"/>
            <w:gridSpan w:val="2"/>
          </w:tcPr>
          <w:p>
            <w:pPr>
              <w:jc w:val="right"/>
              <w:ind w:right="237"/>
              <w:spacing w:after="0"/>
              <w:rPr>
                <w:sz w:val="20"/>
                <w:szCs w:val="20"/>
                <w:color w:val="auto"/>
              </w:rPr>
            </w:pPr>
            <w:r>
              <w:rPr>
                <w:rFonts w:ascii="Times New Roman" w:cs="Times New Roman" w:eastAsia="Times New Roman" w:hAnsi="Times New Roman"/>
                <w:sz w:val="13"/>
                <w:szCs w:val="13"/>
                <w:color w:val="auto"/>
              </w:rPr>
              <w:t>1.14 %</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147,931</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2.68 %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Australian dollar (AUD)</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223,357</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w:t>
            </w:r>
          </w:p>
        </w:tc>
        <w:tc>
          <w:tcPr>
            <w:tcW w:w="116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1.02 %</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203,820</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12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1.85 %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Hong Kong dollar (HKD)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86,062</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w:t>
            </w:r>
          </w:p>
        </w:tc>
        <w:tc>
          <w:tcPr>
            <w:tcW w:w="1160" w:type="dxa"/>
            <w:vAlign w:val="bottom"/>
            <w:gridSpan w:val="2"/>
          </w:tcPr>
          <w:p>
            <w:pPr>
              <w:jc w:val="right"/>
              <w:ind w:right="237"/>
              <w:spacing w:after="0"/>
              <w:rPr>
                <w:sz w:val="20"/>
                <w:szCs w:val="20"/>
                <w:color w:val="auto"/>
              </w:rPr>
            </w:pPr>
            <w:r>
              <w:rPr>
                <w:rFonts w:ascii="Times New Roman" w:cs="Times New Roman" w:eastAsia="Times New Roman" w:hAnsi="Times New Roman"/>
                <w:sz w:val="13"/>
                <w:szCs w:val="13"/>
                <w:color w:val="auto"/>
              </w:rPr>
              <w:t>1.27 %</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85,629</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3.60 %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Canadian dollar (CAD)</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77,352</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w:t>
            </w:r>
          </w:p>
        </w:tc>
        <w:tc>
          <w:tcPr>
            <w:tcW w:w="116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1.47 % (b)</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75,825</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w:t>
            </w:r>
          </w:p>
        </w:tc>
        <w:tc>
          <w:tcPr>
            <w:tcW w:w="12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3.00 % (d)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24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auto"/>
              </w:rPr>
              <w:t>Total</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537,470</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57"/>
              <w:spacing w:after="0" w:line="141" w:lineRule="exact"/>
              <w:rPr>
                <w:sz w:val="20"/>
                <w:szCs w:val="20"/>
                <w:color w:val="auto"/>
              </w:rPr>
            </w:pPr>
            <w:r>
              <w:rPr>
                <w:rFonts w:ascii="Times New Roman" w:cs="Times New Roman" w:eastAsia="Times New Roman" w:hAnsi="Times New Roman"/>
                <w:sz w:val="13"/>
                <w:szCs w:val="13"/>
                <w:color w:val="auto"/>
              </w:rPr>
              <w:t>1.16 % (b)</w:t>
            </w:r>
          </w:p>
        </w:tc>
        <w:tc>
          <w:tcPr>
            <w:tcW w:w="1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813,205</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77"/>
              <w:spacing w:after="0" w:line="141" w:lineRule="exact"/>
              <w:rPr>
                <w:sz w:val="20"/>
                <w:szCs w:val="20"/>
                <w:color w:val="auto"/>
              </w:rPr>
            </w:pPr>
            <w:r>
              <w:rPr>
                <w:rFonts w:ascii="Times New Roman" w:cs="Times New Roman" w:eastAsia="Times New Roman" w:hAnsi="Times New Roman"/>
                <w:sz w:val="13"/>
                <w:szCs w:val="13"/>
                <w:color w:val="auto"/>
              </w:rPr>
              <w:t>2.62 % (d)</w:t>
            </w:r>
          </w:p>
        </w:tc>
        <w:tc>
          <w:tcPr>
            <w:tcW w:w="0" w:type="dxa"/>
            <w:vAlign w:val="bottom"/>
          </w:tcPr>
          <w:p>
            <w:pPr>
              <w:spacing w:after="0"/>
              <w:rPr>
                <w:sz w:val="1"/>
                <w:szCs w:val="1"/>
                <w:color w:val="auto"/>
              </w:rPr>
            </w:pPr>
          </w:p>
        </w:tc>
      </w:tr>
      <w:tr>
        <w:trPr>
          <w:trHeight w:val="76"/>
        </w:trPr>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500" w:hanging="228"/>
        <w:spacing w:after="0"/>
        <w:tabs>
          <w:tab w:leader="none" w:pos="500"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exchange rates of $0.76 to 1.00 SGD, $0.77 to 1.00 AUD, $0.13 to 1.00 HKD and $0.79 to 1.00 CAD, respectively, as of December 31, 2020.</w:t>
      </w:r>
    </w:p>
    <w:p>
      <w:pPr>
        <w:spacing w:after="0" w:line="15" w:lineRule="exact"/>
        <w:rPr>
          <w:rFonts w:ascii="Times New Roman" w:cs="Times New Roman" w:eastAsia="Times New Roman" w:hAnsi="Times New Roman"/>
          <w:sz w:val="13"/>
          <w:szCs w:val="13"/>
          <w:color w:val="auto"/>
        </w:rPr>
      </w:pPr>
    </w:p>
    <w:p>
      <w:pPr>
        <w:ind w:left="500" w:right="279" w:hanging="228"/>
        <w:spacing w:after="0" w:line="243" w:lineRule="auto"/>
        <w:tabs>
          <w:tab w:leader="none" w:pos="500"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2020, the weighted-average interest rate reflecting interest rate swaps was 1.78% (Canadian dollar) and 1.20% (Total). See Note 16 for further discussion on interest rate swaps.</w:t>
      </w:r>
    </w:p>
    <w:p>
      <w:pPr>
        <w:spacing w:after="0" w:line="1" w:lineRule="exact"/>
        <w:rPr>
          <w:rFonts w:ascii="Times New Roman" w:cs="Times New Roman" w:eastAsia="Times New Roman" w:hAnsi="Times New Roman"/>
          <w:sz w:val="13"/>
          <w:szCs w:val="13"/>
          <w:color w:val="auto"/>
        </w:rPr>
      </w:pPr>
    </w:p>
    <w:p>
      <w:pPr>
        <w:ind w:left="500" w:hanging="228"/>
        <w:spacing w:after="0"/>
        <w:tabs>
          <w:tab w:leader="none" w:pos="500"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exchange rates of $0.74 to 1.00 SGD, $0.70 to 1.00 AUD, $0.13 to 1.00 HKD and $0.77 to 1.00 CAD, respectively, as of December 31, 2019.</w:t>
      </w:r>
    </w:p>
    <w:p>
      <w:pPr>
        <w:spacing w:after="0" w:line="2" w:lineRule="exact"/>
        <w:rPr>
          <w:rFonts w:ascii="Times New Roman" w:cs="Times New Roman" w:eastAsia="Times New Roman" w:hAnsi="Times New Roman"/>
          <w:sz w:val="13"/>
          <w:szCs w:val="13"/>
          <w:color w:val="auto"/>
        </w:rPr>
      </w:pPr>
    </w:p>
    <w:p>
      <w:pPr>
        <w:ind w:left="500" w:right="199" w:hanging="228"/>
        <w:spacing w:after="0" w:line="243" w:lineRule="auto"/>
        <w:tabs>
          <w:tab w:leader="none" w:pos="500"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2019, the weighted-average interest rate reflecting interest rate swaps was 2.44% (U.S. dollar), 1.78% (Canadian dollar) and 2.39% (Total). See Note 16 for further discussion on interest rate swaps.</w:t>
      </w:r>
    </w:p>
    <w:p>
      <w:pPr>
        <w:spacing w:after="0" w:line="1"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exchange rates of $1.22 to €1.00 as of December 31, 2020 and $1.12 to €1.00 as of December 31, 2019.</w:t>
      </w:r>
    </w:p>
    <w:p>
      <w:pPr>
        <w:spacing w:after="0" w:line="11"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exchange rates of $1.37 to £1.00 as of December 31, 2020 and $1.33 to £1.00 as of December 31, 2019.</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was repaid in full on April 13, 2020.</w:t>
      </w:r>
    </w:p>
    <w:p>
      <w:pPr>
        <w:spacing w:after="0" w:line="2" w:lineRule="exact"/>
        <w:rPr>
          <w:rFonts w:ascii="Times New Roman" w:cs="Times New Roman" w:eastAsia="Times New Roman" w:hAnsi="Times New Roman"/>
          <w:sz w:val="13"/>
          <w:szCs w:val="13"/>
          <w:color w:val="auto"/>
        </w:rPr>
      </w:pPr>
    </w:p>
    <w:p>
      <w:pPr>
        <w:ind w:left="260" w:right="379" w:hanging="235"/>
        <w:spacing w:after="0" w:line="243" w:lineRule="auto"/>
        <w:tabs>
          <w:tab w:leader="none" w:pos="26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was repaid in full on September 24, 2020. The payment resulted in an early extinguishment charge of approximately $0.9 million during the three months ended September 30, 2020.</w:t>
      </w:r>
    </w:p>
    <w:p>
      <w:pPr>
        <w:spacing w:after="0" w:line="1" w:lineRule="exact"/>
        <w:rPr>
          <w:rFonts w:ascii="Times New Roman" w:cs="Times New Roman" w:eastAsia="Times New Roman" w:hAnsi="Times New Roman"/>
          <w:sz w:val="13"/>
          <w:szCs w:val="13"/>
          <w:color w:val="auto"/>
        </w:rPr>
      </w:pPr>
    </w:p>
    <w:p>
      <w:pPr>
        <w:ind w:left="260" w:right="239" w:hanging="235"/>
        <w:spacing w:after="0" w:line="243" w:lineRule="auto"/>
        <w:tabs>
          <w:tab w:leader="none" w:pos="26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3.950% 2022 Notes and 3.625% 2022 Notes were redeemed in full on August 3, 2020. The redemption resulted in an early extinguishment charge of approximately $52.1 million during the three months ended September 30, 2020.</w:t>
      </w:r>
    </w:p>
    <w:p>
      <w:pPr>
        <w:spacing w:after="0" w:line="1" w:lineRule="exact"/>
        <w:rPr>
          <w:rFonts w:ascii="Times New Roman" w:cs="Times New Roman" w:eastAsia="Times New Roman" w:hAnsi="Times New Roman"/>
          <w:sz w:val="13"/>
          <w:szCs w:val="13"/>
          <w:color w:val="auto"/>
        </w:rPr>
      </w:pPr>
    </w:p>
    <w:p>
      <w:pPr>
        <w:ind w:left="260" w:right="99" w:hanging="235"/>
        <w:spacing w:after="0" w:line="243" w:lineRule="auto"/>
        <w:tabs>
          <w:tab w:leader="none" w:pos="26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4.750% 2023 Notes were redeemed in full on October 14, 2020. The redemption resulted in an early extinguishment charge of approximately $49.8 million during the three months ended December 31, 2020.</w:t>
      </w:r>
    </w:p>
    <w:p>
      <w:pPr>
        <w:spacing w:after="0" w:line="1"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was repaid in full on January 15, 2021.</w:t>
      </w:r>
    </w:p>
    <w:p>
      <w:pPr>
        <w:spacing w:after="0" w:line="2" w:lineRule="exact"/>
        <w:rPr>
          <w:rFonts w:ascii="Times New Roman" w:cs="Times New Roman" w:eastAsia="Times New Roman" w:hAnsi="Times New Roman"/>
          <w:sz w:val="13"/>
          <w:szCs w:val="13"/>
          <w:color w:val="auto"/>
        </w:rPr>
      </w:pPr>
    </w:p>
    <w:p>
      <w:pPr>
        <w:ind w:left="260" w:right="219" w:hanging="235"/>
        <w:spacing w:after="0" w:line="247" w:lineRule="auto"/>
        <w:tabs>
          <w:tab w:leader="none" w:pos="26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2.750% 2023 Notes were redeemed in full on February 4, 2021. The redemption will result in an early extinguishment charge of approximately $17.5 million during the three months ending March 31, 2021.</w:t>
      </w:r>
    </w:p>
    <w:p>
      <w:pPr>
        <w:spacing w:after="0" w:line="133"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Global Revolving Credit Facilities</w:t>
      </w:r>
    </w:p>
    <w:p>
      <w:pPr>
        <w:spacing w:after="0" w:line="156"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October 24, 2018, we refinanced our global revolving credit facility and entered into a global senior credit agreement for a $2.35 billion senior unsecured revolving</w:t>
      </w:r>
    </w:p>
    <w:p>
      <w:pPr>
        <w:spacing w:after="0" w:line="15" w:lineRule="exact"/>
        <w:rPr>
          <w:sz w:val="20"/>
          <w:szCs w:val="20"/>
          <w:color w:val="auto"/>
        </w:rPr>
      </w:pPr>
    </w:p>
    <w:p>
      <w:pPr>
        <w:ind w:left="20" w:right="99"/>
        <w:spacing w:after="0" w:line="244" w:lineRule="auto"/>
        <w:rPr>
          <w:sz w:val="20"/>
          <w:szCs w:val="20"/>
          <w:color w:val="auto"/>
        </w:rPr>
      </w:pPr>
      <w:r>
        <w:rPr>
          <w:rFonts w:ascii="Times New Roman" w:cs="Times New Roman" w:eastAsia="Times New Roman" w:hAnsi="Times New Roman"/>
          <w:sz w:val="13"/>
          <w:szCs w:val="13"/>
          <w:color w:val="auto"/>
        </w:rPr>
        <w:t>credit facility, which we refer to as the 2018 global revolving credit facility, that replaced the $2.0 billion revolving credit facility executed on January 15, 2016. In addition, we have the ability from time to time to increase the size of the global revolving credit facility and the unsecured term loans (discussed below), in any combination, by up to $1.25 billion, subject to the receipt of lender commitments and other conditions precedent. The 2018 global revolving credit facility matures on January 24, 2023, with two six-month extension options available. The interest rate for borrowings under the 2018 global revolving credit facility equals the applicable index plus a margin which is based on the credit ratings of our long-term debt and is currently 90 basis points. An annual facility fee on the total commitment amount of the facility, based on the credit ratings of our long-term debt, currently 20 basis points, is payable quarterly. The 2018 global revolving credit facility provides for borrowings in U.S., Canadian, Singapore, Australian and Hong Kong dollars, as well as Euro, British pound sterling and Japanese yen and</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61" w:name="page162"/>
    <w:bookmarkEnd w:id="16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119"/>
        <w:spacing w:after="0" w:line="252" w:lineRule="auto"/>
        <w:rPr>
          <w:sz w:val="20"/>
          <w:szCs w:val="20"/>
          <w:color w:val="auto"/>
        </w:rPr>
      </w:pPr>
      <w:r>
        <w:rPr>
          <w:rFonts w:ascii="Times New Roman" w:cs="Times New Roman" w:eastAsia="Times New Roman" w:hAnsi="Times New Roman"/>
          <w:sz w:val="13"/>
          <w:szCs w:val="13"/>
          <w:color w:val="auto"/>
        </w:rPr>
        <w:t>includes the ability to add additional currencies in the future. As of December 31, 2020, interest rates are based on 1-month EURIBOR, 1-month HIBOR, 1-month SOR and 1-month CDOR, plus a margin of 0.90%. We have used and intend to use available borrowings under the 2018 global revolving credit facility to acquire additional properties, fund development opportunities and for general working capital and other corporate purposes, including potentially for the repurchase, redemption or retirement of outstanding debt or equity securities.</w:t>
      </w:r>
    </w:p>
    <w:p>
      <w:pPr>
        <w:spacing w:after="0" w:line="132" w:lineRule="exact"/>
        <w:rPr>
          <w:sz w:val="20"/>
          <w:szCs w:val="20"/>
          <w:color w:val="auto"/>
        </w:rPr>
      </w:pPr>
    </w:p>
    <w:p>
      <w:pPr>
        <w:ind w:left="20" w:right="39" w:firstLine="228"/>
        <w:spacing w:after="0" w:line="249" w:lineRule="auto"/>
        <w:rPr>
          <w:sz w:val="20"/>
          <w:szCs w:val="20"/>
          <w:color w:val="auto"/>
        </w:rPr>
      </w:pPr>
      <w:r>
        <w:rPr>
          <w:rFonts w:ascii="Times New Roman" w:cs="Times New Roman" w:eastAsia="Times New Roman" w:hAnsi="Times New Roman"/>
          <w:sz w:val="13"/>
          <w:szCs w:val="13"/>
          <w:color w:val="auto"/>
        </w:rPr>
        <w:t>The 2018 global revolving credit facility contains various restrictive covenants, including limitations on our ability to incur additional indebtedness, make certain investments or merge with another company, and requirements to maintain financial coverage ratios, including with respect to unencumbered assets. In addition, the 2018 global revolving credit facility restricts Digital Realty Trust, Inc. from making distributions to its stockholders, or redeeming or otherwise repurchasing shares of its capital stock, after the occurrence and during the continuance of an event of default, except in limited circumstances including as necessary to enable Digital Realty Trust, Inc. to maintain its qualification as a REIT and to minimize the payment of income or excise tax. As of December 31, 2020, we were in compliance with all of such covenants.</w:t>
      </w:r>
    </w:p>
    <w:p>
      <w:pPr>
        <w:spacing w:after="0" w:line="136" w:lineRule="exact"/>
        <w:rPr>
          <w:sz w:val="20"/>
          <w:szCs w:val="20"/>
          <w:color w:val="auto"/>
        </w:rPr>
      </w:pPr>
    </w:p>
    <w:p>
      <w:pPr>
        <w:ind w:left="20" w:right="79" w:firstLine="228"/>
        <w:spacing w:after="0" w:line="247" w:lineRule="auto"/>
        <w:rPr>
          <w:sz w:val="20"/>
          <w:szCs w:val="20"/>
          <w:color w:val="auto"/>
        </w:rPr>
      </w:pPr>
      <w:r>
        <w:rPr>
          <w:rFonts w:ascii="Times New Roman" w:cs="Times New Roman" w:eastAsia="Times New Roman" w:hAnsi="Times New Roman"/>
          <w:sz w:val="13"/>
          <w:szCs w:val="13"/>
          <w:color w:val="auto"/>
        </w:rPr>
        <w:t>On October 24, 2018, we entered into a credit agreement for a ¥33.3 billion (approximately $296.5 million based on the exchange rate on October 24, 2018) senior unsecured revolving credit facility, which we refer to as the Yen revolving credit facility. The Yen revolving credit facility provides for borrowings in Japanese yen. In addition, we have the ability from time to time to increase the size of the Yen revolving credit facility to up to ¥93.3 billion (approximately $831.1 million based on the exchange rate on October 24, 2018), subject to receipt of lender commitments and other conditions precedent. The Yen revolving credit facility matures on January 24, 2024. The interest rate for borrowings under the Yen revolving credit facility equals the applicable index plus a margin which is based on the credit ratings of our long-term debt and is currently 50 basis points. A quarterly unused commitment fee, which is calculated using the average daily unused revolving credit commitment, is based on the credit ratings of our long-term debt, and is currently 10 basis points.</w:t>
      </w:r>
    </w:p>
    <w:p>
      <w:pPr>
        <w:spacing w:after="0" w:line="138" w:lineRule="exact"/>
        <w:rPr>
          <w:sz w:val="20"/>
          <w:szCs w:val="20"/>
          <w:color w:val="auto"/>
        </w:rPr>
      </w:pPr>
    </w:p>
    <w:p>
      <w:pPr>
        <w:ind w:left="20" w:right="159" w:firstLine="228"/>
        <w:spacing w:after="0" w:line="275" w:lineRule="auto"/>
        <w:rPr>
          <w:sz w:val="20"/>
          <w:szCs w:val="20"/>
          <w:color w:val="auto"/>
        </w:rPr>
      </w:pPr>
      <w:r>
        <w:rPr>
          <w:rFonts w:ascii="Times New Roman" w:cs="Times New Roman" w:eastAsia="Times New Roman" w:hAnsi="Times New Roman"/>
          <w:sz w:val="12"/>
          <w:szCs w:val="12"/>
          <w:color w:val="auto"/>
        </w:rPr>
        <w:t>The Yen revolving credit facility contains various restrictive covenants, including limitations on our ability to incur additional indebtedness, make certain investments or merge with another company, and requirements to maintain financial coverage ratios, including with respect to unencumbered assets. In addition, the Yen revolving credit facility restricts Digital Realty Trust, Inc. from making distributions to its stockholders, or redeeming or otherwise repurchasing shares of its capital stock, after the occurrence and during the continuance of an event of default, except in limited circumstances including as necessary to enable Digital Realty Trust, Inc. to maintain its qualification as a REIT and to minimize the payment of income or excise tax. As of December 31, 2020, we were in compliance with all of such covenants.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Unsecured Term Loans</w:t>
      </w:r>
    </w:p>
    <w:p>
      <w:pPr>
        <w:spacing w:after="0" w:line="156" w:lineRule="exact"/>
        <w:rPr>
          <w:sz w:val="20"/>
          <w:szCs w:val="20"/>
          <w:color w:val="auto"/>
        </w:rPr>
      </w:pPr>
    </w:p>
    <w:p>
      <w:pPr>
        <w:ind w:left="20" w:right="119" w:firstLine="228"/>
        <w:spacing w:after="0" w:line="247" w:lineRule="auto"/>
        <w:rPr>
          <w:sz w:val="20"/>
          <w:szCs w:val="20"/>
          <w:color w:val="auto"/>
        </w:rPr>
      </w:pPr>
      <w:r>
        <w:rPr>
          <w:rFonts w:ascii="Times New Roman" w:cs="Times New Roman" w:eastAsia="Times New Roman" w:hAnsi="Times New Roman"/>
          <w:sz w:val="13"/>
          <w:szCs w:val="13"/>
          <w:color w:val="auto"/>
        </w:rPr>
        <w:t>On October 24, 2018, we refinanced our senior unsecured multi-currency term loan facility and entered into an amended and restated term loan agreement, which we refer to as the 2018 term loan agreement, which governs (i) a $300.0 million 5-year senior unsecured term loan, which we refer to as the 2023 Term Loan, and (ii) an approximately $512 million 5-year senior unsecured term loan, which we refer to as the 2024 Term Loan. The 2018 term loan agreement replaced the $1.55 billion term loan agreement executed on January 15, 2016. The 2023 Term Loan matures on January 15, 2023 and the 2024 Term Loan matures on January 24, 2023 with two six-month extension options. In addition, we have the ability from time to time to increase the aggregate size of lending under the 2018 term loan agreement and the 2018 global revolving credit facility (discussed above), in any combination, by up to $1.25 billion, subject to receipt of lender commitments and other conditions precedent. Interest rates are based on our senior unsecured debt ratings and are currently 100 basis points over the applicable index for floating rate advances for the 2023 Term</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62" w:name="page163"/>
    <w:bookmarkEnd w:id="16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99"/>
        <w:spacing w:after="0" w:line="252" w:lineRule="auto"/>
        <w:rPr>
          <w:sz w:val="20"/>
          <w:szCs w:val="20"/>
          <w:color w:val="auto"/>
        </w:rPr>
      </w:pPr>
      <w:r>
        <w:rPr>
          <w:rFonts w:ascii="Times New Roman" w:cs="Times New Roman" w:eastAsia="Times New Roman" w:hAnsi="Times New Roman"/>
          <w:sz w:val="13"/>
          <w:szCs w:val="13"/>
          <w:color w:val="auto"/>
        </w:rPr>
        <w:t>Loan and the 2024 Term Loan. Funds may be drawn in U.S., Canadian, Singapore, Australian and Hong Kong dollars. On September 24, 2020, the 2023 Term Loan was repaid in full. Based on exchange rates in effect at December 31, 2020, the balance outstanding is approximately $537.5 million, excluding deferred financing costs. We have used borrowings under the term loans for acquisitions, repayment of indebtedness, development, working capital and general corporate purposes. The covenants under 2024 Term Loan are consistent with our 2018 global revolving credit facility and, as of December 31, 2020, we were in compliance with all of such covenants.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Unsecured Senior Notes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Amount</w:t>
            </w: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w w:val="96"/>
              </w:rPr>
              <w:t>Issued (in</w:t>
            </w: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660" w:type="dxa"/>
            <w:vAlign w:val="bottom"/>
            <w:gridSpan w:val="3"/>
          </w:tcPr>
          <w:p>
            <w:pPr>
              <w:spacing w:after="0" w:line="89" w:lineRule="exact"/>
              <w:rPr>
                <w:sz w:val="20"/>
                <w:szCs w:val="20"/>
                <w:color w:val="auto"/>
              </w:rPr>
            </w:pPr>
            <w:r>
              <w:rPr>
                <w:rFonts w:ascii="Times New Roman" w:cs="Times New Roman" w:eastAsia="Times New Roman" w:hAnsi="Times New Roman"/>
                <w:sz w:val="9"/>
                <w:szCs w:val="9"/>
                <w:b w:val="1"/>
                <w:bCs w:val="1"/>
                <w:color w:val="auto"/>
              </w:rPr>
              <w:t>Unsecured Senior Notes and Annual</w:t>
            </w: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w w:val="97"/>
              </w:rPr>
              <w:t>Maturity</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center"/>
              <w:ind w:right="200"/>
              <w:spacing w:after="0" w:line="89" w:lineRule="exact"/>
              <w:rPr>
                <w:sz w:val="20"/>
                <w:szCs w:val="20"/>
                <w:color w:val="auto"/>
              </w:rPr>
            </w:pPr>
            <w:r>
              <w:rPr>
                <w:rFonts w:ascii="Times New Roman" w:cs="Times New Roman" w:eastAsia="Times New Roman" w:hAnsi="Times New Roman"/>
                <w:sz w:val="9"/>
                <w:szCs w:val="9"/>
                <w:b w:val="1"/>
                <w:bCs w:val="1"/>
                <w:color w:val="auto"/>
                <w:w w:val="98"/>
              </w:rPr>
              <w:t>millions, local</w:t>
            </w:r>
          </w:p>
        </w:tc>
        <w:tc>
          <w:tcPr>
            <w:tcW w:w="780" w:type="dxa"/>
            <w:vAlign w:val="bottom"/>
          </w:tcPr>
          <w:p>
            <w:pPr>
              <w:jc w:val="right"/>
              <w:ind w:right="96"/>
              <w:spacing w:after="0" w:line="89" w:lineRule="exact"/>
              <w:rPr>
                <w:sz w:val="20"/>
                <w:szCs w:val="20"/>
                <w:color w:val="auto"/>
              </w:rPr>
            </w:pPr>
            <w:r>
              <w:rPr>
                <w:rFonts w:ascii="Times New Roman" w:cs="Times New Roman" w:eastAsia="Times New Roman" w:hAnsi="Times New Roman"/>
                <w:sz w:val="9"/>
                <w:szCs w:val="9"/>
                <w:b w:val="1"/>
                <w:bCs w:val="1"/>
                <w:color w:val="auto"/>
              </w:rPr>
              <w:t>Net Proceeds</w:t>
            </w:r>
          </w:p>
        </w:tc>
        <w:tc>
          <w:tcPr>
            <w:tcW w:w="140" w:type="dxa"/>
            <w:vAlign w:val="bottom"/>
          </w:tcPr>
          <w:p>
            <w:pPr>
              <w:spacing w:after="0"/>
              <w:rPr>
                <w:sz w:val="7"/>
                <w:szCs w:val="7"/>
                <w:color w:val="auto"/>
              </w:rPr>
            </w:pPr>
          </w:p>
        </w:tc>
        <w:tc>
          <w:tcPr>
            <w:tcW w:w="1720" w:type="dxa"/>
            <w:vAlign w:val="bottom"/>
            <w:gridSpan w:val="2"/>
          </w:tcPr>
          <w:p>
            <w:pPr>
              <w:jc w:val="center"/>
              <w:ind w:right="140"/>
              <w:spacing w:after="0" w:line="89" w:lineRule="exact"/>
              <w:rPr>
                <w:sz w:val="20"/>
                <w:szCs w:val="20"/>
                <w:color w:val="auto"/>
              </w:rPr>
            </w:pPr>
            <w:r>
              <w:rPr>
                <w:rFonts w:ascii="Times New Roman" w:cs="Times New Roman" w:eastAsia="Times New Roman" w:hAnsi="Times New Roman"/>
                <w:sz w:val="9"/>
                <w:szCs w:val="9"/>
                <w:b w:val="1"/>
                <w:bCs w:val="1"/>
                <w:color w:val="auto"/>
                <w:w w:val="99"/>
              </w:rPr>
              <w:t>Interest Payment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 xml:space="preserve">Initial Issuer </w:t>
            </w:r>
            <w:r>
              <w:rPr>
                <w:rFonts w:ascii="Times New Roman" w:cs="Times New Roman" w:eastAsia="Times New Roman" w:hAnsi="Times New Roman"/>
                <w:sz w:val="13"/>
                <w:szCs w:val="13"/>
                <w:b w:val="1"/>
                <w:bCs w:val="1"/>
                <w:color w:val="auto"/>
                <w:w w:val="94"/>
                <w:vertAlign w:val="superscript"/>
              </w:rPr>
              <w:t>(2)</w:t>
            </w:r>
          </w:p>
        </w:tc>
        <w:tc>
          <w:tcPr>
            <w:tcW w:w="0" w:type="dxa"/>
            <w:vAlign w:val="bottom"/>
          </w:tcPr>
          <w:p>
            <w:pPr>
              <w:spacing w:after="0"/>
              <w:rPr>
                <w:sz w:val="1"/>
                <w:szCs w:val="1"/>
                <w:color w:val="auto"/>
              </w:rPr>
            </w:pPr>
          </w:p>
        </w:tc>
      </w:tr>
      <w:tr>
        <w:trPr>
          <w:trHeight w:val="114"/>
        </w:trPr>
        <w:tc>
          <w:tcPr>
            <w:tcW w:w="266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Interest Rate</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8"/>
              </w:rPr>
              <w:t>Date Issued</w:t>
            </w:r>
          </w:p>
        </w:tc>
        <w:tc>
          <w:tcPr>
            <w:tcW w:w="6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Date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5"/>
              </w:rPr>
              <w:t>currency)</w:t>
            </w:r>
          </w:p>
        </w:tc>
        <w:tc>
          <w:tcPr>
            <w:tcW w:w="780" w:type="dxa"/>
            <w:vAlign w:val="bottom"/>
          </w:tcPr>
          <w:p>
            <w:pPr>
              <w:jc w:val="right"/>
              <w:ind w:right="76"/>
              <w:spacing w:after="0" w:line="114" w:lineRule="exact"/>
              <w:rPr>
                <w:sz w:val="20"/>
                <w:szCs w:val="20"/>
                <w:color w:val="auto"/>
              </w:rPr>
            </w:pPr>
            <w:r>
              <w:rPr>
                <w:rFonts w:ascii="Times New Roman" w:cs="Times New Roman" w:eastAsia="Times New Roman" w:hAnsi="Times New Roman"/>
                <w:sz w:val="9"/>
                <w:szCs w:val="9"/>
                <w:b w:val="1"/>
                <w:bCs w:val="1"/>
                <w:color w:val="auto"/>
              </w:rPr>
              <w:t xml:space="preserve">(in millions) </w:t>
            </w:r>
            <w:r>
              <w:rPr>
                <w:rFonts w:ascii="Times New Roman" w:cs="Times New Roman" w:eastAsia="Times New Roman" w:hAnsi="Times New Roman"/>
                <w:sz w:val="13"/>
                <w:szCs w:val="13"/>
                <w:b w:val="1"/>
                <w:bCs w:val="1"/>
                <w:color w:val="auto"/>
                <w:vertAlign w:val="superscript"/>
              </w:rPr>
              <w:t>(1)</w:t>
            </w:r>
          </w:p>
        </w:tc>
        <w:tc>
          <w:tcPr>
            <w:tcW w:w="140" w:type="dxa"/>
            <w:vAlign w:val="bottom"/>
          </w:tcPr>
          <w:p>
            <w:pPr>
              <w:spacing w:after="0"/>
              <w:rPr>
                <w:sz w:val="9"/>
                <w:szCs w:val="9"/>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Dates</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20" w:type="dxa"/>
            <w:vAlign w:val="bottom"/>
            <w:tcBorders>
              <w:top w:val="single" w:sz="8" w:color="auto"/>
            </w:tcBorders>
            <w:shd w:val="clear" w:color="auto" w:fill="CCEEFF"/>
          </w:tcPr>
          <w:p>
            <w:pPr>
              <w:jc w:val="right"/>
              <w:ind w:right="1436"/>
              <w:spacing w:after="0" w:line="85" w:lineRule="exact"/>
              <w:rPr>
                <w:sz w:val="20"/>
                <w:szCs w:val="20"/>
                <w:color w:val="auto"/>
              </w:rPr>
            </w:pPr>
            <w:r>
              <w:rPr>
                <w:rFonts w:ascii="Times New Roman" w:cs="Times New Roman" w:eastAsia="Times New Roman" w:hAnsi="Times New Roman"/>
                <w:sz w:val="9"/>
                <w:szCs w:val="9"/>
                <w:color w:val="auto"/>
                <w:w w:val="94"/>
              </w:rPr>
              <w:t>Floating Rate Notes due 2022</w:t>
            </w:r>
          </w:p>
        </w:tc>
        <w:tc>
          <w:tcPr>
            <w:tcW w:w="1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jc w:val="center"/>
              <w:spacing w:after="0" w:line="85" w:lineRule="exact"/>
              <w:rPr>
                <w:sz w:val="20"/>
                <w:szCs w:val="20"/>
                <w:color w:val="auto"/>
              </w:rPr>
            </w:pPr>
            <w:r>
              <w:rPr>
                <w:rFonts w:ascii="Times New Roman" w:cs="Times New Roman" w:eastAsia="Times New Roman" w:hAnsi="Times New Roman"/>
                <w:sz w:val="9"/>
                <w:szCs w:val="9"/>
                <w:color w:val="auto"/>
                <w:w w:val="97"/>
              </w:rPr>
              <w:t>Sep 23, 2020</w:t>
            </w:r>
          </w:p>
        </w:tc>
        <w:tc>
          <w:tcPr>
            <w:tcW w:w="12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center"/>
              <w:spacing w:after="0" w:line="85" w:lineRule="exact"/>
              <w:rPr>
                <w:sz w:val="20"/>
                <w:szCs w:val="20"/>
                <w:color w:val="auto"/>
              </w:rPr>
            </w:pPr>
            <w:r>
              <w:rPr>
                <w:rFonts w:ascii="Times New Roman" w:cs="Times New Roman" w:eastAsia="Times New Roman" w:hAnsi="Times New Roman"/>
                <w:sz w:val="9"/>
                <w:szCs w:val="9"/>
                <w:color w:val="auto"/>
                <w:w w:val="97"/>
              </w:rPr>
              <w:t>Sep 23, 2022</w:t>
            </w: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300.0</w:t>
            </w:r>
          </w:p>
        </w:tc>
        <w:tc>
          <w:tcPr>
            <w:tcW w:w="12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348.7</w:t>
            </w:r>
          </w:p>
        </w:tc>
        <w:tc>
          <w:tcPr>
            <w:tcW w:w="140" w:type="dxa"/>
            <w:vAlign w:val="bottom"/>
            <w:tcBorders>
              <w:top w:val="single" w:sz="8" w:color="CCEEFF"/>
            </w:tcBorders>
            <w:shd w:val="clear" w:color="auto" w:fill="CCEEFF"/>
          </w:tcPr>
          <w:p>
            <w:pPr>
              <w:spacing w:after="0"/>
              <w:rPr>
                <w:sz w:val="7"/>
                <w:szCs w:val="7"/>
                <w:color w:val="auto"/>
              </w:rPr>
            </w:pPr>
          </w:p>
        </w:tc>
        <w:tc>
          <w:tcPr>
            <w:tcW w:w="1600" w:type="dxa"/>
            <w:vAlign w:val="bottom"/>
            <w:tcBorders>
              <w:top w:val="single" w:sz="8" w:color="auto"/>
            </w:tcBorders>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w w:val="99"/>
              </w:rPr>
              <w:t>Quarterly, commencing December 23, 2020</w:t>
            </w:r>
          </w:p>
        </w:tc>
        <w:tc>
          <w:tcPr>
            <w:tcW w:w="120" w:type="dxa"/>
            <w:vAlign w:val="bottom"/>
            <w:tcBorders>
              <w:top w:val="single" w:sz="8" w:color="CCEEFF"/>
            </w:tcBorders>
            <w:shd w:val="clear" w:color="auto" w:fill="CCEEFF"/>
          </w:tcPr>
          <w:p>
            <w:pPr>
              <w:spacing w:after="0"/>
              <w:rPr>
                <w:sz w:val="7"/>
                <w:szCs w:val="7"/>
                <w:color w:val="auto"/>
              </w:rPr>
            </w:pPr>
          </w:p>
        </w:tc>
        <w:tc>
          <w:tcPr>
            <w:tcW w:w="1200" w:type="dxa"/>
            <w:vAlign w:val="bottom"/>
            <w:tcBorders>
              <w:top w:val="single" w:sz="8" w:color="auto"/>
            </w:tcBorders>
            <w:shd w:val="clear" w:color="auto" w:fill="CCEEFF"/>
          </w:tcPr>
          <w:p>
            <w:pPr>
              <w:jc w:val="center"/>
              <w:spacing w:after="0" w:line="85" w:lineRule="exact"/>
              <w:rPr>
                <w:sz w:val="20"/>
                <w:szCs w:val="20"/>
                <w:color w:val="auto"/>
              </w:rPr>
            </w:pPr>
            <w:r>
              <w:rPr>
                <w:rFonts w:ascii="Times New Roman" w:cs="Times New Roman" w:eastAsia="Times New Roman" w:hAnsi="Times New Roman"/>
                <w:sz w:val="7"/>
                <w:szCs w:val="7"/>
                <w:color w:val="auto"/>
              </w:rPr>
              <w:t xml:space="preserve">Digital Dutch Finco B.V. </w:t>
            </w:r>
            <w:r>
              <w:rPr>
                <w:rFonts w:ascii="Times New Roman" w:cs="Times New Roman" w:eastAsia="Times New Roman" w:hAnsi="Times New Roman"/>
                <w:sz w:val="9"/>
                <w:szCs w:val="9"/>
                <w:color w:val="auto"/>
                <w:vertAlign w:val="superscript"/>
              </w:rPr>
              <w:t>(3)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gridSpan w:val="2"/>
          </w:tcPr>
          <w:p>
            <w:pPr>
              <w:jc w:val="right"/>
              <w:ind w:right="1800"/>
              <w:spacing w:after="0" w:line="95" w:lineRule="exact"/>
              <w:rPr>
                <w:sz w:val="20"/>
                <w:szCs w:val="20"/>
                <w:color w:val="auto"/>
              </w:rPr>
            </w:pPr>
            <w:r>
              <w:rPr>
                <w:rFonts w:ascii="Times New Roman" w:cs="Times New Roman" w:eastAsia="Times New Roman" w:hAnsi="Times New Roman"/>
                <w:sz w:val="9"/>
                <w:szCs w:val="9"/>
                <w:color w:val="auto"/>
                <w:w w:val="94"/>
              </w:rPr>
              <w:t>0.125% Notes due 2022</w:t>
            </w:r>
          </w:p>
        </w:tc>
        <w:tc>
          <w:tcPr>
            <w:tcW w:w="800" w:type="dxa"/>
            <w:vAlign w:val="bottom"/>
            <w:gridSpan w:val="2"/>
          </w:tcPr>
          <w:p>
            <w:pPr>
              <w:jc w:val="center"/>
              <w:ind w:right="140"/>
              <w:spacing w:after="0" w:line="95" w:lineRule="exact"/>
              <w:rPr>
                <w:sz w:val="20"/>
                <w:szCs w:val="20"/>
                <w:color w:val="auto"/>
              </w:rPr>
            </w:pPr>
            <w:r>
              <w:rPr>
                <w:rFonts w:ascii="Times New Roman" w:cs="Times New Roman" w:eastAsia="Times New Roman" w:hAnsi="Times New Roman"/>
                <w:sz w:val="9"/>
                <w:szCs w:val="9"/>
                <w:color w:val="auto"/>
              </w:rPr>
              <w:t>Jan 17, 2020</w:t>
            </w:r>
          </w:p>
        </w:tc>
        <w:tc>
          <w:tcPr>
            <w:tcW w:w="66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color w:val="auto"/>
                <w:w w:val="98"/>
              </w:rPr>
              <w:t>Oct 15, 2022</w:t>
            </w:r>
          </w:p>
        </w:tc>
        <w:tc>
          <w:tcPr>
            <w:tcW w:w="200" w:type="dxa"/>
            <w:vAlign w:val="bottom"/>
            <w:gridSpan w:val="2"/>
          </w:tcPr>
          <w:p>
            <w:pPr>
              <w:ind w:left="120"/>
              <w:spacing w:after="0" w:line="95"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300.0</w:t>
            </w:r>
          </w:p>
        </w:tc>
        <w:tc>
          <w:tcPr>
            <w:tcW w:w="120" w:type="dxa"/>
            <w:vAlign w:val="bottom"/>
          </w:tcPr>
          <w:p>
            <w:pPr>
              <w:spacing w:after="0"/>
              <w:rPr>
                <w:sz w:val="8"/>
                <w:szCs w:val="8"/>
                <w:color w:val="auto"/>
              </w:rPr>
            </w:pPr>
          </w:p>
        </w:tc>
        <w:tc>
          <w:tcPr>
            <w:tcW w:w="7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330.8</w:t>
            </w:r>
          </w:p>
        </w:tc>
        <w:tc>
          <w:tcPr>
            <w:tcW w:w="1860" w:type="dxa"/>
            <w:vAlign w:val="bottom"/>
            <w:gridSpan w:val="3"/>
          </w:tcPr>
          <w:p>
            <w:pPr>
              <w:ind w:left="120"/>
              <w:spacing w:after="0" w:line="95" w:lineRule="exact"/>
              <w:rPr>
                <w:sz w:val="20"/>
                <w:szCs w:val="20"/>
                <w:color w:val="auto"/>
              </w:rPr>
            </w:pPr>
            <w:r>
              <w:rPr>
                <w:rFonts w:ascii="Times New Roman" w:cs="Times New Roman" w:eastAsia="Times New Roman" w:hAnsi="Times New Roman"/>
                <w:sz w:val="9"/>
                <w:szCs w:val="9"/>
                <w:color w:val="auto"/>
              </w:rPr>
              <w:t>Annually, commencing October 15, 2020</w:t>
            </w:r>
          </w:p>
        </w:tc>
        <w:tc>
          <w:tcPr>
            <w:tcW w:w="1200" w:type="dxa"/>
            <w:vAlign w:val="bottom"/>
          </w:tcPr>
          <w:p>
            <w:pPr>
              <w:jc w:val="center"/>
              <w:spacing w:after="0" w:line="95" w:lineRule="exact"/>
              <w:rPr>
                <w:sz w:val="20"/>
                <w:szCs w:val="20"/>
                <w:color w:val="auto"/>
              </w:rPr>
            </w:pPr>
            <w:r>
              <w:rPr>
                <w:rFonts w:ascii="Times New Roman" w:cs="Times New Roman" w:eastAsia="Times New Roman" w:hAnsi="Times New Roman"/>
                <w:sz w:val="8"/>
                <w:szCs w:val="8"/>
                <w:color w:val="auto"/>
              </w:rPr>
              <w:t xml:space="preserve">Digital Dutch Finco B.V. </w:t>
            </w:r>
            <w:r>
              <w:rPr>
                <w:rFonts w:ascii="Times New Roman" w:cs="Times New Roman" w:eastAsia="Times New Roman" w:hAnsi="Times New Roman"/>
                <w:sz w:val="11"/>
                <w:szCs w:val="11"/>
                <w:color w:val="auto"/>
                <w:vertAlign w:val="superscript"/>
              </w:rPr>
              <w:t>(3)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860" w:type="dxa"/>
            <w:vAlign w:val="bottom"/>
            <w:gridSpan w:val="3"/>
            <w:shd w:val="clear" w:color="auto" w:fill="CCEEFF"/>
          </w:tcPr>
          <w:p>
            <w:pPr>
              <w:ind w:left="120"/>
              <w:spacing w:after="0" w:line="82" w:lineRule="exact"/>
              <w:rPr>
                <w:sz w:val="20"/>
                <w:szCs w:val="20"/>
                <w:color w:val="auto"/>
              </w:rPr>
            </w:pPr>
            <w:r>
              <w:rPr>
                <w:rFonts w:ascii="Times New Roman" w:cs="Times New Roman" w:eastAsia="Times New Roman" w:hAnsi="Times New Roman"/>
                <w:sz w:val="9"/>
                <w:szCs w:val="9"/>
                <w:color w:val="auto"/>
              </w:rPr>
              <w:t>Semi-annually, commencing February 1,</w:t>
            </w: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gridSpan w:val="2"/>
            <w:shd w:val="clear" w:color="auto" w:fill="CCEEFF"/>
          </w:tcPr>
          <w:p>
            <w:pPr>
              <w:jc w:val="right"/>
              <w:ind w:right="1800"/>
              <w:spacing w:after="0"/>
              <w:rPr>
                <w:sz w:val="20"/>
                <w:szCs w:val="20"/>
                <w:color w:val="auto"/>
              </w:rPr>
            </w:pPr>
            <w:r>
              <w:rPr>
                <w:rFonts w:ascii="Times New Roman" w:cs="Times New Roman" w:eastAsia="Times New Roman" w:hAnsi="Times New Roman"/>
                <w:sz w:val="9"/>
                <w:szCs w:val="9"/>
                <w:color w:val="auto"/>
                <w:w w:val="94"/>
              </w:rPr>
              <w:t>2.750% Notes due 2023</w:t>
            </w:r>
          </w:p>
        </w:tc>
        <w:tc>
          <w:tcPr>
            <w:tcW w:w="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9"/>
                <w:szCs w:val="9"/>
                <w:color w:val="auto"/>
                <w:w w:val="98"/>
              </w:rPr>
              <w:t>Aug 7, 2017</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9"/>
                <w:szCs w:val="9"/>
                <w:color w:val="auto"/>
                <w:w w:val="98"/>
              </w:rPr>
              <w:t>Feb 1, 2023</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350.0</w:t>
            </w: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346.9</w:t>
            </w:r>
          </w:p>
        </w:tc>
        <w:tc>
          <w:tcPr>
            <w:tcW w:w="1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2018</w:t>
            </w:r>
          </w:p>
        </w:tc>
        <w:tc>
          <w:tcPr>
            <w:tcW w:w="120" w:type="dxa"/>
            <w:vAlign w:val="bottom"/>
            <w:shd w:val="clear" w:color="auto" w:fill="CCEEFF"/>
          </w:tcPr>
          <w:p>
            <w:pPr>
              <w:spacing w:after="0"/>
              <w:rPr>
                <w:sz w:val="9"/>
                <w:szCs w:val="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9"/>
                <w:szCs w:val="9"/>
                <w:color w:val="auto"/>
                <w:w w:val="96"/>
              </w:rPr>
              <w:t>Digital Realty Trust, L.P.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gridSpan w:val="2"/>
          </w:tcPr>
          <w:p>
            <w:pPr>
              <w:jc w:val="right"/>
              <w:ind w:right="1800"/>
              <w:spacing w:after="0" w:line="95" w:lineRule="exact"/>
              <w:rPr>
                <w:sz w:val="20"/>
                <w:szCs w:val="20"/>
                <w:color w:val="auto"/>
              </w:rPr>
            </w:pPr>
            <w:r>
              <w:rPr>
                <w:rFonts w:ascii="Times New Roman" w:cs="Times New Roman" w:eastAsia="Times New Roman" w:hAnsi="Times New Roman"/>
                <w:sz w:val="9"/>
                <w:szCs w:val="9"/>
                <w:color w:val="auto"/>
                <w:w w:val="94"/>
              </w:rPr>
              <w:t>2.625% Notes due 2024</w:t>
            </w:r>
          </w:p>
        </w:tc>
        <w:tc>
          <w:tcPr>
            <w:tcW w:w="800" w:type="dxa"/>
            <w:vAlign w:val="bottom"/>
            <w:gridSpan w:val="2"/>
          </w:tcPr>
          <w:p>
            <w:pPr>
              <w:jc w:val="center"/>
              <w:ind w:right="140"/>
              <w:spacing w:after="0" w:line="95" w:lineRule="exact"/>
              <w:rPr>
                <w:sz w:val="20"/>
                <w:szCs w:val="20"/>
                <w:color w:val="auto"/>
              </w:rPr>
            </w:pPr>
            <w:r>
              <w:rPr>
                <w:rFonts w:ascii="Times New Roman" w:cs="Times New Roman" w:eastAsia="Times New Roman" w:hAnsi="Times New Roman"/>
                <w:sz w:val="9"/>
                <w:szCs w:val="9"/>
                <w:color w:val="auto"/>
                <w:w w:val="96"/>
              </w:rPr>
              <w:t>Apr 15, 2016</w:t>
            </w:r>
          </w:p>
        </w:tc>
        <w:tc>
          <w:tcPr>
            <w:tcW w:w="66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color w:val="auto"/>
                <w:w w:val="96"/>
              </w:rPr>
              <w:t>Apr 15, 2024</w:t>
            </w:r>
          </w:p>
        </w:tc>
        <w:tc>
          <w:tcPr>
            <w:tcW w:w="200" w:type="dxa"/>
            <w:vAlign w:val="bottom"/>
            <w:gridSpan w:val="2"/>
          </w:tcPr>
          <w:p>
            <w:pPr>
              <w:ind w:left="120"/>
              <w:spacing w:after="0" w:line="95"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600.0</w:t>
            </w:r>
          </w:p>
        </w:tc>
        <w:tc>
          <w:tcPr>
            <w:tcW w:w="120" w:type="dxa"/>
            <w:vAlign w:val="bottom"/>
          </w:tcPr>
          <w:p>
            <w:pPr>
              <w:spacing w:after="0"/>
              <w:rPr>
                <w:sz w:val="8"/>
                <w:szCs w:val="8"/>
                <w:color w:val="auto"/>
              </w:rPr>
            </w:pPr>
          </w:p>
        </w:tc>
        <w:tc>
          <w:tcPr>
            <w:tcW w:w="7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670.3</w:t>
            </w:r>
          </w:p>
        </w:tc>
        <w:tc>
          <w:tcPr>
            <w:tcW w:w="1860" w:type="dxa"/>
            <w:vAlign w:val="bottom"/>
            <w:gridSpan w:val="3"/>
          </w:tcPr>
          <w:p>
            <w:pPr>
              <w:ind w:left="120"/>
              <w:spacing w:after="0" w:line="95" w:lineRule="exact"/>
              <w:rPr>
                <w:sz w:val="20"/>
                <w:szCs w:val="20"/>
                <w:color w:val="auto"/>
              </w:rPr>
            </w:pPr>
            <w:r>
              <w:rPr>
                <w:rFonts w:ascii="Times New Roman" w:cs="Times New Roman" w:eastAsia="Times New Roman" w:hAnsi="Times New Roman"/>
                <w:sz w:val="9"/>
                <w:szCs w:val="9"/>
                <w:color w:val="auto"/>
              </w:rPr>
              <w:t>Annually, commencing April 15, 2017</w:t>
            </w:r>
          </w:p>
        </w:tc>
        <w:tc>
          <w:tcPr>
            <w:tcW w:w="1200" w:type="dxa"/>
            <w:vAlign w:val="bottom"/>
          </w:tcPr>
          <w:p>
            <w:pPr>
              <w:jc w:val="center"/>
              <w:spacing w:after="0" w:line="95" w:lineRule="exact"/>
              <w:rPr>
                <w:sz w:val="20"/>
                <w:szCs w:val="20"/>
                <w:color w:val="auto"/>
              </w:rPr>
            </w:pPr>
            <w:r>
              <w:rPr>
                <w:rFonts w:ascii="Times New Roman" w:cs="Times New Roman" w:eastAsia="Times New Roman" w:hAnsi="Times New Roman"/>
                <w:sz w:val="8"/>
                <w:szCs w:val="8"/>
                <w:color w:val="auto"/>
              </w:rPr>
              <w:t xml:space="preserve">Digital Euro Finco, LLC </w:t>
            </w:r>
            <w:r>
              <w:rPr>
                <w:rFonts w:ascii="Times New Roman" w:cs="Times New Roman" w:eastAsia="Times New Roman" w:hAnsi="Times New Roman"/>
                <w:sz w:val="11"/>
                <w:szCs w:val="11"/>
                <w:color w:val="auto"/>
                <w:vertAlign w:val="superscript"/>
              </w:rPr>
              <w:t>(3)</w:t>
            </w:r>
          </w:p>
        </w:tc>
        <w:tc>
          <w:tcPr>
            <w:tcW w:w="0" w:type="dxa"/>
            <w:vAlign w:val="bottom"/>
          </w:tcPr>
          <w:p>
            <w:pPr>
              <w:spacing w:after="0"/>
              <w:rPr>
                <w:sz w:val="1"/>
                <w:szCs w:val="1"/>
                <w:color w:val="auto"/>
              </w:rPr>
            </w:pPr>
          </w:p>
        </w:tc>
      </w:tr>
      <w:tr>
        <w:trPr>
          <w:trHeight w:val="95"/>
        </w:trPr>
        <w:tc>
          <w:tcPr>
            <w:tcW w:w="2660" w:type="dxa"/>
            <w:vAlign w:val="bottom"/>
            <w:gridSpan w:val="3"/>
            <w:shd w:val="clear" w:color="auto" w:fill="CCEEFF"/>
          </w:tcPr>
          <w:p>
            <w:pPr>
              <w:jc w:val="right"/>
              <w:ind w:right="1800"/>
              <w:spacing w:after="0" w:line="95" w:lineRule="exact"/>
              <w:rPr>
                <w:sz w:val="20"/>
                <w:szCs w:val="20"/>
                <w:color w:val="auto"/>
              </w:rPr>
            </w:pPr>
            <w:r>
              <w:rPr>
                <w:rFonts w:ascii="Times New Roman" w:cs="Times New Roman" w:eastAsia="Times New Roman" w:hAnsi="Times New Roman"/>
                <w:sz w:val="9"/>
                <w:szCs w:val="9"/>
                <w:color w:val="auto"/>
                <w:w w:val="97"/>
              </w:rPr>
              <w:t>2.750% Notes due 2024</w:t>
            </w:r>
          </w:p>
        </w:tc>
        <w:tc>
          <w:tcPr>
            <w:tcW w:w="800" w:type="dxa"/>
            <w:vAlign w:val="bottom"/>
            <w:gridSpan w:val="2"/>
            <w:shd w:val="clear" w:color="auto" w:fill="CCEEFF"/>
          </w:tcPr>
          <w:p>
            <w:pPr>
              <w:jc w:val="center"/>
              <w:ind w:right="120"/>
              <w:spacing w:after="0" w:line="95" w:lineRule="exact"/>
              <w:rPr>
                <w:sz w:val="20"/>
                <w:szCs w:val="20"/>
                <w:color w:val="auto"/>
              </w:rPr>
            </w:pPr>
            <w:r>
              <w:rPr>
                <w:rFonts w:ascii="Times New Roman" w:cs="Times New Roman" w:eastAsia="Times New Roman" w:hAnsi="Times New Roman"/>
                <w:sz w:val="9"/>
                <w:szCs w:val="9"/>
                <w:color w:val="auto"/>
                <w:w w:val="99"/>
              </w:rPr>
              <w:t>Jul 21, 2017</w:t>
            </w:r>
          </w:p>
        </w:tc>
        <w:tc>
          <w:tcPr>
            <w:tcW w:w="660" w:type="dxa"/>
            <w:vAlign w:val="bottom"/>
            <w:shd w:val="clear" w:color="auto" w:fill="CCEEFF"/>
          </w:tcPr>
          <w:p>
            <w:pPr>
              <w:jc w:val="center"/>
              <w:spacing w:after="0" w:line="95" w:lineRule="exact"/>
              <w:rPr>
                <w:sz w:val="20"/>
                <w:szCs w:val="20"/>
                <w:color w:val="auto"/>
              </w:rPr>
            </w:pPr>
            <w:r>
              <w:rPr>
                <w:rFonts w:ascii="Times New Roman" w:cs="Times New Roman" w:eastAsia="Times New Roman" w:hAnsi="Times New Roman"/>
                <w:sz w:val="9"/>
                <w:szCs w:val="9"/>
                <w:color w:val="auto"/>
                <w:w w:val="99"/>
              </w:rPr>
              <w:t>Jul 19, 2024</w:t>
            </w:r>
          </w:p>
        </w:tc>
        <w:tc>
          <w:tcPr>
            <w:tcW w:w="200" w:type="dxa"/>
            <w:vAlign w:val="bottom"/>
            <w:gridSpan w:val="2"/>
            <w:shd w:val="clear" w:color="auto" w:fill="CCEEFF"/>
          </w:tcPr>
          <w:p>
            <w:pPr>
              <w:ind w:left="120"/>
              <w:spacing w:after="0" w:line="95"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250.0</w:t>
            </w: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321.3</w:t>
            </w:r>
          </w:p>
        </w:tc>
        <w:tc>
          <w:tcPr>
            <w:tcW w:w="1860" w:type="dxa"/>
            <w:vAlign w:val="bottom"/>
            <w:gridSpan w:val="3"/>
            <w:shd w:val="clear" w:color="auto" w:fill="CCEEFF"/>
          </w:tcPr>
          <w:p>
            <w:pPr>
              <w:ind w:left="120"/>
              <w:spacing w:after="0" w:line="95" w:lineRule="exact"/>
              <w:rPr>
                <w:sz w:val="20"/>
                <w:szCs w:val="20"/>
                <w:color w:val="auto"/>
              </w:rPr>
            </w:pPr>
            <w:r>
              <w:rPr>
                <w:rFonts w:ascii="Times New Roman" w:cs="Times New Roman" w:eastAsia="Times New Roman" w:hAnsi="Times New Roman"/>
                <w:sz w:val="9"/>
                <w:szCs w:val="9"/>
                <w:color w:val="auto"/>
              </w:rPr>
              <w:t>Annually, commencing July 19, 2018</w:t>
            </w:r>
          </w:p>
        </w:tc>
        <w:tc>
          <w:tcPr>
            <w:tcW w:w="1200" w:type="dxa"/>
            <w:vAlign w:val="bottom"/>
            <w:shd w:val="clear" w:color="auto" w:fill="CCEEFF"/>
          </w:tcPr>
          <w:p>
            <w:pPr>
              <w:jc w:val="center"/>
              <w:spacing w:after="0" w:line="95" w:lineRule="exact"/>
              <w:rPr>
                <w:sz w:val="20"/>
                <w:szCs w:val="20"/>
                <w:color w:val="auto"/>
              </w:rPr>
            </w:pPr>
            <w:r>
              <w:rPr>
                <w:rFonts w:ascii="Times New Roman" w:cs="Times New Roman" w:eastAsia="Times New Roman" w:hAnsi="Times New Roman"/>
                <w:sz w:val="8"/>
                <w:szCs w:val="8"/>
                <w:color w:val="auto"/>
              </w:rPr>
              <w:t xml:space="preserve">Digital Stout Holding, LLC </w:t>
            </w:r>
            <w:r>
              <w:rPr>
                <w:rFonts w:ascii="Times New Roman" w:cs="Times New Roman" w:eastAsia="Times New Roman" w:hAnsi="Times New Roman"/>
                <w:sz w:val="11"/>
                <w:szCs w:val="11"/>
                <w:color w:val="auto"/>
                <w:vertAlign w:val="superscript"/>
              </w:rPr>
              <w:t>(4)</w:t>
            </w:r>
          </w:p>
        </w:tc>
        <w:tc>
          <w:tcPr>
            <w:tcW w:w="0" w:type="dxa"/>
            <w:vAlign w:val="bottom"/>
          </w:tcPr>
          <w:p>
            <w:pPr>
              <w:spacing w:after="0"/>
              <w:rPr>
                <w:sz w:val="1"/>
                <w:szCs w:val="1"/>
                <w:color w:val="auto"/>
              </w:rPr>
            </w:pPr>
          </w:p>
        </w:tc>
      </w:tr>
      <w:tr>
        <w:trPr>
          <w:trHeight w:val="95"/>
        </w:trPr>
        <w:tc>
          <w:tcPr>
            <w:tcW w:w="2660" w:type="dxa"/>
            <w:vAlign w:val="bottom"/>
            <w:gridSpan w:val="3"/>
          </w:tcPr>
          <w:p>
            <w:pPr>
              <w:jc w:val="right"/>
              <w:ind w:right="1800"/>
              <w:spacing w:after="0" w:line="95" w:lineRule="exact"/>
              <w:rPr>
                <w:sz w:val="20"/>
                <w:szCs w:val="20"/>
                <w:color w:val="auto"/>
              </w:rPr>
            </w:pPr>
            <w:r>
              <w:rPr>
                <w:rFonts w:ascii="Times New Roman" w:cs="Times New Roman" w:eastAsia="Times New Roman" w:hAnsi="Times New Roman"/>
                <w:sz w:val="9"/>
                <w:szCs w:val="9"/>
                <w:color w:val="auto"/>
                <w:w w:val="97"/>
              </w:rPr>
              <w:t>4.250% Notes due 2025</w:t>
            </w:r>
          </w:p>
        </w:tc>
        <w:tc>
          <w:tcPr>
            <w:tcW w:w="800" w:type="dxa"/>
            <w:vAlign w:val="bottom"/>
            <w:gridSpan w:val="2"/>
          </w:tcPr>
          <w:p>
            <w:pPr>
              <w:jc w:val="center"/>
              <w:ind w:right="140"/>
              <w:spacing w:after="0" w:line="95" w:lineRule="exact"/>
              <w:rPr>
                <w:sz w:val="20"/>
                <w:szCs w:val="20"/>
                <w:color w:val="auto"/>
              </w:rPr>
            </w:pPr>
            <w:r>
              <w:rPr>
                <w:rFonts w:ascii="Times New Roman" w:cs="Times New Roman" w:eastAsia="Times New Roman" w:hAnsi="Times New Roman"/>
                <w:sz w:val="9"/>
                <w:szCs w:val="9"/>
                <w:color w:val="auto"/>
              </w:rPr>
              <w:t>Jan 18, 2013</w:t>
            </w:r>
          </w:p>
        </w:tc>
        <w:tc>
          <w:tcPr>
            <w:tcW w:w="66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color w:val="auto"/>
              </w:rPr>
              <w:t>Jan 17, 2025</w:t>
            </w:r>
          </w:p>
        </w:tc>
        <w:tc>
          <w:tcPr>
            <w:tcW w:w="200" w:type="dxa"/>
            <w:vAlign w:val="bottom"/>
            <w:gridSpan w:val="2"/>
          </w:tcPr>
          <w:p>
            <w:pPr>
              <w:ind w:left="120"/>
              <w:spacing w:after="0" w:line="95"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400.0</w:t>
            </w:r>
          </w:p>
        </w:tc>
        <w:tc>
          <w:tcPr>
            <w:tcW w:w="120" w:type="dxa"/>
            <w:vAlign w:val="bottom"/>
          </w:tcPr>
          <w:p>
            <w:pPr>
              <w:spacing w:after="0"/>
              <w:rPr>
                <w:sz w:val="8"/>
                <w:szCs w:val="8"/>
                <w:color w:val="auto"/>
              </w:rPr>
            </w:pPr>
          </w:p>
        </w:tc>
        <w:tc>
          <w:tcPr>
            <w:tcW w:w="7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624.2</w:t>
            </w:r>
          </w:p>
        </w:tc>
        <w:tc>
          <w:tcPr>
            <w:tcW w:w="1860" w:type="dxa"/>
            <w:vAlign w:val="bottom"/>
            <w:gridSpan w:val="3"/>
          </w:tcPr>
          <w:p>
            <w:pPr>
              <w:ind w:left="120"/>
              <w:spacing w:after="0" w:line="95" w:lineRule="exact"/>
              <w:rPr>
                <w:sz w:val="20"/>
                <w:szCs w:val="20"/>
                <w:color w:val="auto"/>
              </w:rPr>
            </w:pPr>
            <w:r>
              <w:rPr>
                <w:rFonts w:ascii="Times New Roman" w:cs="Times New Roman" w:eastAsia="Times New Roman" w:hAnsi="Times New Roman"/>
                <w:sz w:val="9"/>
                <w:szCs w:val="9"/>
                <w:color w:val="auto"/>
              </w:rPr>
              <w:t>Semi-annually, commencing July 17, 2013</w:t>
            </w:r>
          </w:p>
        </w:tc>
        <w:tc>
          <w:tcPr>
            <w:tcW w:w="1200" w:type="dxa"/>
            <w:vAlign w:val="bottom"/>
          </w:tcPr>
          <w:p>
            <w:pPr>
              <w:jc w:val="center"/>
              <w:spacing w:after="0" w:line="95" w:lineRule="exact"/>
              <w:rPr>
                <w:sz w:val="20"/>
                <w:szCs w:val="20"/>
                <w:color w:val="auto"/>
              </w:rPr>
            </w:pPr>
            <w:r>
              <w:rPr>
                <w:rFonts w:ascii="Times New Roman" w:cs="Times New Roman" w:eastAsia="Times New Roman" w:hAnsi="Times New Roman"/>
                <w:sz w:val="8"/>
                <w:szCs w:val="8"/>
                <w:color w:val="auto"/>
              </w:rPr>
              <w:t xml:space="preserve">Digital Stout Holding, LLC </w:t>
            </w:r>
            <w:r>
              <w:rPr>
                <w:rFonts w:ascii="Times New Roman" w:cs="Times New Roman" w:eastAsia="Times New Roman" w:hAnsi="Times New Roman"/>
                <w:sz w:val="11"/>
                <w:szCs w:val="11"/>
                <w:color w:val="auto"/>
                <w:vertAlign w:val="superscript"/>
              </w:rPr>
              <w:t>(4)</w:t>
            </w:r>
          </w:p>
        </w:tc>
        <w:tc>
          <w:tcPr>
            <w:tcW w:w="0" w:type="dxa"/>
            <w:vAlign w:val="bottom"/>
          </w:tcPr>
          <w:p>
            <w:pPr>
              <w:spacing w:after="0"/>
              <w:rPr>
                <w:sz w:val="1"/>
                <w:szCs w:val="1"/>
                <w:color w:val="auto"/>
              </w:rPr>
            </w:pPr>
          </w:p>
        </w:tc>
      </w:tr>
      <w:tr>
        <w:trPr>
          <w:trHeight w:val="95"/>
        </w:trPr>
        <w:tc>
          <w:tcPr>
            <w:tcW w:w="2660" w:type="dxa"/>
            <w:vAlign w:val="bottom"/>
            <w:gridSpan w:val="3"/>
            <w:shd w:val="clear" w:color="auto" w:fill="CCEEFF"/>
          </w:tcPr>
          <w:p>
            <w:pPr>
              <w:jc w:val="right"/>
              <w:ind w:right="1800"/>
              <w:spacing w:after="0" w:line="95" w:lineRule="exact"/>
              <w:rPr>
                <w:sz w:val="20"/>
                <w:szCs w:val="20"/>
                <w:color w:val="auto"/>
              </w:rPr>
            </w:pPr>
            <w:r>
              <w:rPr>
                <w:rFonts w:ascii="Times New Roman" w:cs="Times New Roman" w:eastAsia="Times New Roman" w:hAnsi="Times New Roman"/>
                <w:sz w:val="9"/>
                <w:szCs w:val="9"/>
                <w:color w:val="auto"/>
                <w:w w:val="97"/>
              </w:rPr>
              <w:t>0.625% Notes due 2025</w:t>
            </w:r>
          </w:p>
        </w:tc>
        <w:tc>
          <w:tcPr>
            <w:tcW w:w="800" w:type="dxa"/>
            <w:vAlign w:val="bottom"/>
            <w:gridSpan w:val="2"/>
            <w:shd w:val="clear" w:color="auto" w:fill="CCEEFF"/>
          </w:tcPr>
          <w:p>
            <w:pPr>
              <w:jc w:val="center"/>
              <w:ind w:right="140"/>
              <w:spacing w:after="0" w:line="95" w:lineRule="exact"/>
              <w:rPr>
                <w:sz w:val="20"/>
                <w:szCs w:val="20"/>
                <w:color w:val="auto"/>
              </w:rPr>
            </w:pPr>
            <w:r>
              <w:rPr>
                <w:rFonts w:ascii="Times New Roman" w:cs="Times New Roman" w:eastAsia="Times New Roman" w:hAnsi="Times New Roman"/>
                <w:sz w:val="9"/>
                <w:szCs w:val="9"/>
                <w:color w:val="auto"/>
              </w:rPr>
              <w:t>Jan 17, 2020</w:t>
            </w:r>
          </w:p>
        </w:tc>
        <w:tc>
          <w:tcPr>
            <w:tcW w:w="660" w:type="dxa"/>
            <w:vAlign w:val="bottom"/>
            <w:shd w:val="clear" w:color="auto" w:fill="CCEEFF"/>
          </w:tcPr>
          <w:p>
            <w:pPr>
              <w:jc w:val="center"/>
              <w:spacing w:after="0" w:line="95" w:lineRule="exact"/>
              <w:rPr>
                <w:sz w:val="20"/>
                <w:szCs w:val="20"/>
                <w:color w:val="auto"/>
              </w:rPr>
            </w:pPr>
            <w:r>
              <w:rPr>
                <w:rFonts w:ascii="Times New Roman" w:cs="Times New Roman" w:eastAsia="Times New Roman" w:hAnsi="Times New Roman"/>
                <w:sz w:val="9"/>
                <w:szCs w:val="9"/>
                <w:color w:val="auto"/>
                <w:w w:val="99"/>
              </w:rPr>
              <w:t>Jul 15, 2025</w:t>
            </w:r>
          </w:p>
        </w:tc>
        <w:tc>
          <w:tcPr>
            <w:tcW w:w="200" w:type="dxa"/>
            <w:vAlign w:val="bottom"/>
            <w:gridSpan w:val="2"/>
            <w:shd w:val="clear" w:color="auto" w:fill="CCEEFF"/>
          </w:tcPr>
          <w:p>
            <w:pPr>
              <w:ind w:left="120"/>
              <w:spacing w:after="0" w:line="95"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650.0</w:t>
            </w: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712.0</w:t>
            </w:r>
          </w:p>
        </w:tc>
        <w:tc>
          <w:tcPr>
            <w:tcW w:w="1860" w:type="dxa"/>
            <w:vAlign w:val="bottom"/>
            <w:gridSpan w:val="3"/>
            <w:shd w:val="clear" w:color="auto" w:fill="CCEEFF"/>
          </w:tcPr>
          <w:p>
            <w:pPr>
              <w:ind w:left="120"/>
              <w:spacing w:after="0" w:line="95" w:lineRule="exact"/>
              <w:rPr>
                <w:sz w:val="20"/>
                <w:szCs w:val="20"/>
                <w:color w:val="auto"/>
              </w:rPr>
            </w:pPr>
            <w:r>
              <w:rPr>
                <w:rFonts w:ascii="Times New Roman" w:cs="Times New Roman" w:eastAsia="Times New Roman" w:hAnsi="Times New Roman"/>
                <w:sz w:val="9"/>
                <w:szCs w:val="9"/>
                <w:color w:val="auto"/>
              </w:rPr>
              <w:t>Annually, commencing July 15, 2020</w:t>
            </w:r>
          </w:p>
        </w:tc>
        <w:tc>
          <w:tcPr>
            <w:tcW w:w="1200" w:type="dxa"/>
            <w:vAlign w:val="bottom"/>
            <w:shd w:val="clear" w:color="auto" w:fill="CCEEFF"/>
          </w:tcPr>
          <w:p>
            <w:pPr>
              <w:jc w:val="center"/>
              <w:spacing w:after="0" w:line="95" w:lineRule="exact"/>
              <w:rPr>
                <w:sz w:val="20"/>
                <w:szCs w:val="20"/>
                <w:color w:val="auto"/>
              </w:rPr>
            </w:pPr>
            <w:r>
              <w:rPr>
                <w:rFonts w:ascii="Times New Roman" w:cs="Times New Roman" w:eastAsia="Times New Roman" w:hAnsi="Times New Roman"/>
                <w:sz w:val="8"/>
                <w:szCs w:val="8"/>
                <w:color w:val="auto"/>
              </w:rPr>
              <w:t xml:space="preserve">Digital Dutch Finco B.V. </w:t>
            </w:r>
            <w:r>
              <w:rPr>
                <w:rFonts w:ascii="Times New Roman" w:cs="Times New Roman" w:eastAsia="Times New Roman" w:hAnsi="Times New Roman"/>
                <w:sz w:val="11"/>
                <w:szCs w:val="11"/>
                <w:color w:val="auto"/>
                <w:vertAlign w:val="superscript"/>
              </w:rPr>
              <w:t>(3)</w:t>
            </w:r>
          </w:p>
        </w:tc>
        <w:tc>
          <w:tcPr>
            <w:tcW w:w="0" w:type="dxa"/>
            <w:vAlign w:val="bottom"/>
          </w:tcPr>
          <w:p>
            <w:pPr>
              <w:spacing w:after="0"/>
              <w:rPr>
                <w:sz w:val="1"/>
                <w:szCs w:val="1"/>
                <w:color w:val="auto"/>
              </w:rPr>
            </w:pPr>
          </w:p>
        </w:tc>
      </w:tr>
      <w:tr>
        <w:trPr>
          <w:trHeight w:val="95"/>
        </w:trPr>
        <w:tc>
          <w:tcPr>
            <w:tcW w:w="2660" w:type="dxa"/>
            <w:vAlign w:val="bottom"/>
            <w:gridSpan w:val="3"/>
          </w:tcPr>
          <w:p>
            <w:pPr>
              <w:jc w:val="right"/>
              <w:ind w:right="1800"/>
              <w:spacing w:after="0" w:line="95" w:lineRule="exact"/>
              <w:rPr>
                <w:sz w:val="20"/>
                <w:szCs w:val="20"/>
                <w:color w:val="auto"/>
              </w:rPr>
            </w:pPr>
            <w:r>
              <w:rPr>
                <w:rFonts w:ascii="Times New Roman" w:cs="Times New Roman" w:eastAsia="Times New Roman" w:hAnsi="Times New Roman"/>
                <w:sz w:val="9"/>
                <w:szCs w:val="9"/>
                <w:color w:val="auto"/>
                <w:w w:val="97"/>
              </w:rPr>
              <w:t>4.750% Notes due 2025</w:t>
            </w:r>
          </w:p>
        </w:tc>
        <w:tc>
          <w:tcPr>
            <w:tcW w:w="800" w:type="dxa"/>
            <w:vAlign w:val="bottom"/>
            <w:gridSpan w:val="2"/>
          </w:tcPr>
          <w:p>
            <w:pPr>
              <w:jc w:val="center"/>
              <w:ind w:right="140"/>
              <w:spacing w:after="0" w:line="95" w:lineRule="exact"/>
              <w:rPr>
                <w:sz w:val="20"/>
                <w:szCs w:val="20"/>
                <w:color w:val="auto"/>
              </w:rPr>
            </w:pPr>
            <w:r>
              <w:rPr>
                <w:rFonts w:ascii="Times New Roman" w:cs="Times New Roman" w:eastAsia="Times New Roman" w:hAnsi="Times New Roman"/>
                <w:sz w:val="9"/>
                <w:szCs w:val="9"/>
                <w:color w:val="auto"/>
                <w:w w:val="99"/>
              </w:rPr>
              <w:t>Oct 1, 2015</w:t>
            </w:r>
          </w:p>
        </w:tc>
        <w:tc>
          <w:tcPr>
            <w:tcW w:w="66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color w:val="auto"/>
                <w:w w:val="99"/>
              </w:rPr>
              <w:t>Oct 1, 2025</w:t>
            </w:r>
          </w:p>
        </w:tc>
        <w:tc>
          <w:tcPr>
            <w:tcW w:w="200" w:type="dxa"/>
            <w:vAlign w:val="bottom"/>
            <w:gridSpan w:val="2"/>
          </w:tcPr>
          <w:p>
            <w:pPr>
              <w:ind w:left="120"/>
              <w:spacing w:after="0" w:line="95"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450.0</w:t>
            </w:r>
          </w:p>
        </w:tc>
        <w:tc>
          <w:tcPr>
            <w:tcW w:w="120" w:type="dxa"/>
            <w:vAlign w:val="bottom"/>
          </w:tcPr>
          <w:p>
            <w:pPr>
              <w:spacing w:after="0"/>
              <w:rPr>
                <w:sz w:val="8"/>
                <w:szCs w:val="8"/>
                <w:color w:val="auto"/>
              </w:rPr>
            </w:pPr>
          </w:p>
        </w:tc>
        <w:tc>
          <w:tcPr>
            <w:tcW w:w="7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445.8</w:t>
            </w:r>
          </w:p>
        </w:tc>
        <w:tc>
          <w:tcPr>
            <w:tcW w:w="1860" w:type="dxa"/>
            <w:vAlign w:val="bottom"/>
            <w:gridSpan w:val="3"/>
          </w:tcPr>
          <w:p>
            <w:pPr>
              <w:ind w:left="120"/>
              <w:spacing w:after="0" w:line="95" w:lineRule="exact"/>
              <w:rPr>
                <w:sz w:val="20"/>
                <w:szCs w:val="20"/>
                <w:color w:val="auto"/>
              </w:rPr>
            </w:pPr>
            <w:r>
              <w:rPr>
                <w:rFonts w:ascii="Times New Roman" w:cs="Times New Roman" w:eastAsia="Times New Roman" w:hAnsi="Times New Roman"/>
                <w:sz w:val="9"/>
                <w:szCs w:val="9"/>
                <w:color w:val="auto"/>
              </w:rPr>
              <w:t>Semi-annually, commencing April 1, 2016</w:t>
            </w:r>
          </w:p>
        </w:tc>
        <w:tc>
          <w:tcPr>
            <w:tcW w:w="1200" w:type="dxa"/>
            <w:vAlign w:val="bottom"/>
          </w:tcPr>
          <w:p>
            <w:pPr>
              <w:jc w:val="center"/>
              <w:spacing w:after="0" w:line="95" w:lineRule="exact"/>
              <w:rPr>
                <w:sz w:val="20"/>
                <w:szCs w:val="20"/>
                <w:color w:val="auto"/>
              </w:rPr>
            </w:pPr>
            <w:r>
              <w:rPr>
                <w:rFonts w:ascii="Times New Roman" w:cs="Times New Roman" w:eastAsia="Times New Roman" w:hAnsi="Times New Roman"/>
                <w:sz w:val="8"/>
                <w:szCs w:val="8"/>
                <w:color w:val="auto"/>
              </w:rPr>
              <w:t xml:space="preserve">Digital Delta Holdings, LLC </w:t>
            </w:r>
            <w:r>
              <w:rPr>
                <w:rFonts w:ascii="Times New Roman" w:cs="Times New Roman" w:eastAsia="Times New Roman" w:hAnsi="Times New Roman"/>
                <w:sz w:val="11"/>
                <w:szCs w:val="11"/>
                <w:color w:val="auto"/>
                <w:vertAlign w:val="superscript"/>
              </w:rPr>
              <w:t>(5)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gridSpan w:val="2"/>
            <w:shd w:val="clear" w:color="auto" w:fill="CCEEFF"/>
          </w:tcPr>
          <w:p>
            <w:pPr>
              <w:jc w:val="right"/>
              <w:ind w:right="1800"/>
              <w:spacing w:after="0" w:line="95" w:lineRule="exact"/>
              <w:rPr>
                <w:sz w:val="20"/>
                <w:szCs w:val="20"/>
                <w:color w:val="auto"/>
              </w:rPr>
            </w:pPr>
            <w:r>
              <w:rPr>
                <w:rFonts w:ascii="Times New Roman" w:cs="Times New Roman" w:eastAsia="Times New Roman" w:hAnsi="Times New Roman"/>
                <w:sz w:val="9"/>
                <w:szCs w:val="9"/>
                <w:color w:val="auto"/>
                <w:w w:val="94"/>
              </w:rPr>
              <w:t>2.500% Notes due 2026</w:t>
            </w:r>
          </w:p>
        </w:tc>
        <w:tc>
          <w:tcPr>
            <w:tcW w:w="800" w:type="dxa"/>
            <w:vAlign w:val="bottom"/>
            <w:gridSpan w:val="2"/>
            <w:shd w:val="clear" w:color="auto" w:fill="CCEEFF"/>
          </w:tcPr>
          <w:p>
            <w:pPr>
              <w:jc w:val="center"/>
              <w:ind w:right="140"/>
              <w:spacing w:after="0" w:line="95" w:lineRule="exact"/>
              <w:rPr>
                <w:sz w:val="20"/>
                <w:szCs w:val="20"/>
                <w:color w:val="auto"/>
              </w:rPr>
            </w:pPr>
            <w:r>
              <w:rPr>
                <w:rFonts w:ascii="Times New Roman" w:cs="Times New Roman" w:eastAsia="Times New Roman" w:hAnsi="Times New Roman"/>
                <w:sz w:val="9"/>
                <w:szCs w:val="9"/>
                <w:color w:val="auto"/>
              </w:rPr>
              <w:t>Jan 16, 2019</w:t>
            </w:r>
          </w:p>
        </w:tc>
        <w:tc>
          <w:tcPr>
            <w:tcW w:w="660" w:type="dxa"/>
            <w:vAlign w:val="bottom"/>
            <w:shd w:val="clear" w:color="auto" w:fill="CCEEFF"/>
          </w:tcPr>
          <w:p>
            <w:pPr>
              <w:jc w:val="center"/>
              <w:spacing w:after="0" w:line="95" w:lineRule="exact"/>
              <w:rPr>
                <w:sz w:val="20"/>
                <w:szCs w:val="20"/>
                <w:color w:val="auto"/>
              </w:rPr>
            </w:pPr>
            <w:r>
              <w:rPr>
                <w:rFonts w:ascii="Times New Roman" w:cs="Times New Roman" w:eastAsia="Times New Roman" w:hAnsi="Times New Roman"/>
                <w:sz w:val="9"/>
                <w:szCs w:val="9"/>
                <w:color w:val="auto"/>
              </w:rPr>
              <w:t>Jan 16, 2026</w:t>
            </w:r>
          </w:p>
        </w:tc>
        <w:tc>
          <w:tcPr>
            <w:tcW w:w="200" w:type="dxa"/>
            <w:vAlign w:val="bottom"/>
            <w:gridSpan w:val="2"/>
            <w:shd w:val="clear" w:color="auto" w:fill="CCEEFF"/>
          </w:tcPr>
          <w:p>
            <w:pPr>
              <w:ind w:left="120"/>
              <w:spacing w:after="0" w:line="95" w:lineRule="exact"/>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1,075.0</w:t>
            </w: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1,218.6</w:t>
            </w:r>
          </w:p>
        </w:tc>
        <w:tc>
          <w:tcPr>
            <w:tcW w:w="1860" w:type="dxa"/>
            <w:vAlign w:val="bottom"/>
            <w:gridSpan w:val="3"/>
            <w:shd w:val="clear" w:color="auto" w:fill="CCEEFF"/>
          </w:tcPr>
          <w:p>
            <w:pPr>
              <w:ind w:left="120"/>
              <w:spacing w:after="0" w:line="95" w:lineRule="exact"/>
              <w:rPr>
                <w:sz w:val="20"/>
                <w:szCs w:val="20"/>
                <w:color w:val="auto"/>
              </w:rPr>
            </w:pPr>
            <w:r>
              <w:rPr>
                <w:rFonts w:ascii="Times New Roman" w:cs="Times New Roman" w:eastAsia="Times New Roman" w:hAnsi="Times New Roman"/>
                <w:sz w:val="9"/>
                <w:szCs w:val="9"/>
                <w:color w:val="auto"/>
              </w:rPr>
              <w:t>Annually, commencing January 16, 2020</w:t>
            </w:r>
          </w:p>
        </w:tc>
        <w:tc>
          <w:tcPr>
            <w:tcW w:w="1200" w:type="dxa"/>
            <w:vAlign w:val="bottom"/>
            <w:shd w:val="clear" w:color="auto" w:fill="CCEEFF"/>
          </w:tcPr>
          <w:p>
            <w:pPr>
              <w:jc w:val="center"/>
              <w:spacing w:after="0" w:line="95" w:lineRule="exact"/>
              <w:rPr>
                <w:sz w:val="20"/>
                <w:szCs w:val="20"/>
                <w:color w:val="auto"/>
              </w:rPr>
            </w:pPr>
            <w:r>
              <w:rPr>
                <w:rFonts w:ascii="Times New Roman" w:cs="Times New Roman" w:eastAsia="Times New Roman" w:hAnsi="Times New Roman"/>
                <w:sz w:val="8"/>
                <w:szCs w:val="8"/>
                <w:color w:val="auto"/>
              </w:rPr>
              <w:t xml:space="preserve">Digital Euro Finco, LLC </w:t>
            </w:r>
            <w:r>
              <w:rPr>
                <w:rFonts w:ascii="Times New Roman" w:cs="Times New Roman" w:eastAsia="Times New Roman" w:hAnsi="Times New Roman"/>
                <w:sz w:val="11"/>
                <w:szCs w:val="11"/>
                <w:color w:val="auto"/>
                <w:vertAlign w:val="superscript"/>
              </w:rPr>
              <w:t>(3)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60" w:type="dxa"/>
            <w:vAlign w:val="bottom"/>
            <w:gridSpan w:val="3"/>
          </w:tcPr>
          <w:p>
            <w:pPr>
              <w:ind w:left="120"/>
              <w:spacing w:after="0" w:line="82" w:lineRule="exact"/>
              <w:rPr>
                <w:sz w:val="20"/>
                <w:szCs w:val="20"/>
                <w:color w:val="auto"/>
              </w:rPr>
            </w:pPr>
            <w:r>
              <w:rPr>
                <w:rFonts w:ascii="Times New Roman" w:cs="Times New Roman" w:eastAsia="Times New Roman" w:hAnsi="Times New Roman"/>
                <w:sz w:val="9"/>
                <w:szCs w:val="9"/>
                <w:color w:val="auto"/>
              </w:rPr>
              <w:t>Semi-annually, commencing February 15,</w:t>
            </w: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gridSpan w:val="3"/>
          </w:tcPr>
          <w:p>
            <w:pPr>
              <w:jc w:val="right"/>
              <w:ind w:right="1800"/>
              <w:spacing w:after="0"/>
              <w:rPr>
                <w:sz w:val="20"/>
                <w:szCs w:val="20"/>
                <w:color w:val="auto"/>
              </w:rPr>
            </w:pPr>
            <w:r>
              <w:rPr>
                <w:rFonts w:ascii="Times New Roman" w:cs="Times New Roman" w:eastAsia="Times New Roman" w:hAnsi="Times New Roman"/>
                <w:sz w:val="9"/>
                <w:szCs w:val="9"/>
                <w:color w:val="auto"/>
                <w:w w:val="97"/>
              </w:rPr>
              <w:t>3.700% Notes due 2027</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color w:val="auto"/>
                <w:w w:val="98"/>
              </w:rPr>
              <w:t>Aug 7, 2017</w:t>
            </w:r>
          </w:p>
        </w:tc>
        <w:tc>
          <w:tcPr>
            <w:tcW w:w="6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7"/>
              </w:rPr>
              <w:t>Aug 15, 2027</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1,000.0</w:t>
            </w: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991.0</w:t>
            </w: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2018</w:t>
            </w:r>
          </w:p>
        </w:tc>
        <w:tc>
          <w:tcPr>
            <w:tcW w:w="120" w:type="dxa"/>
            <w:vAlign w:val="bottom"/>
          </w:tcPr>
          <w:p>
            <w:pPr>
              <w:spacing w:after="0"/>
              <w:rPr>
                <w:sz w:val="9"/>
                <w:szCs w:val="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6"/>
              </w:rPr>
              <w:t>Digital Realty Trust, L.P.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gridSpan w:val="2"/>
            <w:shd w:val="clear" w:color="auto" w:fill="CCEEFF"/>
          </w:tcPr>
          <w:p>
            <w:pPr>
              <w:jc w:val="right"/>
              <w:ind w:right="1800"/>
              <w:spacing w:after="0" w:line="95" w:lineRule="exact"/>
              <w:rPr>
                <w:sz w:val="20"/>
                <w:szCs w:val="20"/>
                <w:color w:val="auto"/>
              </w:rPr>
            </w:pPr>
            <w:r>
              <w:rPr>
                <w:rFonts w:ascii="Times New Roman" w:cs="Times New Roman" w:eastAsia="Times New Roman" w:hAnsi="Times New Roman"/>
                <w:sz w:val="9"/>
                <w:szCs w:val="9"/>
                <w:color w:val="auto"/>
                <w:w w:val="94"/>
              </w:rPr>
              <w:t>1.125% Notes due 2028</w:t>
            </w:r>
          </w:p>
        </w:tc>
        <w:tc>
          <w:tcPr>
            <w:tcW w:w="800" w:type="dxa"/>
            <w:vAlign w:val="bottom"/>
            <w:gridSpan w:val="2"/>
            <w:shd w:val="clear" w:color="auto" w:fill="CCEEFF"/>
          </w:tcPr>
          <w:p>
            <w:pPr>
              <w:jc w:val="center"/>
              <w:ind w:right="140"/>
              <w:spacing w:after="0" w:line="95" w:lineRule="exact"/>
              <w:rPr>
                <w:sz w:val="20"/>
                <w:szCs w:val="20"/>
                <w:color w:val="auto"/>
              </w:rPr>
            </w:pPr>
            <w:r>
              <w:rPr>
                <w:rFonts w:ascii="Times New Roman" w:cs="Times New Roman" w:eastAsia="Times New Roman" w:hAnsi="Times New Roman"/>
                <w:sz w:val="9"/>
                <w:szCs w:val="9"/>
                <w:color w:val="auto"/>
                <w:w w:val="99"/>
              </w:rPr>
              <w:t>Oct 9, 2019</w:t>
            </w:r>
          </w:p>
        </w:tc>
        <w:tc>
          <w:tcPr>
            <w:tcW w:w="660" w:type="dxa"/>
            <w:vAlign w:val="bottom"/>
            <w:shd w:val="clear" w:color="auto" w:fill="CCEEFF"/>
          </w:tcPr>
          <w:p>
            <w:pPr>
              <w:jc w:val="center"/>
              <w:spacing w:after="0" w:line="95" w:lineRule="exact"/>
              <w:rPr>
                <w:sz w:val="20"/>
                <w:szCs w:val="20"/>
                <w:color w:val="auto"/>
              </w:rPr>
            </w:pPr>
            <w:r>
              <w:rPr>
                <w:rFonts w:ascii="Times New Roman" w:cs="Times New Roman" w:eastAsia="Times New Roman" w:hAnsi="Times New Roman"/>
                <w:sz w:val="9"/>
                <w:szCs w:val="9"/>
                <w:color w:val="auto"/>
                <w:w w:val="97"/>
              </w:rPr>
              <w:t>Apr 9, 2028</w:t>
            </w:r>
          </w:p>
        </w:tc>
        <w:tc>
          <w:tcPr>
            <w:tcW w:w="200" w:type="dxa"/>
            <w:vAlign w:val="bottom"/>
            <w:gridSpan w:val="2"/>
            <w:shd w:val="clear" w:color="auto" w:fill="CCEEFF"/>
          </w:tcPr>
          <w:p>
            <w:pPr>
              <w:ind w:left="120"/>
              <w:spacing w:after="0" w:line="95" w:lineRule="exact"/>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500.0</w:t>
            </w: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539.7</w:t>
            </w:r>
          </w:p>
        </w:tc>
        <w:tc>
          <w:tcPr>
            <w:tcW w:w="1860" w:type="dxa"/>
            <w:vAlign w:val="bottom"/>
            <w:gridSpan w:val="3"/>
            <w:shd w:val="clear" w:color="auto" w:fill="CCEEFF"/>
          </w:tcPr>
          <w:p>
            <w:pPr>
              <w:ind w:left="120"/>
              <w:spacing w:after="0" w:line="95" w:lineRule="exact"/>
              <w:rPr>
                <w:sz w:val="20"/>
                <w:szCs w:val="20"/>
                <w:color w:val="auto"/>
              </w:rPr>
            </w:pPr>
            <w:r>
              <w:rPr>
                <w:rFonts w:ascii="Times New Roman" w:cs="Times New Roman" w:eastAsia="Times New Roman" w:hAnsi="Times New Roman"/>
                <w:sz w:val="9"/>
                <w:szCs w:val="9"/>
                <w:color w:val="auto"/>
              </w:rPr>
              <w:t>Annually, commencing April 9, 2020</w:t>
            </w:r>
          </w:p>
        </w:tc>
        <w:tc>
          <w:tcPr>
            <w:tcW w:w="1200" w:type="dxa"/>
            <w:vAlign w:val="bottom"/>
            <w:shd w:val="clear" w:color="auto" w:fill="CCEEFF"/>
          </w:tcPr>
          <w:p>
            <w:pPr>
              <w:jc w:val="center"/>
              <w:spacing w:after="0" w:line="95" w:lineRule="exact"/>
              <w:rPr>
                <w:sz w:val="20"/>
                <w:szCs w:val="20"/>
                <w:color w:val="auto"/>
              </w:rPr>
            </w:pPr>
            <w:r>
              <w:rPr>
                <w:rFonts w:ascii="Times New Roman" w:cs="Times New Roman" w:eastAsia="Times New Roman" w:hAnsi="Times New Roman"/>
                <w:sz w:val="8"/>
                <w:szCs w:val="8"/>
                <w:color w:val="auto"/>
              </w:rPr>
              <w:t xml:space="preserve">Digital Euro Finco, LLC </w:t>
            </w:r>
            <w:r>
              <w:rPr>
                <w:rFonts w:ascii="Times New Roman" w:cs="Times New Roman" w:eastAsia="Times New Roman" w:hAnsi="Times New Roman"/>
                <w:sz w:val="11"/>
                <w:szCs w:val="11"/>
                <w:color w:val="auto"/>
                <w:vertAlign w:val="superscript"/>
              </w:rPr>
              <w:t>(3)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60" w:type="dxa"/>
            <w:vAlign w:val="bottom"/>
            <w:gridSpan w:val="3"/>
          </w:tcPr>
          <w:p>
            <w:pPr>
              <w:ind w:left="120"/>
              <w:spacing w:after="0" w:line="82" w:lineRule="exact"/>
              <w:rPr>
                <w:sz w:val="20"/>
                <w:szCs w:val="20"/>
                <w:color w:val="auto"/>
              </w:rPr>
            </w:pPr>
            <w:r>
              <w:rPr>
                <w:rFonts w:ascii="Times New Roman" w:cs="Times New Roman" w:eastAsia="Times New Roman" w:hAnsi="Times New Roman"/>
                <w:sz w:val="9"/>
                <w:szCs w:val="9"/>
                <w:color w:val="auto"/>
              </w:rPr>
              <w:t>Semi-annually, commencing January 15,</w:t>
            </w: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gridSpan w:val="3"/>
          </w:tcPr>
          <w:p>
            <w:pPr>
              <w:jc w:val="right"/>
              <w:ind w:right="1800"/>
              <w:spacing w:after="0"/>
              <w:rPr>
                <w:sz w:val="20"/>
                <w:szCs w:val="20"/>
                <w:color w:val="auto"/>
              </w:rPr>
            </w:pPr>
            <w:r>
              <w:rPr>
                <w:rFonts w:ascii="Times New Roman" w:cs="Times New Roman" w:eastAsia="Times New Roman" w:hAnsi="Times New Roman"/>
                <w:sz w:val="9"/>
                <w:szCs w:val="9"/>
                <w:color w:val="auto"/>
                <w:w w:val="97"/>
              </w:rPr>
              <w:t>4.450% Notes due 2028</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color w:val="auto"/>
                <w:w w:val="99"/>
              </w:rPr>
              <w:t>Jun 21, 2018</w:t>
            </w:r>
          </w:p>
        </w:tc>
        <w:tc>
          <w:tcPr>
            <w:tcW w:w="6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9"/>
              </w:rPr>
              <w:t>Jul 15, 2028</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650.0</w:t>
            </w: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643.3</w:t>
            </w: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2019</w:t>
            </w:r>
          </w:p>
        </w:tc>
        <w:tc>
          <w:tcPr>
            <w:tcW w:w="120" w:type="dxa"/>
            <w:vAlign w:val="bottom"/>
          </w:tcPr>
          <w:p>
            <w:pPr>
              <w:spacing w:after="0"/>
              <w:rPr>
                <w:sz w:val="9"/>
                <w:szCs w:val="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6"/>
              </w:rPr>
              <w:t>Digital Realty Trust, L.P.</w:t>
            </w:r>
          </w:p>
        </w:tc>
        <w:tc>
          <w:tcPr>
            <w:tcW w:w="0" w:type="dxa"/>
            <w:vAlign w:val="bottom"/>
          </w:tcPr>
          <w:p>
            <w:pPr>
              <w:spacing w:after="0"/>
              <w:rPr>
                <w:sz w:val="1"/>
                <w:szCs w:val="1"/>
                <w:color w:val="auto"/>
              </w:rPr>
            </w:pPr>
          </w:p>
        </w:tc>
      </w:tr>
      <w:tr>
        <w:trPr>
          <w:trHeight w:val="95"/>
        </w:trPr>
        <w:tc>
          <w:tcPr>
            <w:tcW w:w="2660" w:type="dxa"/>
            <w:vAlign w:val="bottom"/>
            <w:gridSpan w:val="3"/>
            <w:shd w:val="clear" w:color="auto" w:fill="CCEEFF"/>
          </w:tcPr>
          <w:p>
            <w:pPr>
              <w:jc w:val="right"/>
              <w:ind w:right="1800"/>
              <w:spacing w:after="0" w:line="95" w:lineRule="exact"/>
              <w:rPr>
                <w:sz w:val="20"/>
                <w:szCs w:val="20"/>
                <w:color w:val="auto"/>
              </w:rPr>
            </w:pPr>
            <w:r>
              <w:rPr>
                <w:rFonts w:ascii="Times New Roman" w:cs="Times New Roman" w:eastAsia="Times New Roman" w:hAnsi="Times New Roman"/>
                <w:sz w:val="9"/>
                <w:szCs w:val="9"/>
                <w:color w:val="auto"/>
                <w:w w:val="97"/>
              </w:rPr>
              <w:t>3.600% Notes due 2029</w:t>
            </w:r>
          </w:p>
        </w:tc>
        <w:tc>
          <w:tcPr>
            <w:tcW w:w="800" w:type="dxa"/>
            <w:vAlign w:val="bottom"/>
            <w:gridSpan w:val="2"/>
            <w:shd w:val="clear" w:color="auto" w:fill="CCEEFF"/>
          </w:tcPr>
          <w:p>
            <w:pPr>
              <w:jc w:val="center"/>
              <w:ind w:right="140"/>
              <w:spacing w:after="0" w:line="95" w:lineRule="exact"/>
              <w:rPr>
                <w:sz w:val="20"/>
                <w:szCs w:val="20"/>
                <w:color w:val="auto"/>
              </w:rPr>
            </w:pPr>
            <w:r>
              <w:rPr>
                <w:rFonts w:ascii="Times New Roman" w:cs="Times New Roman" w:eastAsia="Times New Roman" w:hAnsi="Times New Roman"/>
                <w:sz w:val="9"/>
                <w:szCs w:val="9"/>
                <w:color w:val="auto"/>
                <w:w w:val="99"/>
              </w:rPr>
              <w:t>Jun 14, 2019</w:t>
            </w:r>
          </w:p>
        </w:tc>
        <w:tc>
          <w:tcPr>
            <w:tcW w:w="660" w:type="dxa"/>
            <w:vAlign w:val="bottom"/>
            <w:shd w:val="clear" w:color="auto" w:fill="CCEEFF"/>
          </w:tcPr>
          <w:p>
            <w:pPr>
              <w:jc w:val="center"/>
              <w:spacing w:after="0" w:line="95" w:lineRule="exact"/>
              <w:rPr>
                <w:sz w:val="20"/>
                <w:szCs w:val="20"/>
                <w:color w:val="auto"/>
              </w:rPr>
            </w:pPr>
            <w:r>
              <w:rPr>
                <w:rFonts w:ascii="Times New Roman" w:cs="Times New Roman" w:eastAsia="Times New Roman" w:hAnsi="Times New Roman"/>
                <w:sz w:val="9"/>
                <w:szCs w:val="9"/>
                <w:color w:val="auto"/>
                <w:w w:val="95"/>
              </w:rPr>
              <w:t>Jul 1, 2029</w:t>
            </w:r>
          </w:p>
        </w:tc>
        <w:tc>
          <w:tcPr>
            <w:tcW w:w="200" w:type="dxa"/>
            <w:vAlign w:val="bottom"/>
            <w:gridSpan w:val="2"/>
            <w:shd w:val="clear" w:color="auto" w:fill="CCEEFF"/>
          </w:tcPr>
          <w:p>
            <w:pPr>
              <w:ind w:left="120"/>
              <w:spacing w:after="0" w:line="95"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900.0</w:t>
            </w: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890.6</w:t>
            </w:r>
          </w:p>
        </w:tc>
        <w:tc>
          <w:tcPr>
            <w:tcW w:w="1860" w:type="dxa"/>
            <w:vAlign w:val="bottom"/>
            <w:gridSpan w:val="3"/>
            <w:shd w:val="clear" w:color="auto" w:fill="CCEEFF"/>
          </w:tcPr>
          <w:p>
            <w:pPr>
              <w:ind w:left="120"/>
              <w:spacing w:after="0" w:line="95" w:lineRule="exact"/>
              <w:rPr>
                <w:sz w:val="20"/>
                <w:szCs w:val="20"/>
                <w:color w:val="auto"/>
              </w:rPr>
            </w:pPr>
            <w:r>
              <w:rPr>
                <w:rFonts w:ascii="Times New Roman" w:cs="Times New Roman" w:eastAsia="Times New Roman" w:hAnsi="Times New Roman"/>
                <w:sz w:val="9"/>
                <w:szCs w:val="9"/>
                <w:color w:val="auto"/>
              </w:rPr>
              <w:t>Semi-annually, commencing January 1, 2020</w:t>
            </w:r>
          </w:p>
        </w:tc>
        <w:tc>
          <w:tcPr>
            <w:tcW w:w="1200" w:type="dxa"/>
            <w:vAlign w:val="bottom"/>
            <w:shd w:val="clear" w:color="auto" w:fill="CCEEFF"/>
          </w:tcPr>
          <w:p>
            <w:pPr>
              <w:jc w:val="center"/>
              <w:spacing w:after="0" w:line="95" w:lineRule="exact"/>
              <w:rPr>
                <w:sz w:val="20"/>
                <w:szCs w:val="20"/>
                <w:color w:val="auto"/>
              </w:rPr>
            </w:pPr>
            <w:r>
              <w:rPr>
                <w:rFonts w:ascii="Times New Roman" w:cs="Times New Roman" w:eastAsia="Times New Roman" w:hAnsi="Times New Roman"/>
                <w:sz w:val="9"/>
                <w:szCs w:val="9"/>
                <w:color w:val="auto"/>
                <w:w w:val="96"/>
              </w:rPr>
              <w:t>Digital Realty Trust, L.P.</w:t>
            </w:r>
          </w:p>
        </w:tc>
        <w:tc>
          <w:tcPr>
            <w:tcW w:w="0" w:type="dxa"/>
            <w:vAlign w:val="bottom"/>
          </w:tcPr>
          <w:p>
            <w:pPr>
              <w:spacing w:after="0"/>
              <w:rPr>
                <w:sz w:val="1"/>
                <w:szCs w:val="1"/>
                <w:color w:val="auto"/>
              </w:rPr>
            </w:pPr>
          </w:p>
        </w:tc>
      </w:tr>
      <w:tr>
        <w:trPr>
          <w:trHeight w:val="95"/>
        </w:trPr>
        <w:tc>
          <w:tcPr>
            <w:tcW w:w="2660" w:type="dxa"/>
            <w:vAlign w:val="bottom"/>
            <w:gridSpan w:val="3"/>
          </w:tcPr>
          <w:p>
            <w:pPr>
              <w:jc w:val="right"/>
              <w:ind w:right="1800"/>
              <w:spacing w:after="0" w:line="95" w:lineRule="exact"/>
              <w:rPr>
                <w:sz w:val="20"/>
                <w:szCs w:val="20"/>
                <w:color w:val="auto"/>
              </w:rPr>
            </w:pPr>
            <w:r>
              <w:rPr>
                <w:rFonts w:ascii="Times New Roman" w:cs="Times New Roman" w:eastAsia="Times New Roman" w:hAnsi="Times New Roman"/>
                <w:sz w:val="9"/>
                <w:szCs w:val="9"/>
                <w:color w:val="auto"/>
                <w:w w:val="97"/>
              </w:rPr>
              <w:t>3.300% Notes due 2029</w:t>
            </w:r>
          </w:p>
        </w:tc>
        <w:tc>
          <w:tcPr>
            <w:tcW w:w="800" w:type="dxa"/>
            <w:vAlign w:val="bottom"/>
            <w:gridSpan w:val="2"/>
          </w:tcPr>
          <w:p>
            <w:pPr>
              <w:jc w:val="center"/>
              <w:ind w:right="120"/>
              <w:spacing w:after="0" w:line="95" w:lineRule="exact"/>
              <w:rPr>
                <w:sz w:val="20"/>
                <w:szCs w:val="20"/>
                <w:color w:val="auto"/>
              </w:rPr>
            </w:pPr>
            <w:r>
              <w:rPr>
                <w:rFonts w:ascii="Times New Roman" w:cs="Times New Roman" w:eastAsia="Times New Roman" w:hAnsi="Times New Roman"/>
                <w:sz w:val="9"/>
                <w:szCs w:val="9"/>
                <w:color w:val="auto"/>
                <w:w w:val="99"/>
              </w:rPr>
              <w:t>Jul 21, 2017</w:t>
            </w:r>
          </w:p>
        </w:tc>
        <w:tc>
          <w:tcPr>
            <w:tcW w:w="66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color w:val="auto"/>
                <w:w w:val="99"/>
              </w:rPr>
              <w:t>Jul 19, 2029</w:t>
            </w:r>
          </w:p>
        </w:tc>
        <w:tc>
          <w:tcPr>
            <w:tcW w:w="200" w:type="dxa"/>
            <w:vAlign w:val="bottom"/>
            <w:gridSpan w:val="2"/>
          </w:tcPr>
          <w:p>
            <w:pPr>
              <w:ind w:left="120"/>
              <w:spacing w:after="0" w:line="95"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350.0</w:t>
            </w:r>
          </w:p>
        </w:tc>
        <w:tc>
          <w:tcPr>
            <w:tcW w:w="120" w:type="dxa"/>
            <w:vAlign w:val="bottom"/>
          </w:tcPr>
          <w:p>
            <w:pPr>
              <w:spacing w:after="0"/>
              <w:rPr>
                <w:sz w:val="8"/>
                <w:szCs w:val="8"/>
                <w:color w:val="auto"/>
              </w:rPr>
            </w:pPr>
          </w:p>
        </w:tc>
        <w:tc>
          <w:tcPr>
            <w:tcW w:w="7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448.6</w:t>
            </w:r>
          </w:p>
        </w:tc>
        <w:tc>
          <w:tcPr>
            <w:tcW w:w="1860" w:type="dxa"/>
            <w:vAlign w:val="bottom"/>
            <w:gridSpan w:val="3"/>
          </w:tcPr>
          <w:p>
            <w:pPr>
              <w:ind w:left="120"/>
              <w:spacing w:after="0" w:line="95" w:lineRule="exact"/>
              <w:rPr>
                <w:sz w:val="20"/>
                <w:szCs w:val="20"/>
                <w:color w:val="auto"/>
              </w:rPr>
            </w:pPr>
            <w:r>
              <w:rPr>
                <w:rFonts w:ascii="Times New Roman" w:cs="Times New Roman" w:eastAsia="Times New Roman" w:hAnsi="Times New Roman"/>
                <w:sz w:val="9"/>
                <w:szCs w:val="9"/>
                <w:color w:val="auto"/>
              </w:rPr>
              <w:t>Annually, commencing July 19, 2018</w:t>
            </w:r>
          </w:p>
        </w:tc>
        <w:tc>
          <w:tcPr>
            <w:tcW w:w="1200" w:type="dxa"/>
            <w:vAlign w:val="bottom"/>
          </w:tcPr>
          <w:p>
            <w:pPr>
              <w:jc w:val="center"/>
              <w:spacing w:after="0" w:line="95" w:lineRule="exact"/>
              <w:rPr>
                <w:sz w:val="20"/>
                <w:szCs w:val="20"/>
                <w:color w:val="auto"/>
              </w:rPr>
            </w:pPr>
            <w:r>
              <w:rPr>
                <w:rFonts w:ascii="Times New Roman" w:cs="Times New Roman" w:eastAsia="Times New Roman" w:hAnsi="Times New Roman"/>
                <w:sz w:val="8"/>
                <w:szCs w:val="8"/>
                <w:color w:val="auto"/>
              </w:rPr>
              <w:t xml:space="preserve">Digital Stout Holding, LLC </w:t>
            </w:r>
            <w:r>
              <w:rPr>
                <w:rFonts w:ascii="Times New Roman" w:cs="Times New Roman" w:eastAsia="Times New Roman" w:hAnsi="Times New Roman"/>
                <w:sz w:val="11"/>
                <w:szCs w:val="11"/>
                <w:color w:val="auto"/>
                <w:vertAlign w:val="superscript"/>
              </w:rPr>
              <w:t>(4)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gridSpan w:val="2"/>
            <w:shd w:val="clear" w:color="auto" w:fill="CCEEFF"/>
          </w:tcPr>
          <w:p>
            <w:pPr>
              <w:jc w:val="right"/>
              <w:ind w:right="1800"/>
              <w:spacing w:after="0" w:line="95" w:lineRule="exact"/>
              <w:rPr>
                <w:sz w:val="20"/>
                <w:szCs w:val="20"/>
                <w:color w:val="auto"/>
              </w:rPr>
            </w:pPr>
            <w:r>
              <w:rPr>
                <w:rFonts w:ascii="Times New Roman" w:cs="Times New Roman" w:eastAsia="Times New Roman" w:hAnsi="Times New Roman"/>
                <w:sz w:val="9"/>
                <w:szCs w:val="9"/>
                <w:color w:val="auto"/>
                <w:w w:val="94"/>
              </w:rPr>
              <w:t>1.500% Notes due 2030</w:t>
            </w:r>
          </w:p>
        </w:tc>
        <w:tc>
          <w:tcPr>
            <w:tcW w:w="800" w:type="dxa"/>
            <w:vAlign w:val="bottom"/>
            <w:gridSpan w:val="2"/>
            <w:shd w:val="clear" w:color="auto" w:fill="CCEEFF"/>
          </w:tcPr>
          <w:p>
            <w:pPr>
              <w:jc w:val="center"/>
              <w:ind w:right="140"/>
              <w:spacing w:after="0" w:line="95" w:lineRule="exact"/>
              <w:rPr>
                <w:sz w:val="20"/>
                <w:szCs w:val="20"/>
                <w:color w:val="auto"/>
              </w:rPr>
            </w:pPr>
            <w:r>
              <w:rPr>
                <w:rFonts w:ascii="Times New Roman" w:cs="Times New Roman" w:eastAsia="Times New Roman" w:hAnsi="Times New Roman"/>
                <w:sz w:val="9"/>
                <w:szCs w:val="9"/>
                <w:color w:val="auto"/>
              </w:rPr>
              <w:t>Jan 17, 2020</w:t>
            </w:r>
          </w:p>
        </w:tc>
        <w:tc>
          <w:tcPr>
            <w:tcW w:w="660" w:type="dxa"/>
            <w:vAlign w:val="bottom"/>
            <w:shd w:val="clear" w:color="auto" w:fill="CCEEFF"/>
          </w:tcPr>
          <w:p>
            <w:pPr>
              <w:jc w:val="center"/>
              <w:spacing w:after="0" w:line="95" w:lineRule="exact"/>
              <w:rPr>
                <w:sz w:val="20"/>
                <w:szCs w:val="20"/>
                <w:color w:val="auto"/>
              </w:rPr>
            </w:pPr>
            <w:r>
              <w:rPr>
                <w:rFonts w:ascii="Times New Roman" w:cs="Times New Roman" w:eastAsia="Times New Roman" w:hAnsi="Times New Roman"/>
                <w:sz w:val="9"/>
                <w:szCs w:val="9"/>
                <w:color w:val="auto"/>
                <w:w w:val="98"/>
              </w:rPr>
              <w:t>Mar 15, 2030</w:t>
            </w:r>
          </w:p>
        </w:tc>
        <w:tc>
          <w:tcPr>
            <w:tcW w:w="200" w:type="dxa"/>
            <w:vAlign w:val="bottom"/>
            <w:gridSpan w:val="2"/>
            <w:shd w:val="clear" w:color="auto" w:fill="CCEEFF"/>
          </w:tcPr>
          <w:p>
            <w:pPr>
              <w:ind w:left="120"/>
              <w:spacing w:after="0" w:line="95" w:lineRule="exact"/>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750.0</w:t>
            </w: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819.1</w:t>
            </w:r>
          </w:p>
        </w:tc>
        <w:tc>
          <w:tcPr>
            <w:tcW w:w="1860" w:type="dxa"/>
            <w:vAlign w:val="bottom"/>
            <w:gridSpan w:val="3"/>
            <w:shd w:val="clear" w:color="auto" w:fill="CCEEFF"/>
          </w:tcPr>
          <w:p>
            <w:pPr>
              <w:ind w:left="120"/>
              <w:spacing w:after="0" w:line="95" w:lineRule="exact"/>
              <w:rPr>
                <w:sz w:val="20"/>
                <w:szCs w:val="20"/>
                <w:color w:val="auto"/>
              </w:rPr>
            </w:pPr>
            <w:r>
              <w:rPr>
                <w:rFonts w:ascii="Times New Roman" w:cs="Times New Roman" w:eastAsia="Times New Roman" w:hAnsi="Times New Roman"/>
                <w:sz w:val="9"/>
                <w:szCs w:val="9"/>
                <w:color w:val="auto"/>
              </w:rPr>
              <w:t>Annually, commencing March 15, 2021</w:t>
            </w:r>
          </w:p>
        </w:tc>
        <w:tc>
          <w:tcPr>
            <w:tcW w:w="1200" w:type="dxa"/>
            <w:vAlign w:val="bottom"/>
            <w:shd w:val="clear" w:color="auto" w:fill="CCEEFF"/>
          </w:tcPr>
          <w:p>
            <w:pPr>
              <w:jc w:val="center"/>
              <w:spacing w:after="0" w:line="95" w:lineRule="exact"/>
              <w:rPr>
                <w:sz w:val="20"/>
                <w:szCs w:val="20"/>
                <w:color w:val="auto"/>
              </w:rPr>
            </w:pPr>
            <w:r>
              <w:rPr>
                <w:rFonts w:ascii="Times New Roman" w:cs="Times New Roman" w:eastAsia="Times New Roman" w:hAnsi="Times New Roman"/>
                <w:sz w:val="8"/>
                <w:szCs w:val="8"/>
                <w:color w:val="auto"/>
              </w:rPr>
              <w:t xml:space="preserve">Digital Dutch Finco B.V. </w:t>
            </w:r>
            <w:r>
              <w:rPr>
                <w:rFonts w:ascii="Times New Roman" w:cs="Times New Roman" w:eastAsia="Times New Roman" w:hAnsi="Times New Roman"/>
                <w:sz w:val="11"/>
                <w:szCs w:val="11"/>
                <w:color w:val="auto"/>
                <w:vertAlign w:val="superscript"/>
              </w:rPr>
              <w:t>(3)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tcPr>
          <w:p>
            <w:pPr>
              <w:jc w:val="center"/>
              <w:ind w:right="140"/>
              <w:spacing w:after="0" w:line="82" w:lineRule="exact"/>
              <w:rPr>
                <w:sz w:val="20"/>
                <w:szCs w:val="20"/>
                <w:color w:val="auto"/>
              </w:rPr>
            </w:pPr>
            <w:r>
              <w:rPr>
                <w:rFonts w:ascii="Times New Roman" w:cs="Times New Roman" w:eastAsia="Times New Roman" w:hAnsi="Times New Roman"/>
                <w:sz w:val="9"/>
                <w:szCs w:val="9"/>
                <w:color w:val="auto"/>
                <w:w w:val="99"/>
              </w:rPr>
              <w:t>Oct 17, 2018 and</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9"/>
                <w:szCs w:val="9"/>
                <w:color w:val="auto"/>
                <w:w w:val="96"/>
              </w:rPr>
              <w:t xml:space="preserve">Digital Stout Holding, LLC </w:t>
            </w:r>
            <w:r>
              <w:rPr>
                <w:rFonts w:ascii="Times New Roman" w:cs="Times New Roman" w:eastAsia="Times New Roman" w:hAnsi="Times New Roman"/>
                <w:sz w:val="13"/>
                <w:szCs w:val="13"/>
                <w:color w:val="auto"/>
                <w:w w:val="96"/>
                <w:vertAlign w:val="superscript"/>
              </w:rPr>
              <w:t>(4)</w:t>
            </w:r>
          </w:p>
        </w:tc>
        <w:tc>
          <w:tcPr>
            <w:tcW w:w="0" w:type="dxa"/>
            <w:vAlign w:val="bottom"/>
          </w:tcPr>
          <w:p>
            <w:pPr>
              <w:spacing w:after="0"/>
              <w:rPr>
                <w:sz w:val="1"/>
                <w:szCs w:val="1"/>
                <w:color w:val="auto"/>
              </w:rPr>
            </w:pPr>
          </w:p>
        </w:tc>
      </w:tr>
      <w:tr>
        <w:trPr>
          <w:trHeight w:val="108"/>
        </w:trPr>
        <w:tc>
          <w:tcPr>
            <w:tcW w:w="2660" w:type="dxa"/>
            <w:vAlign w:val="bottom"/>
            <w:gridSpan w:val="3"/>
          </w:tcPr>
          <w:p>
            <w:pPr>
              <w:jc w:val="right"/>
              <w:ind w:right="1800"/>
              <w:spacing w:after="0"/>
              <w:rPr>
                <w:sz w:val="20"/>
                <w:szCs w:val="20"/>
                <w:color w:val="auto"/>
              </w:rPr>
            </w:pPr>
            <w:r>
              <w:rPr>
                <w:rFonts w:ascii="Times New Roman" w:cs="Times New Roman" w:eastAsia="Times New Roman" w:hAnsi="Times New Roman"/>
                <w:sz w:val="9"/>
                <w:szCs w:val="9"/>
                <w:color w:val="auto"/>
                <w:w w:val="97"/>
              </w:rPr>
              <w:t>3.750% Notes due 2030</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color w:val="auto"/>
                <w:w w:val="99"/>
              </w:rPr>
              <w:t>Mar 9, 2019</w:t>
            </w:r>
          </w:p>
        </w:tc>
        <w:tc>
          <w:tcPr>
            <w:tcW w:w="6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8"/>
              </w:rPr>
              <w:t>Oct 17, 2030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550.0</w:t>
            </w: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716.8</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9"/>
                <w:szCs w:val="9"/>
                <w:color w:val="auto"/>
              </w:rPr>
              <w:t>Annually, commencing October 17, 2019</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660" w:type="dxa"/>
            <w:vAlign w:val="bottom"/>
            <w:gridSpan w:val="3"/>
            <w:shd w:val="clear" w:color="auto" w:fill="CCEEFF"/>
          </w:tcPr>
          <w:p>
            <w:pPr>
              <w:jc w:val="right"/>
              <w:ind w:right="1800"/>
              <w:spacing w:after="0" w:line="95" w:lineRule="exact"/>
              <w:rPr>
                <w:sz w:val="20"/>
                <w:szCs w:val="20"/>
                <w:color w:val="auto"/>
              </w:rPr>
            </w:pPr>
            <w:r>
              <w:rPr>
                <w:rFonts w:ascii="Times New Roman" w:cs="Times New Roman" w:eastAsia="Times New Roman" w:hAnsi="Times New Roman"/>
                <w:sz w:val="9"/>
                <w:szCs w:val="9"/>
                <w:color w:val="auto"/>
                <w:w w:val="97"/>
              </w:rPr>
              <w:t>1.250% Notes due 2031</w:t>
            </w:r>
          </w:p>
        </w:tc>
        <w:tc>
          <w:tcPr>
            <w:tcW w:w="800" w:type="dxa"/>
            <w:vAlign w:val="bottom"/>
            <w:gridSpan w:val="2"/>
            <w:shd w:val="clear" w:color="auto" w:fill="CCEEFF"/>
          </w:tcPr>
          <w:p>
            <w:pPr>
              <w:jc w:val="center"/>
              <w:ind w:right="140"/>
              <w:spacing w:after="0" w:line="95" w:lineRule="exact"/>
              <w:rPr>
                <w:sz w:val="20"/>
                <w:szCs w:val="20"/>
                <w:color w:val="auto"/>
              </w:rPr>
            </w:pPr>
            <w:r>
              <w:rPr>
                <w:rFonts w:ascii="Times New Roman" w:cs="Times New Roman" w:eastAsia="Times New Roman" w:hAnsi="Times New Roman"/>
                <w:sz w:val="9"/>
                <w:szCs w:val="9"/>
                <w:color w:val="auto"/>
                <w:w w:val="99"/>
              </w:rPr>
              <w:t>Jun 26, 2020</w:t>
            </w:r>
          </w:p>
        </w:tc>
        <w:tc>
          <w:tcPr>
            <w:tcW w:w="660" w:type="dxa"/>
            <w:vAlign w:val="bottom"/>
            <w:shd w:val="clear" w:color="auto" w:fill="CCEEFF"/>
          </w:tcPr>
          <w:p>
            <w:pPr>
              <w:jc w:val="center"/>
              <w:spacing w:after="0" w:line="95" w:lineRule="exact"/>
              <w:rPr>
                <w:sz w:val="20"/>
                <w:szCs w:val="20"/>
                <w:color w:val="auto"/>
              </w:rPr>
            </w:pPr>
            <w:r>
              <w:rPr>
                <w:rFonts w:ascii="Times New Roman" w:cs="Times New Roman" w:eastAsia="Times New Roman" w:hAnsi="Times New Roman"/>
                <w:sz w:val="9"/>
                <w:szCs w:val="9"/>
                <w:color w:val="auto"/>
                <w:w w:val="98"/>
              </w:rPr>
              <w:t>Feb 1, 2031</w:t>
            </w:r>
          </w:p>
        </w:tc>
        <w:tc>
          <w:tcPr>
            <w:tcW w:w="200" w:type="dxa"/>
            <w:vAlign w:val="bottom"/>
            <w:gridSpan w:val="2"/>
            <w:shd w:val="clear" w:color="auto" w:fill="CCEEFF"/>
          </w:tcPr>
          <w:p>
            <w:pPr>
              <w:ind w:left="120"/>
              <w:spacing w:after="0" w:line="95" w:lineRule="exact"/>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500.0</w:t>
            </w: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553.2</w:t>
            </w:r>
          </w:p>
        </w:tc>
        <w:tc>
          <w:tcPr>
            <w:tcW w:w="1860" w:type="dxa"/>
            <w:vAlign w:val="bottom"/>
            <w:gridSpan w:val="3"/>
            <w:shd w:val="clear" w:color="auto" w:fill="CCEEFF"/>
          </w:tcPr>
          <w:p>
            <w:pPr>
              <w:ind w:left="120"/>
              <w:spacing w:after="0" w:line="95" w:lineRule="exact"/>
              <w:rPr>
                <w:sz w:val="20"/>
                <w:szCs w:val="20"/>
                <w:color w:val="auto"/>
              </w:rPr>
            </w:pPr>
            <w:r>
              <w:rPr>
                <w:rFonts w:ascii="Times New Roman" w:cs="Times New Roman" w:eastAsia="Times New Roman" w:hAnsi="Times New Roman"/>
                <w:sz w:val="9"/>
                <w:szCs w:val="9"/>
                <w:color w:val="auto"/>
              </w:rPr>
              <w:t>Annually, commencing February 1, 2021</w:t>
            </w:r>
          </w:p>
        </w:tc>
        <w:tc>
          <w:tcPr>
            <w:tcW w:w="1200" w:type="dxa"/>
            <w:vAlign w:val="bottom"/>
            <w:shd w:val="clear" w:color="auto" w:fill="CCEEFF"/>
          </w:tcPr>
          <w:p>
            <w:pPr>
              <w:jc w:val="center"/>
              <w:spacing w:after="0" w:line="95" w:lineRule="exact"/>
              <w:rPr>
                <w:sz w:val="20"/>
                <w:szCs w:val="20"/>
                <w:color w:val="auto"/>
              </w:rPr>
            </w:pPr>
            <w:r>
              <w:rPr>
                <w:rFonts w:ascii="Times New Roman" w:cs="Times New Roman" w:eastAsia="Times New Roman" w:hAnsi="Times New Roman"/>
                <w:sz w:val="8"/>
                <w:szCs w:val="8"/>
                <w:color w:val="auto"/>
              </w:rPr>
              <w:t xml:space="preserve">Digital Dutch Finco B.V. </w:t>
            </w:r>
            <w:r>
              <w:rPr>
                <w:rFonts w:ascii="Times New Roman" w:cs="Times New Roman" w:eastAsia="Times New Roman" w:hAnsi="Times New Roman"/>
                <w:sz w:val="11"/>
                <w:szCs w:val="11"/>
                <w:color w:val="auto"/>
                <w:vertAlign w:val="superscript"/>
              </w:rPr>
              <w:t>(3)</w:t>
            </w:r>
          </w:p>
        </w:tc>
        <w:tc>
          <w:tcPr>
            <w:tcW w:w="0" w:type="dxa"/>
            <w:vAlign w:val="bottom"/>
          </w:tcPr>
          <w:p>
            <w:pPr>
              <w:spacing w:after="0"/>
              <w:rPr>
                <w:sz w:val="1"/>
                <w:szCs w:val="1"/>
                <w:color w:val="auto"/>
              </w:rPr>
            </w:pPr>
          </w:p>
        </w:tc>
      </w:tr>
      <w:tr>
        <w:trPr>
          <w:trHeight w:val="174"/>
        </w:trPr>
        <w:tc>
          <w:tcPr>
            <w:tcW w:w="2660" w:type="dxa"/>
            <w:vAlign w:val="bottom"/>
            <w:gridSpan w:val="3"/>
          </w:tcPr>
          <w:p>
            <w:pPr>
              <w:jc w:val="right"/>
              <w:ind w:right="1800"/>
              <w:spacing w:after="0"/>
              <w:rPr>
                <w:sz w:val="20"/>
                <w:szCs w:val="20"/>
                <w:color w:val="auto"/>
              </w:rPr>
            </w:pPr>
            <w:r>
              <w:rPr>
                <w:rFonts w:ascii="Times New Roman" w:cs="Times New Roman" w:eastAsia="Times New Roman" w:hAnsi="Times New Roman"/>
                <w:sz w:val="9"/>
                <w:szCs w:val="9"/>
                <w:color w:val="auto"/>
                <w:w w:val="97"/>
              </w:rPr>
              <w:t>1.000% Notes due 2032</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color w:val="auto"/>
                <w:w w:val="97"/>
              </w:rPr>
              <w:t>Sep 23, 2020</w:t>
            </w:r>
          </w:p>
        </w:tc>
        <w:tc>
          <w:tcPr>
            <w:tcW w:w="660" w:type="dxa"/>
            <w:vAlign w:val="bottom"/>
          </w:tcPr>
          <w:p>
            <w:pPr>
              <w:jc w:val="center"/>
              <w:spacing w:after="0"/>
              <w:rPr>
                <w:sz w:val="20"/>
                <w:szCs w:val="20"/>
                <w:color w:val="auto"/>
              </w:rPr>
            </w:pPr>
            <w:r>
              <w:rPr>
                <w:rFonts w:ascii="Times New Roman" w:cs="Times New Roman" w:eastAsia="Times New Roman" w:hAnsi="Times New Roman"/>
                <w:sz w:val="9"/>
                <w:szCs w:val="9"/>
                <w:color w:val="auto"/>
              </w:rPr>
              <w:t>Jan 15, 2032</w:t>
            </w:r>
          </w:p>
        </w:tc>
        <w:tc>
          <w:tcPr>
            <w:tcW w:w="200" w:type="dxa"/>
            <w:vAlign w:val="bottom"/>
            <w:gridSpan w:val="2"/>
          </w:tcPr>
          <w:p>
            <w:pPr>
              <w:ind w:left="12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750.0</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860.0</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9"/>
                <w:szCs w:val="9"/>
                <w:color w:val="auto"/>
              </w:rPr>
              <w:t>Annually, commencing January 15, 2021</w:t>
            </w:r>
          </w:p>
        </w:tc>
        <w:tc>
          <w:tcPr>
            <w:tcW w:w="120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 xml:space="preserve">Digital Dutch Finco B.V. </w:t>
            </w:r>
            <w:r>
              <w:rPr>
                <w:rFonts w:ascii="Times New Roman" w:cs="Times New Roman" w:eastAsia="Times New Roman" w:hAnsi="Times New Roman"/>
                <w:sz w:val="13"/>
                <w:szCs w:val="13"/>
                <w:color w:val="auto"/>
                <w:w w:val="94"/>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-1270</wp:posOffset>
            </wp:positionV>
            <wp:extent cx="1422400" cy="120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22400" cy="12065"/>
                    </a:xfrm>
                    <a:prstGeom prst="rect">
                      <a:avLst/>
                    </a:prstGeom>
                    <a:noFill/>
                  </pic:spPr>
                </pic:pic>
              </a:graphicData>
            </a:graphic>
          </wp:anchor>
        </w:drawing>
      </w:r>
    </w:p>
    <w:p>
      <w:pPr>
        <w:spacing w:after="0" w:line="40" w:lineRule="exact"/>
        <w:rPr>
          <w:sz w:val="20"/>
          <w:szCs w:val="20"/>
          <w:color w:val="auto"/>
        </w:rPr>
      </w:pPr>
    </w:p>
    <w:p>
      <w:pPr>
        <w:ind w:left="260" w:right="219" w:hanging="235"/>
        <w:spacing w:after="0" w:line="254" w:lineRule="auto"/>
        <w:tabs>
          <w:tab w:leader="none" w:pos="26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are in U.S. dollars, based on the exchange rate on the date of issuance. Net proceeds are equal to principal amount less initial purchaser discount and other debt issuance costs.</w:t>
      </w:r>
    </w:p>
    <w:p>
      <w:pPr>
        <w:ind w:left="260" w:right="159" w:hanging="235"/>
        <w:spacing w:after="0" w:line="243" w:lineRule="auto"/>
        <w:tabs>
          <w:tab w:leader="none" w:pos="26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Digital Realty Trust, Inc. guarantees the senior notes issued by Digital Realty Trust, L.P. Both Digital Realty Trust, L.P. and Digital Realty Trust, Inc. guarantee the senior notes issued by Digital Stout Holding, LLC, Digital Euro Finco, LLC and Digital Dutch Finco, B.V.</w:t>
      </w:r>
    </w:p>
    <w:p>
      <w:pPr>
        <w:spacing w:after="0" w:line="1"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indirect wholly owned finance subsidiary of Digital Realty Trust, L.P.</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wholly owned subsidiary of Digital Realty Trust, L.P.</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63" w:name="page164"/>
    <w:bookmarkEnd w:id="16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60" w:right="39" w:hanging="235"/>
        <w:spacing w:after="0" w:line="256" w:lineRule="auto"/>
        <w:tabs>
          <w:tab w:leader="none" w:pos="26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Initially a wholly owned subsidiary of Digital Realty Trust, Inc., pursuant to the terms of the indenture, following the consummation of the Telx Acquisition, on October 13, 2015, Digital Delta Holdings, LLC merged with and into Digital Realty Trust, L.P., with Digital Realty Trust, L.P. surviving the merger and assuming Digital Delta Holdings, LLC’s obligations under the 4.750% 2025 Notes, the related indenture and registration rights agreement by operation of law.</w:t>
      </w:r>
    </w:p>
    <w:p>
      <w:pPr>
        <w:spacing w:after="0" w:line="129" w:lineRule="exact"/>
        <w:rPr>
          <w:sz w:val="20"/>
          <w:szCs w:val="20"/>
          <w:color w:val="auto"/>
        </w:rPr>
      </w:pPr>
    </w:p>
    <w:p>
      <w:pPr>
        <w:ind w:left="20" w:right="179" w:firstLine="228"/>
        <w:spacing w:after="0" w:line="256" w:lineRule="auto"/>
        <w:rPr>
          <w:sz w:val="20"/>
          <w:szCs w:val="20"/>
          <w:color w:val="auto"/>
        </w:rPr>
      </w:pPr>
      <w:r>
        <w:rPr>
          <w:rFonts w:ascii="Times New Roman" w:cs="Times New Roman" w:eastAsia="Times New Roman" w:hAnsi="Times New Roman"/>
          <w:sz w:val="13"/>
          <w:szCs w:val="13"/>
          <w:color w:val="auto"/>
        </w:rPr>
        <w:t>The indentures governing each of the senior notes contain certain covenants, including (1) a leverage ratio not to exceed 60%, (2) a secured debt leverage ratio not to exceed 40% and (3) an interest coverage ratio of greater than 1.50, and also requires us to maintain total unencumbered assets of not less than 150% of the aggregate principal amount of unsecured debt. At December 31, 2020, we were in compliance with each of these financial covenants.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table below summarizes our debt maturities and principal payments as of December 31, 2020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Global Revolving</w:t>
            </w:r>
          </w:p>
        </w:tc>
        <w:tc>
          <w:tcPr>
            <w:tcW w:w="120" w:type="dxa"/>
            <w:vAlign w:val="bottom"/>
          </w:tcPr>
          <w:p>
            <w:pPr>
              <w:spacing w:after="0"/>
              <w:rPr>
                <w:sz w:val="10"/>
                <w:szCs w:val="1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Unsecured</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Senior Notes</w:t>
            </w:r>
          </w:p>
        </w:tc>
        <w:tc>
          <w:tcPr>
            <w:tcW w:w="120" w:type="dxa"/>
            <w:vAlign w:val="bottom"/>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Secured Debt</w:t>
            </w:r>
          </w:p>
        </w:tc>
        <w:tc>
          <w:tcPr>
            <w:tcW w:w="180" w:type="dxa"/>
            <w:vAlign w:val="bottom"/>
          </w:tcPr>
          <w:p>
            <w:pPr>
              <w:spacing w:after="0"/>
              <w:rPr>
                <w:sz w:val="10"/>
                <w:szCs w:val="10"/>
                <w:color w:val="auto"/>
              </w:rPr>
            </w:pPr>
          </w:p>
        </w:tc>
        <w:tc>
          <w:tcPr>
            <w:tcW w:w="860" w:type="dxa"/>
            <w:vAlign w:val="bottom"/>
            <w:vMerge w:val="restart"/>
          </w:tcPr>
          <w:p>
            <w:pPr>
              <w:jc w:val="right"/>
              <w:ind w:right="238"/>
              <w:spacing w:after="0"/>
              <w:rPr>
                <w:sz w:val="20"/>
                <w:szCs w:val="20"/>
                <w:color w:val="auto"/>
              </w:rPr>
            </w:pPr>
            <w:r>
              <w:rPr>
                <w:rFonts w:ascii="Times New Roman" w:cs="Times New Roman" w:eastAsia="Times New Roman" w:hAnsi="Times New Roman"/>
                <w:sz w:val="10"/>
                <w:szCs w:val="10"/>
                <w:b w:val="1"/>
                <w:bCs w:val="1"/>
                <w:color w:val="auto"/>
              </w:rPr>
              <w:t>Total Debt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ind w:left="60"/>
              <w:spacing w:after="0" w:line="123" w:lineRule="exact"/>
              <w:rPr>
                <w:sz w:val="20"/>
                <w:szCs w:val="20"/>
                <w:color w:val="auto"/>
              </w:rPr>
            </w:pPr>
            <w:r>
              <w:rPr>
                <w:rFonts w:ascii="Times New Roman" w:cs="Times New Roman" w:eastAsia="Times New Roman" w:hAnsi="Times New Roman"/>
                <w:sz w:val="10"/>
                <w:szCs w:val="10"/>
                <w:b w:val="1"/>
                <w:bCs w:val="1"/>
                <w:color w:val="auto"/>
              </w:rPr>
              <w:t>Credit Facilities</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3" w:lineRule="exact"/>
              <w:rPr>
                <w:sz w:val="20"/>
                <w:szCs w:val="20"/>
                <w:color w:val="auto"/>
              </w:rPr>
            </w:pPr>
            <w:r>
              <w:rPr>
                <w:rFonts w:ascii="Times New Roman" w:cs="Times New Roman" w:eastAsia="Times New Roman" w:hAnsi="Times New Roman"/>
                <w:sz w:val="10"/>
                <w:szCs w:val="10"/>
                <w:b w:val="1"/>
                <w:bCs w:val="1"/>
                <w:color w:val="auto"/>
                <w:w w:val="97"/>
              </w:rPr>
              <w:t>Term Loans</w:t>
            </w:r>
            <w:r>
              <w:rPr>
                <w:rFonts w:ascii="Times New Roman" w:cs="Times New Roman" w:eastAsia="Times New Roman" w:hAnsi="Times New Roman"/>
                <w:sz w:val="14"/>
                <w:szCs w:val="14"/>
                <w:b w:val="1"/>
                <w:bCs w:val="1"/>
                <w:color w:val="auto"/>
                <w:w w:val="97"/>
                <w:vertAlign w:val="superscript"/>
              </w:rPr>
              <w:t>(1)</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2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2021</w:t>
            </w:r>
          </w:p>
        </w:tc>
        <w:tc>
          <w:tcPr>
            <w:tcW w:w="1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2022</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732,960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733,290</w:t>
            </w:r>
          </w:p>
        </w:tc>
        <w:tc>
          <w:tcPr>
            <w:tcW w:w="0" w:type="dxa"/>
            <w:vAlign w:val="bottom"/>
          </w:tcPr>
          <w:p>
            <w:pPr>
              <w:spacing w:after="0"/>
              <w:rPr>
                <w:sz w:val="1"/>
                <w:szCs w:val="1"/>
                <w:color w:val="auto"/>
              </w:rPr>
            </w:pPr>
          </w:p>
        </w:tc>
      </w:tr>
      <w:tr>
        <w:trPr>
          <w:trHeight w:val="152"/>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w:t>
            </w: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493,241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537,470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104,000</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1,484,711</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46,943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1,074,710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1,121,653</w:t>
            </w:r>
          </w:p>
        </w:tc>
        <w:tc>
          <w:tcPr>
            <w:tcW w:w="0" w:type="dxa"/>
            <w:vAlign w:val="bottom"/>
          </w:tcPr>
          <w:p>
            <w:pPr>
              <w:spacing w:after="0"/>
              <w:rPr>
                <w:sz w:val="1"/>
                <w:szCs w:val="1"/>
                <w:color w:val="auto"/>
              </w:rPr>
            </w:pPr>
          </w:p>
        </w:tc>
      </w:tr>
      <w:tr>
        <w:trPr>
          <w:trHeight w:val="152"/>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w:t>
            </w: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1,790,840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1,790,840</w:t>
            </w:r>
          </w:p>
        </w:tc>
        <w:tc>
          <w:tcPr>
            <w:tcW w:w="0" w:type="dxa"/>
            <w:vAlign w:val="bottom"/>
          </w:tcPr>
          <w:p>
            <w:pPr>
              <w:spacing w:after="0"/>
              <w:rPr>
                <w:sz w:val="1"/>
                <w:szCs w:val="1"/>
                <w:color w:val="auto"/>
              </w:rPr>
            </w:pPr>
          </w:p>
        </w:tc>
      </w:tr>
      <w:tr>
        <w:trPr>
          <w:trHeight w:val="152"/>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Thereafter</w:t>
            </w:r>
          </w:p>
        </w:tc>
        <w:tc>
          <w:tcPr>
            <w:tcW w:w="12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8,147,519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8,282,519</w:t>
            </w:r>
          </w:p>
        </w:tc>
        <w:tc>
          <w:tcPr>
            <w:tcW w:w="0" w:type="dxa"/>
            <w:vAlign w:val="bottom"/>
          </w:tcPr>
          <w:p>
            <w:pPr>
              <w:spacing w:after="0"/>
              <w:rPr>
                <w:sz w:val="1"/>
                <w:szCs w:val="1"/>
                <w:color w:val="auto"/>
              </w:rPr>
            </w:pPr>
          </w:p>
        </w:tc>
      </w:tr>
      <w:tr>
        <w:trPr>
          <w:trHeight w:val="141"/>
        </w:trPr>
        <w:tc>
          <w:tcPr>
            <w:tcW w:w="3340" w:type="dxa"/>
            <w:vAlign w:val="bottom"/>
            <w:tcBorders>
              <w:top w:val="single" w:sz="8" w:color="CCEEFF"/>
            </w:tcBorders>
            <w:gridSpan w:val="2"/>
            <w:shd w:val="clear" w:color="auto" w:fill="CCEEFF"/>
          </w:tcPr>
          <w:p>
            <w:pPr>
              <w:ind w:left="240"/>
              <w:spacing w:after="0" w:line="141" w:lineRule="exact"/>
              <w:rPr>
                <w:sz w:val="20"/>
                <w:szCs w:val="20"/>
                <w:color w:val="auto"/>
              </w:rPr>
            </w:pPr>
            <w:r>
              <w:rPr>
                <w:rFonts w:ascii="Times New Roman" w:cs="Times New Roman" w:eastAsia="Times New Roman" w:hAnsi="Times New Roman"/>
                <w:sz w:val="13"/>
                <w:szCs w:val="13"/>
                <w:color w:val="auto"/>
              </w:rPr>
              <w:t>Subtotal</w:t>
            </w: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540,184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537,470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12,096,029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239,330</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13,413,013</w:t>
            </w:r>
          </w:p>
        </w:tc>
        <w:tc>
          <w:tcPr>
            <w:tcW w:w="0" w:type="dxa"/>
            <w:vAlign w:val="bottom"/>
          </w:tcPr>
          <w:p>
            <w:pPr>
              <w:spacing w:after="0"/>
              <w:rPr>
                <w:sz w:val="1"/>
                <w:szCs w:val="1"/>
                <w:color w:val="auto"/>
              </w:rPr>
            </w:pPr>
          </w:p>
        </w:tc>
      </w:tr>
      <w:tr>
        <w:trPr>
          <w:trHeight w:val="152"/>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Unamortized discount</w:t>
            </w:r>
          </w:p>
        </w:tc>
        <w:tc>
          <w:tcPr>
            <w:tcW w:w="12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(40,915)</w:t>
            </w:r>
          </w:p>
        </w:tc>
        <w:tc>
          <w:tcPr>
            <w:tcW w:w="12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(40,919)</w:t>
            </w:r>
          </w:p>
        </w:tc>
        <w:tc>
          <w:tcPr>
            <w:tcW w:w="0" w:type="dxa"/>
            <w:vAlign w:val="bottom"/>
          </w:tcPr>
          <w:p>
            <w:pPr>
              <w:spacing w:after="0"/>
              <w:rPr>
                <w:sz w:val="1"/>
                <w:szCs w:val="1"/>
                <w:color w:val="auto"/>
              </w:rPr>
            </w:pPr>
          </w:p>
        </w:tc>
      </w:tr>
      <w:tr>
        <w:trPr>
          <w:trHeight w:val="152"/>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Unamortized premium</w:t>
            </w: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5,927</w:t>
            </w:r>
          </w:p>
        </w:tc>
        <w:tc>
          <w:tcPr>
            <w:tcW w:w="0" w:type="dxa"/>
            <w:vAlign w:val="bottom"/>
          </w:tcPr>
          <w:p>
            <w:pPr>
              <w:spacing w:after="0"/>
              <w:rPr>
                <w:sz w:val="1"/>
                <w:szCs w:val="1"/>
                <w:color w:val="auto"/>
              </w:rPr>
            </w:pPr>
          </w:p>
        </w:tc>
      </w:tr>
      <w:tr>
        <w:trPr>
          <w:trHeight w:val="150"/>
        </w:trPr>
        <w:tc>
          <w:tcPr>
            <w:tcW w:w="3340" w:type="dxa"/>
            <w:vAlign w:val="bottom"/>
            <w:gridSpan w:val="2"/>
          </w:tcPr>
          <w:p>
            <w:pPr>
              <w:ind w:left="380"/>
              <w:spacing w:after="0" w:line="141"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540,184</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537,470</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12,061,041</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239,326</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13,378,021</w:t>
            </w:r>
          </w:p>
        </w:tc>
        <w:tc>
          <w:tcPr>
            <w:tcW w:w="0" w:type="dxa"/>
            <w:vAlign w:val="bottom"/>
          </w:tcPr>
          <w:p>
            <w:pPr>
              <w:spacing w:after="0"/>
              <w:rPr>
                <w:sz w:val="1"/>
                <w:szCs w:val="1"/>
                <w:color w:val="auto"/>
              </w:rPr>
            </w:pPr>
          </w:p>
        </w:tc>
      </w:tr>
      <w:tr>
        <w:trPr>
          <w:trHeight w:val="76"/>
        </w:trPr>
        <w:tc>
          <w:tcPr>
            <w:tcW w:w="2240" w:type="dxa"/>
            <w:vAlign w:val="bottom"/>
            <w:tcBorders>
              <w:bottom w:val="single" w:sz="8" w:color="auto"/>
            </w:tcBorders>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59" w:hanging="235"/>
        <w:spacing w:after="0" w:line="256" w:lineRule="auto"/>
        <w:tabs>
          <w:tab w:leader="none" w:pos="26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global revolving credit facility and the 2024 unsecured term loan are subject to two six-month extension options exercisable by us. The bank group is obligated to grant the extension options provided we give proper notice, we make certain representations and warranties and no default exists under the global revolving credit facility or the 2024 unsecured term loan, as applicable.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64" w:name="page165"/>
    <w:bookmarkEnd w:id="16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10. Income per Share</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following is a summary of basic and diluted income per share (in thousands, except share and per share amounts):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94"/>
        </w:trPr>
        <w:tc>
          <w:tcPr>
            <w:tcW w:w="20" w:type="dxa"/>
            <w:vAlign w:val="bottom"/>
          </w:tcPr>
          <w:p>
            <w:pPr>
              <w:spacing w:after="0"/>
              <w:rPr>
                <w:sz w:val="8"/>
                <w:szCs w:val="8"/>
                <w:color w:val="auto"/>
              </w:rPr>
            </w:pPr>
          </w:p>
        </w:tc>
        <w:tc>
          <w:tcPr>
            <w:tcW w:w="514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jc w:val="right"/>
              <w:ind w:right="381"/>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jc w:val="right"/>
              <w:ind w:right="397"/>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398"/>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r>
      <w:tr>
        <w:trPr>
          <w:trHeight w:val="161"/>
        </w:trPr>
        <w:tc>
          <w:tcPr>
            <w:tcW w:w="20" w:type="dxa"/>
            <w:vAlign w:val="bottom"/>
          </w:tcPr>
          <w:p>
            <w:pPr>
              <w:spacing w:after="0"/>
              <w:rPr>
                <w:sz w:val="14"/>
                <w:szCs w:val="14"/>
                <w:color w:val="auto"/>
              </w:rPr>
            </w:pPr>
          </w:p>
        </w:tc>
        <w:tc>
          <w:tcPr>
            <w:tcW w:w="514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income available to common stockholders</w:t>
            </w:r>
          </w:p>
        </w:tc>
        <w:tc>
          <w:tcPr>
            <w:tcW w:w="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263,342</w:t>
            </w:r>
          </w:p>
        </w:tc>
        <w:tc>
          <w:tcPr>
            <w:tcW w:w="1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bottom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493,011</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249,930</w:t>
            </w:r>
          </w:p>
        </w:tc>
      </w:tr>
      <w:tr>
        <w:trPr>
          <w:trHeight w:val="140"/>
        </w:trPr>
        <w:tc>
          <w:tcPr>
            <w:tcW w:w="51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Weighted average shares outstanding—basic</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auto"/>
              </w:rPr>
              <w:t>260,098,978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auto"/>
              </w:rPr>
              <w:t>208,325,823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206,035,408</w:t>
            </w:r>
          </w:p>
        </w:tc>
      </w:tr>
      <w:tr>
        <w:trPr>
          <w:trHeight w:val="152"/>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Potentially dilutive common shares:</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Unvested incentive units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120,775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165,185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141,260</w:t>
            </w:r>
          </w:p>
        </w:tc>
      </w:tr>
      <w:tr>
        <w:trPr>
          <w:trHeight w:val="152"/>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Unvested restricted stock</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177,244</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Forward equity offering</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1,596,476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813,073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33,315</w:t>
            </w:r>
          </w:p>
        </w:tc>
      </w:tr>
      <w:tr>
        <w:trPr>
          <w:trHeight w:val="152"/>
        </w:trPr>
        <w:tc>
          <w:tcPr>
            <w:tcW w:w="20" w:type="dxa"/>
            <w:vAlign w:val="bottom"/>
          </w:tcPr>
          <w:p>
            <w:pPr>
              <w:spacing w:after="0"/>
              <w:rPr>
                <w:sz w:val="13"/>
                <w:szCs w:val="13"/>
                <w:color w:val="auto"/>
              </w:rPr>
            </w:pPr>
          </w:p>
        </w:tc>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Market performance-based awards</w:t>
            </w:r>
          </w:p>
        </w:tc>
        <w:tc>
          <w:tcPr>
            <w:tcW w:w="1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529,035</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158,166</w:t>
            </w:r>
          </w:p>
        </w:tc>
        <w:tc>
          <w:tcPr>
            <w:tcW w:w="1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463,488</w:t>
            </w:r>
          </w:p>
        </w:tc>
      </w:tr>
      <w:tr>
        <w:trPr>
          <w:trHeight w:val="150"/>
        </w:trPr>
        <w:tc>
          <w:tcPr>
            <w:tcW w:w="51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Weighted average shares outstanding—diluted</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auto"/>
              </w:rPr>
              <w:t>262,522,508</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auto"/>
              </w:rPr>
              <w:t>209,462,247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206,673,471</w:t>
            </w:r>
          </w:p>
        </w:tc>
      </w:tr>
      <w:tr>
        <w:trPr>
          <w:trHeight w:val="152"/>
        </w:trPr>
        <w:tc>
          <w:tcPr>
            <w:tcW w:w="20" w:type="dxa"/>
            <w:vAlign w:val="bottom"/>
          </w:tcPr>
          <w:p>
            <w:pPr>
              <w:spacing w:after="0"/>
              <w:rPr>
                <w:sz w:val="13"/>
                <w:szCs w:val="13"/>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per share:</w:t>
            </w:r>
          </w:p>
        </w:tc>
        <w:tc>
          <w:tcPr>
            <w:tcW w:w="1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Basic</w:t>
            </w:r>
          </w:p>
        </w:tc>
        <w:tc>
          <w:tcPr>
            <w:tcW w:w="440" w:type="dxa"/>
            <w:vAlign w:val="bottom"/>
            <w:gridSpan w:val="2"/>
          </w:tcPr>
          <w:p>
            <w:pPr>
              <w:jc w:val="right"/>
              <w:ind w:right="14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36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40" w:type="dxa"/>
            <w:vAlign w:val="bottom"/>
          </w:tcPr>
          <w:p>
            <w:pPr>
              <w:spacing w:after="0"/>
              <w:rPr>
                <w:sz w:val="13"/>
                <w:szCs w:val="13"/>
                <w:color w:val="auto"/>
              </w:rPr>
            </w:pP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60"/>
        </w:trPr>
        <w:tc>
          <w:tcPr>
            <w:tcW w:w="20" w:type="dxa"/>
            <w:vAlign w:val="bottom"/>
          </w:tcPr>
          <w:p>
            <w:pPr>
              <w:spacing w:after="0"/>
              <w:rPr>
                <w:sz w:val="13"/>
                <w:szCs w:val="13"/>
                <w:color w:val="auto"/>
              </w:rPr>
            </w:pPr>
          </w:p>
        </w:tc>
        <w:tc>
          <w:tcPr>
            <w:tcW w:w="51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Diluted</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304"/>
        </w:trPr>
        <w:tc>
          <w:tcPr>
            <w:tcW w:w="20" w:type="dxa"/>
            <w:vAlign w:val="bottom"/>
          </w:tcPr>
          <w:p>
            <w:pPr>
              <w:spacing w:after="0"/>
              <w:rPr>
                <w:sz w:val="24"/>
                <w:szCs w:val="24"/>
                <w:color w:val="auto"/>
              </w:rPr>
            </w:pPr>
          </w:p>
        </w:tc>
        <w:tc>
          <w:tcPr>
            <w:tcW w:w="7820" w:type="dxa"/>
            <w:vAlign w:val="bottom"/>
            <w:gridSpan w:val="10"/>
          </w:tcPr>
          <w:p>
            <w:pPr>
              <w:ind w:left="220"/>
              <w:spacing w:after="0"/>
              <w:rPr>
                <w:sz w:val="20"/>
                <w:szCs w:val="20"/>
                <w:color w:val="auto"/>
              </w:rPr>
            </w:pPr>
            <w:r>
              <w:rPr>
                <w:rFonts w:ascii="Times New Roman" w:cs="Times New Roman" w:eastAsia="Times New Roman" w:hAnsi="Times New Roman"/>
                <w:sz w:val="13"/>
                <w:szCs w:val="13"/>
                <w:color w:val="auto"/>
              </w:rPr>
              <w:t>We have excluded the following potentially dilutive securities in the calculations above as they would be antidilutive or not dilutive: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6"/>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60" w:type="dxa"/>
            <w:vAlign w:val="bottom"/>
            <w:tcBorders>
              <w:bottom w:val="single" w:sz="8" w:color="auto"/>
            </w:tcBorders>
          </w:tcPr>
          <w:p>
            <w:pPr>
              <w:spacing w:after="0"/>
              <w:rPr>
                <w:sz w:val="23"/>
                <w:szCs w:val="23"/>
                <w:color w:val="auto"/>
              </w:rPr>
            </w:pPr>
          </w:p>
        </w:tc>
      </w:tr>
      <w:tr>
        <w:trPr>
          <w:trHeight w:val="94"/>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2"/>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jc w:val="right"/>
              <w:ind w:right="318"/>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r>
      <w:tr>
        <w:trPr>
          <w:trHeight w:val="141"/>
        </w:trPr>
        <w:tc>
          <w:tcPr>
            <w:tcW w:w="5160" w:type="dxa"/>
            <w:vAlign w:val="bottom"/>
            <w:tcBorders>
              <w:top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Weighted average of Operating Partnership common units not owned by Digital Realty Trust, Inc.</w:t>
            </w: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gridSpan w:val="3"/>
            <w:shd w:val="clear" w:color="auto" w:fill="CCEEFF"/>
          </w:tcPr>
          <w:p>
            <w:pPr>
              <w:jc w:val="right"/>
              <w:ind w:right="1"/>
              <w:spacing w:after="0" w:line="141" w:lineRule="exact"/>
              <w:rPr>
                <w:sz w:val="20"/>
                <w:szCs w:val="20"/>
                <w:color w:val="auto"/>
              </w:rPr>
            </w:pPr>
            <w:r>
              <w:rPr>
                <w:rFonts w:ascii="Times New Roman" w:cs="Times New Roman" w:eastAsia="Times New Roman" w:hAnsi="Times New Roman"/>
                <w:sz w:val="13"/>
                <w:szCs w:val="13"/>
                <w:color w:val="auto"/>
              </w:rPr>
              <w:t>7,974,005</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3"/>
                <w:szCs w:val="13"/>
                <w:color w:val="auto"/>
              </w:rPr>
              <w:t>8,958,932</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8,227,463</w:t>
            </w:r>
          </w:p>
        </w:tc>
      </w:tr>
      <w:tr>
        <w:trPr>
          <w:trHeight w:val="152"/>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Potentially dilutive Series C Cumulative Redeemable Perpetual Preferred Stock</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4"/>
          </w:tcPr>
          <w:p>
            <w:pPr>
              <w:jc w:val="right"/>
              <w:ind w:right="1"/>
              <w:spacing w:after="0"/>
              <w:rPr>
                <w:sz w:val="20"/>
                <w:szCs w:val="20"/>
                <w:color w:val="auto"/>
              </w:rPr>
            </w:pPr>
            <w:r>
              <w:rPr>
                <w:rFonts w:ascii="Times New Roman" w:cs="Times New Roman" w:eastAsia="Times New Roman" w:hAnsi="Times New Roman"/>
                <w:sz w:val="13"/>
                <w:szCs w:val="13"/>
                <w:color w:val="auto"/>
              </w:rPr>
              <w:t>1,489,983</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1,695,765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1,876,584</w:t>
            </w:r>
          </w:p>
        </w:tc>
      </w:tr>
      <w:tr>
        <w:trPr>
          <w:trHeight w:val="152"/>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Potentially dilutive Series G Cumulative Redeemable Preferred Stock</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1,452,809</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2,102,655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2,326,861</w:t>
            </w:r>
          </w:p>
        </w:tc>
      </w:tr>
      <w:tr>
        <w:trPr>
          <w:trHeight w:val="152"/>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Potentially dilutive Series H Cumulative Redeemable Preferred Stock</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789,846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3,409,772</w:t>
            </w:r>
          </w:p>
        </w:tc>
      </w:tr>
      <w:tr>
        <w:trPr>
          <w:trHeight w:val="152"/>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Potentially dilutive Series I Cumulative Redeemable Preferred Stock</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1,269,035</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2,105,116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2,329,584</w:t>
            </w:r>
          </w:p>
        </w:tc>
      </w:tr>
      <w:tr>
        <w:trPr>
          <w:trHeight w:val="152"/>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Potentially dilutive Series J Cumulative Redeemable Preferred Stock</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4"/>
          </w:tcPr>
          <w:p>
            <w:pPr>
              <w:jc w:val="right"/>
              <w:ind w:right="1"/>
              <w:spacing w:after="0"/>
              <w:rPr>
                <w:sz w:val="20"/>
                <w:szCs w:val="20"/>
                <w:color w:val="auto"/>
              </w:rPr>
            </w:pPr>
            <w:r>
              <w:rPr>
                <w:rFonts w:ascii="Times New Roman" w:cs="Times New Roman" w:eastAsia="Times New Roman" w:hAnsi="Times New Roman"/>
                <w:sz w:val="13"/>
                <w:szCs w:val="13"/>
                <w:color w:val="auto"/>
              </w:rPr>
              <w:t>1,475,721</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1,679,534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1,858,622</w:t>
            </w:r>
          </w:p>
        </w:tc>
      </w:tr>
      <w:tr>
        <w:trPr>
          <w:trHeight w:val="152"/>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Potentially dilutive Series K Cumulative Redeemable Preferred Stock</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1,551,801</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1,334,691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Potentially dilutive Series L Cumulative Redeemable Preferred Stock</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4"/>
          </w:tcPr>
          <w:p>
            <w:pPr>
              <w:jc w:val="right"/>
              <w:ind w:right="1"/>
              <w:spacing w:after="0"/>
              <w:rPr>
                <w:sz w:val="20"/>
                <w:szCs w:val="20"/>
                <w:color w:val="auto"/>
              </w:rPr>
            </w:pPr>
            <w:r>
              <w:rPr>
                <w:rFonts w:ascii="Times New Roman" w:cs="Times New Roman" w:eastAsia="Times New Roman" w:hAnsi="Times New Roman"/>
                <w:sz w:val="13"/>
                <w:szCs w:val="13"/>
                <w:color w:val="auto"/>
              </w:rPr>
              <w:t>2,543,639</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670,823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140" w:type="dxa"/>
            <w:vAlign w:val="bottom"/>
            <w:tcBorders>
              <w:top w:val="single" w:sz="8" w:color="CCEEFF"/>
              <w:bottom w:val="single" w:sz="8" w:color="CCEEFF"/>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gridSpan w:val="3"/>
            <w:shd w:val="clear" w:color="auto" w:fill="CCEEFF"/>
          </w:tcPr>
          <w:p>
            <w:pPr>
              <w:jc w:val="right"/>
              <w:ind w:right="1"/>
              <w:spacing w:after="0" w:line="141" w:lineRule="exact"/>
              <w:rPr>
                <w:sz w:val="20"/>
                <w:szCs w:val="20"/>
                <w:color w:val="auto"/>
              </w:rPr>
            </w:pPr>
            <w:r>
              <w:rPr>
                <w:rFonts w:ascii="Times New Roman" w:cs="Times New Roman" w:eastAsia="Times New Roman" w:hAnsi="Times New Roman"/>
                <w:sz w:val="13"/>
                <w:szCs w:val="13"/>
                <w:color w:val="auto"/>
              </w:rPr>
              <w:t>17,756,993</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3"/>
                <w:szCs w:val="13"/>
                <w:color w:val="auto"/>
              </w:rPr>
              <w:t>19,337,362</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20,028,886</w:t>
            </w:r>
          </w:p>
        </w:tc>
      </w:tr>
      <w:tr>
        <w:trPr>
          <w:trHeight w:val="606"/>
        </w:trPr>
        <w:tc>
          <w:tcPr>
            <w:tcW w:w="5160" w:type="dxa"/>
            <w:vAlign w:val="bottom"/>
            <w:gridSpan w:val="2"/>
          </w:tcPr>
          <w:p>
            <w:pPr>
              <w:ind w:left="4380"/>
              <w:spacing w:after="0"/>
              <w:rPr>
                <w:sz w:val="20"/>
                <w:szCs w:val="20"/>
                <w:color w:val="auto"/>
              </w:rPr>
            </w:pPr>
            <w:r>
              <w:rPr>
                <w:rFonts w:ascii="Times New Roman" w:cs="Times New Roman" w:eastAsia="Times New Roman" w:hAnsi="Times New Roman"/>
                <w:sz w:val="13"/>
                <w:szCs w:val="13"/>
                <w:color w:val="auto"/>
              </w:rPr>
              <w:t>160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8"/>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165" w:name="page166"/>
    <w:bookmarkEnd w:id="16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11. Income per Unit</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following is a summary of basic and diluted income per unit (in thousands, except unit and per unit amounts):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r>
        <w:trPr>
          <w:trHeight w:val="94"/>
        </w:trPr>
        <w:tc>
          <w:tcPr>
            <w:tcW w:w="20" w:type="dxa"/>
            <w:vAlign w:val="bottom"/>
          </w:tcPr>
          <w:p>
            <w:pPr>
              <w:spacing w:after="0"/>
              <w:rPr>
                <w:sz w:val="8"/>
                <w:szCs w:val="8"/>
                <w:color w:val="auto"/>
              </w:rPr>
            </w:pPr>
          </w:p>
        </w:tc>
        <w:tc>
          <w:tcPr>
            <w:tcW w:w="466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jc w:val="right"/>
              <w:ind w:right="381"/>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jc w:val="right"/>
              <w:ind w:right="397"/>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398"/>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r>
      <w:tr>
        <w:trPr>
          <w:trHeight w:val="161"/>
        </w:trPr>
        <w:tc>
          <w:tcPr>
            <w:tcW w:w="20" w:type="dxa"/>
            <w:vAlign w:val="bottom"/>
          </w:tcPr>
          <w:p>
            <w:pPr>
              <w:spacing w:after="0"/>
              <w:rPr>
                <w:sz w:val="14"/>
                <w:szCs w:val="14"/>
                <w:color w:val="auto"/>
              </w:rPr>
            </w:pPr>
          </w:p>
        </w:tc>
        <w:tc>
          <w:tcPr>
            <w:tcW w:w="466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income available to common unitholders</w:t>
            </w:r>
          </w:p>
        </w:tc>
        <w:tc>
          <w:tcPr>
            <w:tcW w:w="6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272,842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bottom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514,111</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260,110</w:t>
            </w:r>
          </w:p>
        </w:tc>
      </w:tr>
      <w:tr>
        <w:trPr>
          <w:trHeight w:val="140"/>
        </w:trPr>
        <w:tc>
          <w:tcPr>
            <w:tcW w:w="468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Weighted average units outstanding—basic</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auto"/>
              </w:rPr>
              <w:t>268,072,983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auto"/>
              </w:rPr>
              <w:t>217,284,755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214,312,871</w:t>
            </w:r>
          </w:p>
        </w:tc>
      </w:tr>
      <w:tr>
        <w:trPr>
          <w:trHeight w:val="152"/>
        </w:trPr>
        <w:tc>
          <w:tcPr>
            <w:tcW w:w="20" w:type="dxa"/>
            <w:vAlign w:val="bottom"/>
          </w:tcPr>
          <w:p>
            <w:pPr>
              <w:spacing w:after="0"/>
              <w:rPr>
                <w:sz w:val="13"/>
                <w:szCs w:val="13"/>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Potentially dilutive common units:</w:t>
            </w: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Unvested incentive units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120,775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165,185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141,260</w:t>
            </w:r>
          </w:p>
        </w:tc>
      </w:tr>
      <w:tr>
        <w:trPr>
          <w:trHeight w:val="152"/>
        </w:trPr>
        <w:tc>
          <w:tcPr>
            <w:tcW w:w="20" w:type="dxa"/>
            <w:vAlign w:val="bottom"/>
          </w:tcPr>
          <w:p>
            <w:pPr>
              <w:spacing w:after="0"/>
              <w:rPr>
                <w:sz w:val="13"/>
                <w:szCs w:val="13"/>
                <w:color w:val="auto"/>
              </w:rPr>
            </w:pPr>
          </w:p>
        </w:tc>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Unvested restricted units</w:t>
            </w: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177,244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0" w:type="dxa"/>
            <w:vAlign w:val="bottom"/>
          </w:tcPr>
          <w:p>
            <w:pPr>
              <w:spacing w:after="0"/>
              <w:rPr>
                <w:sz w:val="13"/>
                <w:szCs w:val="13"/>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Forward equity offering</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1,596,476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813,073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33,315</w:t>
            </w:r>
          </w:p>
        </w:tc>
      </w:tr>
      <w:tr>
        <w:trPr>
          <w:trHeight w:val="152"/>
        </w:trPr>
        <w:tc>
          <w:tcPr>
            <w:tcW w:w="20" w:type="dxa"/>
            <w:vAlign w:val="bottom"/>
          </w:tcPr>
          <w:p>
            <w:pPr>
              <w:spacing w:after="0"/>
              <w:rPr>
                <w:sz w:val="13"/>
                <w:szCs w:val="13"/>
                <w:color w:val="auto"/>
              </w:rPr>
            </w:pPr>
          </w:p>
        </w:tc>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Market performance-based awards</w:t>
            </w:r>
          </w:p>
        </w:tc>
        <w:tc>
          <w:tcPr>
            <w:tcW w:w="6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529,035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158,166</w:t>
            </w:r>
          </w:p>
        </w:tc>
        <w:tc>
          <w:tcPr>
            <w:tcW w:w="1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463,488</w:t>
            </w:r>
          </w:p>
        </w:tc>
      </w:tr>
      <w:tr>
        <w:trPr>
          <w:trHeight w:val="150"/>
        </w:trPr>
        <w:tc>
          <w:tcPr>
            <w:tcW w:w="468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Weighted average units outstanding—diluted</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auto"/>
              </w:rPr>
              <w:t>270,496,513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auto"/>
              </w:rPr>
              <w:t>218,421,179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214,950,934</w:t>
            </w:r>
          </w:p>
        </w:tc>
      </w:tr>
      <w:tr>
        <w:trPr>
          <w:trHeight w:val="152"/>
        </w:trPr>
        <w:tc>
          <w:tcPr>
            <w:tcW w:w="20" w:type="dxa"/>
            <w:vAlign w:val="bottom"/>
          </w:tcPr>
          <w:p>
            <w:pPr>
              <w:spacing w:after="0"/>
              <w:rPr>
                <w:sz w:val="13"/>
                <w:szCs w:val="13"/>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per unit:</w:t>
            </w:r>
          </w:p>
        </w:tc>
        <w:tc>
          <w:tcPr>
            <w:tcW w:w="6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Basic</w:t>
            </w:r>
          </w:p>
        </w:tc>
        <w:tc>
          <w:tcPr>
            <w:tcW w:w="920" w:type="dxa"/>
            <w:vAlign w:val="bottom"/>
            <w:gridSpan w:val="2"/>
          </w:tcPr>
          <w:p>
            <w:pPr>
              <w:jc w:val="right"/>
              <w:ind w:right="14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13"/>
                <w:szCs w:val="13"/>
                <w:color w:val="auto"/>
              </w:rPr>
            </w:pPr>
          </w:p>
        </w:tc>
        <w:tc>
          <w:tcPr>
            <w:tcW w:w="28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40" w:type="dxa"/>
            <w:vAlign w:val="bottom"/>
          </w:tcPr>
          <w:p>
            <w:pPr>
              <w:spacing w:after="0"/>
              <w:rPr>
                <w:sz w:val="13"/>
                <w:szCs w:val="13"/>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60"/>
        </w:trPr>
        <w:tc>
          <w:tcPr>
            <w:tcW w:w="20" w:type="dxa"/>
            <w:vAlign w:val="bottom"/>
          </w:tcPr>
          <w:p>
            <w:pPr>
              <w:spacing w:after="0"/>
              <w:rPr>
                <w:sz w:val="13"/>
                <w:szCs w:val="13"/>
                <w:color w:val="auto"/>
              </w:rPr>
            </w:pPr>
          </w:p>
        </w:tc>
        <w:tc>
          <w:tcPr>
            <w:tcW w:w="4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Diluted</w:t>
            </w: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304"/>
        </w:trPr>
        <w:tc>
          <w:tcPr>
            <w:tcW w:w="20" w:type="dxa"/>
            <w:vAlign w:val="bottom"/>
          </w:tcPr>
          <w:p>
            <w:pPr>
              <w:spacing w:after="0"/>
              <w:rPr>
                <w:sz w:val="24"/>
                <w:szCs w:val="24"/>
                <w:color w:val="auto"/>
              </w:rPr>
            </w:pPr>
          </w:p>
        </w:tc>
        <w:tc>
          <w:tcPr>
            <w:tcW w:w="7820" w:type="dxa"/>
            <w:vAlign w:val="bottom"/>
            <w:gridSpan w:val="11"/>
          </w:tcPr>
          <w:p>
            <w:pPr>
              <w:ind w:left="220"/>
              <w:spacing w:after="0"/>
              <w:rPr>
                <w:sz w:val="20"/>
                <w:szCs w:val="20"/>
                <w:color w:val="auto"/>
              </w:rPr>
            </w:pPr>
            <w:r>
              <w:rPr>
                <w:rFonts w:ascii="Times New Roman" w:cs="Times New Roman" w:eastAsia="Times New Roman" w:hAnsi="Times New Roman"/>
                <w:sz w:val="13"/>
                <w:szCs w:val="13"/>
                <w:color w:val="auto"/>
              </w:rPr>
              <w:t>We have excluded the following potentially dilutive securities in the calculations above as they would be antidilutive or not dilutive: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40" w:type="dxa"/>
            <w:vAlign w:val="bottom"/>
            <w:tcBorders>
              <w:bottom w:val="single" w:sz="8" w:color="auto"/>
            </w:tcBorders>
          </w:tcPr>
          <w:p>
            <w:pPr>
              <w:spacing w:after="0"/>
              <w:rPr>
                <w:sz w:val="23"/>
                <w:szCs w:val="23"/>
                <w:color w:val="auto"/>
              </w:rPr>
            </w:pPr>
          </w:p>
        </w:tc>
      </w:tr>
      <w:tr>
        <w:trPr>
          <w:trHeight w:val="94"/>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gridSpan w:val="2"/>
          </w:tcPr>
          <w:p>
            <w:pPr>
              <w:jc w:val="right"/>
              <w:ind w:right="40"/>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2"/>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jc w:val="right"/>
              <w:ind w:right="318"/>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r>
      <w:tr>
        <w:trPr>
          <w:trHeight w:val="141"/>
        </w:trPr>
        <w:tc>
          <w:tcPr>
            <w:tcW w:w="4680" w:type="dxa"/>
            <w:vAlign w:val="bottom"/>
            <w:tcBorders>
              <w:top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Potentially dilutive Series C Cumulative Redeemable Perpetual Preferred Units</w:t>
            </w:r>
          </w:p>
        </w:tc>
        <w:tc>
          <w:tcPr>
            <w:tcW w:w="6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4"/>
            <w:shd w:val="clear" w:color="auto" w:fill="CCEEFF"/>
          </w:tcPr>
          <w:p>
            <w:pPr>
              <w:jc w:val="right"/>
              <w:ind w:right="1"/>
              <w:spacing w:after="0" w:line="141" w:lineRule="exact"/>
              <w:rPr>
                <w:sz w:val="20"/>
                <w:szCs w:val="20"/>
                <w:color w:val="auto"/>
              </w:rPr>
            </w:pPr>
            <w:r>
              <w:rPr>
                <w:rFonts w:ascii="Times New Roman" w:cs="Times New Roman" w:eastAsia="Times New Roman" w:hAnsi="Times New Roman"/>
                <w:sz w:val="13"/>
                <w:szCs w:val="13"/>
                <w:color w:val="auto"/>
              </w:rPr>
              <w:t>1,489,983</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3"/>
                <w:szCs w:val="13"/>
                <w:color w:val="auto"/>
              </w:rPr>
              <w:t>1,695,765</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1,876,584</w:t>
            </w:r>
          </w:p>
        </w:tc>
      </w:tr>
      <w:tr>
        <w:trPr>
          <w:trHeight w:val="152"/>
        </w:trPr>
        <w:tc>
          <w:tcPr>
            <w:tcW w:w="4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Potentially dilutive Series G Cumulative Redeemable Preferred Units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5"/>
          </w:tcPr>
          <w:p>
            <w:pPr>
              <w:jc w:val="right"/>
              <w:ind w:right="1"/>
              <w:spacing w:after="0"/>
              <w:rPr>
                <w:sz w:val="20"/>
                <w:szCs w:val="20"/>
                <w:color w:val="auto"/>
              </w:rPr>
            </w:pPr>
            <w:r>
              <w:rPr>
                <w:rFonts w:ascii="Times New Roman" w:cs="Times New Roman" w:eastAsia="Times New Roman" w:hAnsi="Times New Roman"/>
                <w:sz w:val="13"/>
                <w:szCs w:val="13"/>
                <w:color w:val="auto"/>
              </w:rPr>
              <w:t>1,452,809</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2,102,655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2,326,861</w:t>
            </w:r>
          </w:p>
        </w:tc>
      </w:tr>
      <w:tr>
        <w:trPr>
          <w:trHeight w:val="152"/>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Potentially dilutive Series H Cumulative Redeemable Preferred Units</w:t>
            </w: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789,846</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3,409,772</w:t>
            </w:r>
          </w:p>
        </w:tc>
      </w:tr>
      <w:tr>
        <w:trPr>
          <w:trHeight w:val="152"/>
        </w:trPr>
        <w:tc>
          <w:tcPr>
            <w:tcW w:w="4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Potentially dilutive Series I Cumulative Redeemable Preferred Units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5"/>
          </w:tcPr>
          <w:p>
            <w:pPr>
              <w:jc w:val="right"/>
              <w:ind w:right="1"/>
              <w:spacing w:after="0"/>
              <w:rPr>
                <w:sz w:val="20"/>
                <w:szCs w:val="20"/>
                <w:color w:val="auto"/>
              </w:rPr>
            </w:pPr>
            <w:r>
              <w:rPr>
                <w:rFonts w:ascii="Times New Roman" w:cs="Times New Roman" w:eastAsia="Times New Roman" w:hAnsi="Times New Roman"/>
                <w:sz w:val="13"/>
                <w:szCs w:val="13"/>
                <w:color w:val="auto"/>
              </w:rPr>
              <w:t>1,269,035</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2,105,116</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2,329,584</w:t>
            </w:r>
          </w:p>
        </w:tc>
      </w:tr>
      <w:tr>
        <w:trPr>
          <w:trHeight w:val="152"/>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Potentially dilutive Series J Cumulative Redeemable Preferred Units</w:t>
            </w: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gridSpan w:val="5"/>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1,475,721</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1,679,534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1,858,622</w:t>
            </w:r>
          </w:p>
        </w:tc>
      </w:tr>
      <w:tr>
        <w:trPr>
          <w:trHeight w:val="152"/>
        </w:trPr>
        <w:tc>
          <w:tcPr>
            <w:tcW w:w="4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Potentially dilutive Series K Cumulative Redeemable Preferred Units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5"/>
          </w:tcPr>
          <w:p>
            <w:pPr>
              <w:jc w:val="right"/>
              <w:ind w:right="1"/>
              <w:spacing w:after="0"/>
              <w:rPr>
                <w:sz w:val="20"/>
                <w:szCs w:val="20"/>
                <w:color w:val="auto"/>
              </w:rPr>
            </w:pPr>
            <w:r>
              <w:rPr>
                <w:rFonts w:ascii="Times New Roman" w:cs="Times New Roman" w:eastAsia="Times New Roman" w:hAnsi="Times New Roman"/>
                <w:sz w:val="13"/>
                <w:szCs w:val="13"/>
                <w:color w:val="auto"/>
              </w:rPr>
              <w:t>1,551,801</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1,334,691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Potentially dilutive Series L Cumulative Redeemable Preferred Units</w:t>
            </w: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gridSpan w:val="5"/>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2,543,639</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670,823</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20" w:type="dxa"/>
            <w:vAlign w:val="bottom"/>
          </w:tcPr>
          <w:p>
            <w:pPr>
              <w:spacing w:after="0"/>
              <w:rPr>
                <w:sz w:val="13"/>
                <w:szCs w:val="13"/>
                <w:color w:val="auto"/>
              </w:rPr>
            </w:pPr>
          </w:p>
        </w:tc>
        <w:tc>
          <w:tcPr>
            <w:tcW w:w="4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auto"/>
              </w:rPr>
              <w:t>Total</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Borders>
              <w:top w:val="single" w:sz="8" w:color="auto"/>
              <w:bottom w:val="single" w:sz="8" w:color="auto"/>
            </w:tcBorders>
            <w:gridSpan w:val="4"/>
          </w:tcPr>
          <w:p>
            <w:pPr>
              <w:jc w:val="right"/>
              <w:ind w:right="1"/>
              <w:spacing w:after="0" w:line="141" w:lineRule="exact"/>
              <w:rPr>
                <w:sz w:val="20"/>
                <w:szCs w:val="20"/>
                <w:color w:val="auto"/>
              </w:rPr>
            </w:pPr>
            <w:r>
              <w:rPr>
                <w:rFonts w:ascii="Times New Roman" w:cs="Times New Roman" w:eastAsia="Times New Roman" w:hAnsi="Times New Roman"/>
                <w:sz w:val="13"/>
                <w:szCs w:val="13"/>
                <w:color w:val="auto"/>
              </w:rPr>
              <w:t>9,782,988</w:t>
            </w:r>
          </w:p>
        </w:tc>
        <w:tc>
          <w:tcPr>
            <w:tcW w:w="140" w:type="dxa"/>
            <w:vAlign w:val="bottom"/>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20"/>
              <w:spacing w:after="0" w:line="141" w:lineRule="exact"/>
              <w:rPr>
                <w:sz w:val="20"/>
                <w:szCs w:val="20"/>
                <w:color w:val="auto"/>
              </w:rPr>
            </w:pPr>
            <w:r>
              <w:rPr>
                <w:rFonts w:ascii="Times New Roman" w:cs="Times New Roman" w:eastAsia="Times New Roman" w:hAnsi="Times New Roman"/>
                <w:sz w:val="13"/>
                <w:szCs w:val="13"/>
                <w:color w:val="auto"/>
              </w:rPr>
              <w:t>10,378,430</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11,801,423</w:t>
            </w:r>
          </w:p>
        </w:tc>
      </w:tr>
    </w:tbl>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12. Income Taxes</w:t>
      </w:r>
    </w:p>
    <w:p>
      <w:pPr>
        <w:spacing w:after="0" w:line="156" w:lineRule="exact"/>
        <w:rPr>
          <w:sz w:val="20"/>
          <w:szCs w:val="20"/>
          <w:color w:val="auto"/>
        </w:rPr>
      </w:pPr>
    </w:p>
    <w:p>
      <w:pPr>
        <w:ind w:left="20" w:right="199" w:firstLine="228"/>
        <w:spacing w:after="0" w:line="252" w:lineRule="auto"/>
        <w:rPr>
          <w:sz w:val="20"/>
          <w:szCs w:val="20"/>
          <w:color w:val="auto"/>
        </w:rPr>
      </w:pPr>
      <w:r>
        <w:rPr>
          <w:rFonts w:ascii="Times New Roman" w:cs="Times New Roman" w:eastAsia="Times New Roman" w:hAnsi="Times New Roman"/>
          <w:sz w:val="13"/>
          <w:szCs w:val="13"/>
          <w:color w:val="auto"/>
        </w:rPr>
        <w:t>Digital Realty Trust, Inc. has elected to be treated and believes that it has been organized and has operated in a manner that has enabled it to qualify as a REIT for federal income tax purposes. As a REIT, Digital Realty Trust, Inc. is generally not subject to corporate level federal income taxes on taxable income distributed currently to its stockholders. Since inception, Digital Realty Trust, Inc. has distributed at least 100% of its taxable income annually. As such, no provision for federal income taxes has been included in the Company’s accompanying consolidated financial statements for the years ended December 31, 2020, 2019 and 2018.</w:t>
      </w:r>
    </w:p>
    <w:p>
      <w:pPr>
        <w:spacing w:after="0" w:line="132" w:lineRule="exact"/>
        <w:rPr>
          <w:sz w:val="20"/>
          <w:szCs w:val="20"/>
          <w:color w:val="auto"/>
        </w:rPr>
      </w:pPr>
    </w:p>
    <w:p>
      <w:pPr>
        <w:ind w:left="20" w:right="179" w:firstLine="228"/>
        <w:spacing w:after="0" w:line="256" w:lineRule="auto"/>
        <w:rPr>
          <w:sz w:val="20"/>
          <w:szCs w:val="20"/>
          <w:color w:val="auto"/>
        </w:rPr>
      </w:pPr>
      <w:r>
        <w:rPr>
          <w:rFonts w:ascii="Times New Roman" w:cs="Times New Roman" w:eastAsia="Times New Roman" w:hAnsi="Times New Roman"/>
          <w:sz w:val="13"/>
          <w:szCs w:val="13"/>
          <w:color w:val="auto"/>
        </w:rPr>
        <w:t>The Operating Partnership is a partnership and is not required to pay federal income tax. Instead, taxable income is allocated to its partners, who include such amounts on their federal income tax returns. As such, no provision for federal income taxes has been included in the Operating Partnership’s accompanying consolidated financial statements.</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66" w:name="page167"/>
    <w:bookmarkEnd w:id="16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299" w:firstLine="228"/>
        <w:spacing w:after="0" w:line="256" w:lineRule="auto"/>
        <w:rPr>
          <w:sz w:val="20"/>
          <w:szCs w:val="20"/>
          <w:color w:val="auto"/>
        </w:rPr>
      </w:pPr>
      <w:r>
        <w:rPr>
          <w:rFonts w:ascii="Times New Roman" w:cs="Times New Roman" w:eastAsia="Times New Roman" w:hAnsi="Times New Roman"/>
          <w:sz w:val="13"/>
          <w:szCs w:val="13"/>
          <w:color w:val="auto"/>
        </w:rPr>
        <w:t>We have elected taxable REIT subsidiary (“TRS”) status for some of our consolidated subsidiaries. In general, a TRS may provide services that would otherwise be considered impermissible for REITs to provide and may hold assets that REITs cannot hold directly. Income taxes for TRS entities were accrued, as necessary, for the years ended December 31, 2020, 2019 and 2018.</w:t>
      </w:r>
    </w:p>
    <w:p>
      <w:pPr>
        <w:spacing w:after="0" w:line="129" w:lineRule="exact"/>
        <w:rPr>
          <w:sz w:val="20"/>
          <w:szCs w:val="20"/>
          <w:color w:val="auto"/>
        </w:rPr>
      </w:pPr>
    </w:p>
    <w:p>
      <w:pPr>
        <w:ind w:left="20" w:right="39" w:firstLine="228"/>
        <w:spacing w:after="0" w:line="246" w:lineRule="auto"/>
        <w:rPr>
          <w:sz w:val="20"/>
          <w:szCs w:val="20"/>
          <w:color w:val="auto"/>
        </w:rPr>
      </w:pPr>
      <w:r>
        <w:rPr>
          <w:rFonts w:ascii="Times New Roman" w:cs="Times New Roman" w:eastAsia="Times New Roman" w:hAnsi="Times New Roman"/>
          <w:sz w:val="13"/>
          <w:szCs w:val="13"/>
          <w:color w:val="auto"/>
        </w:rPr>
        <w:t>For our TRS entities and foreign subsidiaries that are subject to U.S. federal, state, local and foreign income taxes, deferred tax assets and liabilities are established for temporary differences between the financial reporting basis and the tax basis of assets and liabilities at the enacted tax rates expected to be in effect when the temporary differences reverse. A valuation allowance for deferred tax assets is provided if we believe it is more likely than not that the deferred tax asset may not be realized, based on available evidence at the time the determination is made. An increase or decrease in the valuation allowance that results from the change in circumstances that causes a change in our judgment about the realizability of the related deferred tax asset is included in the income statement. Deferred tax assets (net of valuation allowance) and liabilities for our TRS entities and foreign subsidiaries were accrued, as necessary, for the years ended December 31, 2020, 2019 and 2018. As of December 31, 2020 and 2019, we had deferred tax liabilities net of deferred tax assets of approximately $737.3 million and $143.4 million, respectively, primarily related to our foreign properties, classified in accounts payable and other accrued expenses in the consolidated balance sheet. The majority of our net deferred tax liability relates to differences between foreign tax basis and book basis of the assets acquired in the Interxion Combination in March 2020, the European Portfolio Acquisition in July 2016 and the Sentrum portfolio acquisition during 2012. The valuation allowance against the deferred tax assets at December 31, 2020 and 2019 relate primarily to net operating loss carryforwards that we do not expect to utilize attributable to certain foreign jurisdictions.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Deferred income tax assets and liabilities as of December 31, 2020 and 2019 were as follows (in thousands):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684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0"/>
                <w:szCs w:val="10"/>
                <w:b w:val="1"/>
                <w:bCs w:val="1"/>
                <w:color w:val="auto"/>
              </w:rPr>
              <w:t>2019</w:t>
            </w:r>
          </w:p>
        </w:tc>
      </w:tr>
      <w:tr>
        <w:trPr>
          <w:trHeight w:val="141"/>
        </w:trPr>
        <w:tc>
          <w:tcPr>
            <w:tcW w:w="68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Gross deferred tax assets: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52"/>
        </w:trPr>
        <w:tc>
          <w:tcPr>
            <w:tcW w:w="6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operating loss carryforwards</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164,294</w:t>
            </w:r>
          </w:p>
        </w:tc>
        <w:tc>
          <w:tcPr>
            <w:tcW w:w="200" w:type="dxa"/>
            <w:vAlign w:val="bottom"/>
          </w:tcPr>
          <w:p>
            <w:pPr>
              <w:spacing w:after="0"/>
              <w:rPr>
                <w:sz w:val="13"/>
                <w:szCs w:val="13"/>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63,280</w:t>
            </w:r>
          </w:p>
        </w:tc>
      </w:tr>
      <w:tr>
        <w:trPr>
          <w:trHeight w:val="152"/>
        </w:trPr>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Basis difference - real estate property</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748,411</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9,955</w:t>
            </w:r>
          </w:p>
        </w:tc>
      </w:tr>
      <w:tr>
        <w:trPr>
          <w:trHeight w:val="152"/>
        </w:trPr>
        <w:tc>
          <w:tcPr>
            <w:tcW w:w="6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Basis difference - intangibles</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w:t>
            </w:r>
          </w:p>
        </w:tc>
      </w:tr>
      <w:tr>
        <w:trPr>
          <w:trHeight w:val="152"/>
        </w:trPr>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Straight-line rent</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1,404</w:t>
            </w:r>
          </w:p>
        </w:tc>
      </w:tr>
      <w:tr>
        <w:trPr>
          <w:trHeight w:val="152"/>
        </w:trPr>
        <w:tc>
          <w:tcPr>
            <w:tcW w:w="6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 - temporary differences</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60,840</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17,624</w:t>
            </w:r>
          </w:p>
        </w:tc>
      </w:tr>
      <w:tr>
        <w:trPr>
          <w:trHeight w:val="141"/>
        </w:trPr>
        <w:tc>
          <w:tcPr>
            <w:tcW w:w="6840" w:type="dxa"/>
            <w:vAlign w:val="bottom"/>
            <w:shd w:val="clear" w:color="auto" w:fill="CCEEFF"/>
          </w:tcPr>
          <w:p>
            <w:pPr>
              <w:ind w:left="240"/>
              <w:spacing w:after="0" w:line="141" w:lineRule="exact"/>
              <w:rPr>
                <w:sz w:val="20"/>
                <w:szCs w:val="20"/>
                <w:color w:val="auto"/>
              </w:rPr>
            </w:pPr>
            <w:r>
              <w:rPr>
                <w:rFonts w:ascii="Times New Roman" w:cs="Times New Roman" w:eastAsia="Times New Roman" w:hAnsi="Times New Roman"/>
                <w:sz w:val="13"/>
                <w:szCs w:val="13"/>
                <w:color w:val="auto"/>
              </w:rPr>
              <w:t>Total gross deferred tax assets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977,034</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93,334</w:t>
            </w:r>
          </w:p>
        </w:tc>
      </w:tr>
      <w:tr>
        <w:trPr>
          <w:trHeight w:val="152"/>
        </w:trPr>
        <w:tc>
          <w:tcPr>
            <w:tcW w:w="6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Valuation allowance</w:t>
            </w:r>
          </w:p>
        </w:tc>
        <w:tc>
          <w:tcPr>
            <w:tcW w:w="2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(108,060)</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(40,795)</w:t>
            </w:r>
          </w:p>
        </w:tc>
      </w:tr>
      <w:tr>
        <w:trPr>
          <w:trHeight w:val="141"/>
        </w:trPr>
        <w:tc>
          <w:tcPr>
            <w:tcW w:w="6840" w:type="dxa"/>
            <w:vAlign w:val="bottom"/>
            <w:tcBorders>
              <w:top w:val="single" w:sz="8" w:color="CCEEFF"/>
            </w:tcBorders>
            <w:shd w:val="clear" w:color="auto" w:fill="CCEEFF"/>
          </w:tcPr>
          <w:p>
            <w:pPr>
              <w:ind w:left="240"/>
              <w:spacing w:after="0" w:line="141" w:lineRule="exact"/>
              <w:rPr>
                <w:sz w:val="20"/>
                <w:szCs w:val="20"/>
                <w:color w:val="auto"/>
              </w:rPr>
            </w:pPr>
            <w:r>
              <w:rPr>
                <w:rFonts w:ascii="Times New Roman" w:cs="Times New Roman" w:eastAsia="Times New Roman" w:hAnsi="Times New Roman"/>
                <w:sz w:val="13"/>
                <w:szCs w:val="13"/>
                <w:color w:val="auto"/>
              </w:rPr>
              <w:t>Total deferred tax assets, net of valuation allowance</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868,974</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52,539</w:t>
            </w:r>
          </w:p>
        </w:tc>
      </w:tr>
      <w:tr>
        <w:trPr>
          <w:trHeight w:val="141"/>
        </w:trPr>
        <w:tc>
          <w:tcPr>
            <w:tcW w:w="68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Gross deferred tax liabilities: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2"/>
        </w:trPr>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Basis difference - real estate property</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1,338,612</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162,095</w:t>
            </w:r>
          </w:p>
        </w:tc>
      </w:tr>
      <w:tr>
        <w:trPr>
          <w:trHeight w:val="152"/>
        </w:trPr>
        <w:tc>
          <w:tcPr>
            <w:tcW w:w="6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Basis difference - equity investments</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r>
      <w:tr>
        <w:trPr>
          <w:trHeight w:val="152"/>
        </w:trPr>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Basis difference - intangibles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246,950</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w:t>
            </w:r>
          </w:p>
        </w:tc>
      </w:tr>
      <w:tr>
        <w:trPr>
          <w:trHeight w:val="152"/>
        </w:trPr>
        <w:tc>
          <w:tcPr>
            <w:tcW w:w="6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Straight-line rent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6,884</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8,044</w:t>
            </w:r>
          </w:p>
        </w:tc>
      </w:tr>
      <w:tr>
        <w:trPr>
          <w:trHeight w:val="152"/>
        </w:trPr>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 temporary differences</w:t>
            </w: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9,805</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20,218</w:t>
            </w:r>
          </w:p>
        </w:tc>
      </w:tr>
      <w:tr>
        <w:trPr>
          <w:trHeight w:val="141"/>
        </w:trPr>
        <w:tc>
          <w:tcPr>
            <w:tcW w:w="6840" w:type="dxa"/>
            <w:vAlign w:val="bottom"/>
            <w:tcBorders>
              <w:bottom w:val="single" w:sz="8" w:color="CCEEFF"/>
            </w:tcBorders>
          </w:tcPr>
          <w:p>
            <w:pPr>
              <w:ind w:left="240"/>
              <w:spacing w:after="0" w:line="141" w:lineRule="exact"/>
              <w:rPr>
                <w:sz w:val="20"/>
                <w:szCs w:val="20"/>
                <w:color w:val="auto"/>
              </w:rPr>
            </w:pPr>
            <w:r>
              <w:rPr>
                <w:rFonts w:ascii="Times New Roman" w:cs="Times New Roman" w:eastAsia="Times New Roman" w:hAnsi="Times New Roman"/>
                <w:sz w:val="13"/>
                <w:szCs w:val="13"/>
                <w:color w:val="auto"/>
              </w:rPr>
              <w:t>Total gross deferred tax liabilities</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1,606,251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195,904</w:t>
            </w:r>
          </w:p>
        </w:tc>
      </w:tr>
      <w:tr>
        <w:trPr>
          <w:trHeight w:val="150"/>
        </w:trPr>
        <w:tc>
          <w:tcPr>
            <w:tcW w:w="684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deferred tax liabilities</w:t>
            </w: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737,277</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143,365</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67" w:name="page168"/>
    <w:bookmarkEnd w:id="16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20" w:hanging="195"/>
        <w:spacing w:after="0"/>
        <w:tabs>
          <w:tab w:leader="none" w:pos="220"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Equity and Accumulated Other Comprehensive Income (Loss), Net</w:t>
      </w:r>
    </w:p>
    <w:p>
      <w:pPr>
        <w:spacing w:after="0" w:line="154" w:lineRule="exact"/>
        <w:rPr>
          <w:rFonts w:ascii="Times New Roman" w:cs="Times New Roman" w:eastAsia="Times New Roman" w:hAnsi="Times New Roman"/>
          <w:sz w:val="13"/>
          <w:szCs w:val="13"/>
          <w:b w:val="1"/>
          <w:bCs w:val="1"/>
          <w:color w:val="auto"/>
        </w:rPr>
      </w:pPr>
    </w:p>
    <w:p>
      <w:pPr>
        <w:ind w:left="440" w:hanging="187"/>
        <w:spacing w:after="0"/>
        <w:tabs>
          <w:tab w:leader="none" w:pos="440" w:val="left"/>
        </w:tabs>
        <w:numPr>
          <w:ilvl w:val="1"/>
          <w:numId w:val="76"/>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Equity Distribution Agreements</w:t>
      </w:r>
    </w:p>
    <w:p>
      <w:pPr>
        <w:spacing w:after="0" w:line="156" w:lineRule="exact"/>
        <w:rPr>
          <w:sz w:val="20"/>
          <w:szCs w:val="20"/>
          <w:color w:val="auto"/>
        </w:rPr>
      </w:pPr>
    </w:p>
    <w:p>
      <w:pPr>
        <w:ind w:left="20" w:right="39" w:firstLine="228"/>
        <w:spacing w:after="0" w:line="245" w:lineRule="auto"/>
        <w:rPr>
          <w:sz w:val="20"/>
          <w:szCs w:val="20"/>
          <w:color w:val="auto"/>
        </w:rPr>
      </w:pPr>
      <w:r>
        <w:rPr>
          <w:rFonts w:ascii="Times New Roman" w:cs="Times New Roman" w:eastAsia="Times New Roman" w:hAnsi="Times New Roman"/>
          <w:sz w:val="13"/>
          <w:szCs w:val="13"/>
          <w:color w:val="auto"/>
        </w:rPr>
        <w:t>On May 11, 2020, Digital Realty Trust, Inc. and Digital Realty Trust, L.P. entered into an amendment, which we refer to as the 2020 Amendment, to our ATM equity offering sales agreement dated January 4, 2019, which, as amended, we refer to as the Sales Agreement, with BofA Securities, Inc., Barclays Capital Inc., BTIG, LLC, Credit Suisse Securities (USA) LLC, Deutsche Bank Securities Inc., Jefferies LLC, J.P. Morgan Securities LLC, Mizuho Securities USA LLC, Morgan Stanley &amp; Co. LLC, MUFG Securities Americas Inc., Raymond James &amp; Associates, Inc., RBC Capital Markets, LLC, Scotia Capital (USA) Inc., SMBC Nikko Securities America, Inc., SunTrust Robinson Humphrey, Inc., TD Securities (USA) LLC, and Wells Fargo Securities, LLC, or the Agents, to increase the number of shares of common stock Digital Realty Trust, Inc. could issue and sell from time to time through, at its discretion, any of the Agents as its sales agents or as principals. Sales may also be made on a forward basis pursuant to separate forward sale agreements. In accordance with the Sales Agreement, following the date of the 2020 Amendment, Digital Realty Trust, Inc. may offer and sell shares of its common stock having an aggregate offering price of up to $1.0 billion. Prior to the 2020 Amendment, Digital Realty Trust, Inc. had offered and sold shares of its common stock having an aggregate gross sales price of approximately $652.2 million. The sales of common stock made under the Sales Agreement will be made in “at the market” offerings as defined in Rule 415 of the Securities Act. For the year ended December 31, 2020, Digital Realty Trust, Inc. generated net proceeds of approximately $893.8 million from the issuance of approximately 6.1 million common shares under the Sales Agreement at an average price of $146.90 per share after payment of approximately $9.0 million of commissions to the Agents, and approximately $749.4 million remains available for future sales under the program. For the year ended December 31, 2019, there were no sales made under the program.</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(b) Forward Equity Sale</w:t>
      </w:r>
    </w:p>
    <w:p>
      <w:pPr>
        <w:spacing w:after="0" w:line="156" w:lineRule="exact"/>
        <w:rPr>
          <w:sz w:val="20"/>
          <w:szCs w:val="20"/>
          <w:color w:val="auto"/>
        </w:rPr>
      </w:pPr>
    </w:p>
    <w:p>
      <w:pPr>
        <w:ind w:left="20" w:right="59" w:firstLine="228"/>
        <w:spacing w:after="0" w:line="247" w:lineRule="auto"/>
        <w:rPr>
          <w:sz w:val="20"/>
          <w:szCs w:val="20"/>
          <w:color w:val="auto"/>
        </w:rPr>
      </w:pPr>
      <w:r>
        <w:rPr>
          <w:rFonts w:ascii="Times New Roman" w:cs="Times New Roman" w:eastAsia="Times New Roman" w:hAnsi="Times New Roman"/>
          <w:sz w:val="13"/>
          <w:szCs w:val="13"/>
          <w:color w:val="auto"/>
        </w:rPr>
        <w:t>On September 27, 2018, Digital Realty Trust, Inc. completed an underwritten public offering of 9,775,000 shares of its common stock (including 1,275,000 shares from the exercise in full of the underwriters’ option to purchase additional shares), all of which were offered in connection with forward sale agreements it entered into with certain financial institutions acting as forward purchasers. The forward purchasers borrowed and sold an aggregate of 9,775,000 shares of Digital Realty Trust, Inc.’s common stock in the public offering. Digital Realty Trust, Inc. did not receive any proceeds from the sale of its common stock by the forward purchasers in the public offering. On September 17, 2019, the Company amended the forward sale agreements to extend the maturity date of such forward sales agreements from September 27, 2019 to September 25, 2020. On September 24, 2020, we physically settled the forward sale agreements in full by issuing an aggregate of 9,775,000 shares of our common stock to the forward purchasers in exchange for net proceeds of approximately $1.0 billion.</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68" w:name="page169"/>
    <w:bookmarkEnd w:id="16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(c) Redeemable Preferred Stock</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9"/>
                <w:szCs w:val="9"/>
                <w:b w:val="1"/>
                <w:bCs w:val="1"/>
                <w:color w:val="auto"/>
                <w:w w:val="97"/>
              </w:rPr>
              <w:t>Total</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95"/>
        </w:trPr>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ind w:right="37"/>
              <w:spacing w:after="0" w:line="95" w:lineRule="exact"/>
              <w:rPr>
                <w:sz w:val="20"/>
                <w:szCs w:val="20"/>
                <w:color w:val="auto"/>
              </w:rPr>
            </w:pPr>
            <w:r>
              <w:rPr>
                <w:rFonts w:ascii="Times New Roman" w:cs="Times New Roman" w:eastAsia="Times New Roman" w:hAnsi="Times New Roman"/>
                <w:sz w:val="9"/>
                <w:szCs w:val="9"/>
                <w:b w:val="1"/>
                <w:bCs w:val="1"/>
                <w:color w:val="auto"/>
                <w:w w:val="96"/>
              </w:rPr>
              <w:t>Liquidation</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9"/>
                <w:szCs w:val="9"/>
                <w:b w:val="1"/>
                <w:bCs w:val="1"/>
                <w:color w:val="auto"/>
                <w:w w:val="98"/>
              </w:rPr>
              <w:t>Annual</w:t>
            </w:r>
          </w:p>
        </w:tc>
        <w:tc>
          <w:tcPr>
            <w:tcW w:w="1560" w:type="dxa"/>
            <w:vAlign w:val="bottom"/>
            <w:gridSpan w:val="4"/>
          </w:tcPr>
          <w:p>
            <w:pPr>
              <w:jc w:val="center"/>
              <w:ind w:right="120"/>
              <w:spacing w:after="0" w:line="95" w:lineRule="exact"/>
              <w:rPr>
                <w:sz w:val="20"/>
                <w:szCs w:val="20"/>
                <w:color w:val="auto"/>
              </w:rPr>
            </w:pPr>
            <w:r>
              <w:rPr>
                <w:rFonts w:ascii="Times New Roman" w:cs="Times New Roman" w:eastAsia="Times New Roman" w:hAnsi="Times New Roman"/>
                <w:sz w:val="9"/>
                <w:szCs w:val="9"/>
                <w:b w:val="1"/>
                <w:bCs w:val="1"/>
                <w:color w:val="auto"/>
                <w:w w:val="99"/>
              </w:rPr>
              <w:t>Shares Outstanding as of</w:t>
            </w:r>
          </w:p>
        </w:tc>
        <w:tc>
          <w:tcPr>
            <w:tcW w:w="180" w:type="dxa"/>
            <w:vAlign w:val="bottom"/>
          </w:tcPr>
          <w:p>
            <w:pPr>
              <w:spacing w:after="0"/>
              <w:rPr>
                <w:sz w:val="8"/>
                <w:szCs w:val="8"/>
                <w:color w:val="auto"/>
              </w:rPr>
            </w:pPr>
          </w:p>
        </w:tc>
        <w:tc>
          <w:tcPr>
            <w:tcW w:w="1760" w:type="dxa"/>
            <w:vAlign w:val="bottom"/>
            <w:gridSpan w:val="4"/>
          </w:tcPr>
          <w:p>
            <w:pPr>
              <w:jc w:val="right"/>
              <w:ind w:right="376"/>
              <w:spacing w:after="0" w:line="95" w:lineRule="exact"/>
              <w:rPr>
                <w:sz w:val="20"/>
                <w:szCs w:val="20"/>
                <w:color w:val="auto"/>
              </w:rPr>
            </w:pPr>
            <w:r>
              <w:rPr>
                <w:rFonts w:ascii="Times New Roman" w:cs="Times New Roman" w:eastAsia="Times New Roman" w:hAnsi="Times New Roman"/>
                <w:sz w:val="9"/>
                <w:szCs w:val="9"/>
                <w:b w:val="1"/>
                <w:bCs w:val="1"/>
                <w:color w:val="auto"/>
              </w:rPr>
              <w:t>Balance (in thousands, net of</w:t>
            </w:r>
          </w:p>
        </w:tc>
      </w:tr>
      <w:tr>
        <w:trPr>
          <w:trHeight w:val="98"/>
        </w:trPr>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center"/>
              <w:ind w:right="120"/>
              <w:spacing w:after="0" w:line="98" w:lineRule="exact"/>
              <w:rPr>
                <w:sz w:val="20"/>
                <w:szCs w:val="20"/>
                <w:color w:val="auto"/>
              </w:rPr>
            </w:pPr>
            <w:r>
              <w:rPr>
                <w:rFonts w:ascii="Times New Roman" w:cs="Times New Roman" w:eastAsia="Times New Roman" w:hAnsi="Times New Roman"/>
                <w:sz w:val="9"/>
                <w:szCs w:val="9"/>
                <w:b w:val="1"/>
                <w:bCs w:val="1"/>
                <w:color w:val="auto"/>
              </w:rPr>
              <w:t>Date(s)</w:t>
            </w:r>
          </w:p>
        </w:tc>
        <w:tc>
          <w:tcPr>
            <w:tcW w:w="40" w:type="dxa"/>
            <w:vAlign w:val="bottom"/>
          </w:tcPr>
          <w:p>
            <w:pPr>
              <w:spacing w:after="0"/>
              <w:rPr>
                <w:sz w:val="8"/>
                <w:szCs w:val="8"/>
                <w:color w:val="auto"/>
              </w:rPr>
            </w:pPr>
          </w:p>
        </w:tc>
        <w:tc>
          <w:tcPr>
            <w:tcW w:w="840" w:type="dxa"/>
            <w:vAlign w:val="bottom"/>
            <w:gridSpan w:val="2"/>
          </w:tcPr>
          <w:p>
            <w:pPr>
              <w:jc w:val="center"/>
              <w:ind w:right="160"/>
              <w:spacing w:after="0" w:line="98" w:lineRule="exact"/>
              <w:rPr>
                <w:sz w:val="20"/>
                <w:szCs w:val="20"/>
                <w:color w:val="auto"/>
              </w:rPr>
            </w:pPr>
            <w:r>
              <w:rPr>
                <w:rFonts w:ascii="Times New Roman" w:cs="Times New Roman" w:eastAsia="Times New Roman" w:hAnsi="Times New Roman"/>
                <w:sz w:val="9"/>
                <w:szCs w:val="9"/>
                <w:b w:val="1"/>
                <w:bCs w:val="1"/>
                <w:color w:val="auto"/>
                <w:w w:val="97"/>
              </w:rPr>
              <w:t>Initial Date to</w:t>
            </w: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ind w:right="37"/>
              <w:spacing w:after="0" w:line="98" w:lineRule="exact"/>
              <w:rPr>
                <w:sz w:val="20"/>
                <w:szCs w:val="20"/>
                <w:color w:val="auto"/>
              </w:rPr>
            </w:pPr>
            <w:r>
              <w:rPr>
                <w:rFonts w:ascii="Times New Roman" w:cs="Times New Roman" w:eastAsia="Times New Roman" w:hAnsi="Times New Roman"/>
                <w:sz w:val="9"/>
                <w:szCs w:val="9"/>
                <w:b w:val="1"/>
                <w:bCs w:val="1"/>
                <w:color w:val="auto"/>
                <w:w w:val="90"/>
              </w:rPr>
              <w:t>Value (in</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180"/>
              <w:spacing w:after="0" w:line="98" w:lineRule="exact"/>
              <w:rPr>
                <w:sz w:val="20"/>
                <w:szCs w:val="20"/>
                <w:color w:val="auto"/>
              </w:rPr>
            </w:pPr>
            <w:r>
              <w:rPr>
                <w:rFonts w:ascii="Times New Roman" w:cs="Times New Roman" w:eastAsia="Times New Roman" w:hAnsi="Times New Roman"/>
                <w:sz w:val="9"/>
                <w:szCs w:val="9"/>
                <w:b w:val="1"/>
                <w:bCs w:val="1"/>
                <w:color w:val="auto"/>
                <w:w w:val="96"/>
              </w:rPr>
              <w:t>Dividend</w:t>
            </w:r>
          </w:p>
        </w:tc>
        <w:tc>
          <w:tcPr>
            <w:tcW w:w="1560" w:type="dxa"/>
            <w:vAlign w:val="bottom"/>
            <w:gridSpan w:val="4"/>
          </w:tcPr>
          <w:p>
            <w:pPr>
              <w:jc w:val="center"/>
              <w:ind w:right="140"/>
              <w:spacing w:after="0" w:line="98" w:lineRule="exact"/>
              <w:rPr>
                <w:sz w:val="20"/>
                <w:szCs w:val="20"/>
                <w:color w:val="auto"/>
              </w:rPr>
            </w:pPr>
            <w:r>
              <w:rPr>
                <w:rFonts w:ascii="Times New Roman" w:cs="Times New Roman" w:eastAsia="Times New Roman" w:hAnsi="Times New Roman"/>
                <w:sz w:val="9"/>
                <w:szCs w:val="9"/>
                <w:b w:val="1"/>
                <w:bCs w:val="1"/>
                <w:color w:val="auto"/>
                <w:w w:val="95"/>
              </w:rPr>
              <w:t>December 31,</w:t>
            </w:r>
          </w:p>
        </w:tc>
        <w:tc>
          <w:tcPr>
            <w:tcW w:w="180" w:type="dxa"/>
            <w:vAlign w:val="bottom"/>
          </w:tcPr>
          <w:p>
            <w:pPr>
              <w:spacing w:after="0"/>
              <w:rPr>
                <w:sz w:val="8"/>
                <w:szCs w:val="8"/>
                <w:color w:val="auto"/>
              </w:rPr>
            </w:pPr>
          </w:p>
        </w:tc>
        <w:tc>
          <w:tcPr>
            <w:tcW w:w="1760" w:type="dxa"/>
            <w:vAlign w:val="bottom"/>
            <w:gridSpan w:val="4"/>
          </w:tcPr>
          <w:p>
            <w:pPr>
              <w:jc w:val="right"/>
              <w:ind w:right="296"/>
              <w:spacing w:after="0" w:line="98" w:lineRule="exact"/>
              <w:rPr>
                <w:sz w:val="20"/>
                <w:szCs w:val="20"/>
                <w:color w:val="auto"/>
              </w:rPr>
            </w:pPr>
            <w:r>
              <w:rPr>
                <w:rFonts w:ascii="Times New Roman" w:cs="Times New Roman" w:eastAsia="Times New Roman" w:hAnsi="Times New Roman"/>
                <w:sz w:val="9"/>
                <w:szCs w:val="9"/>
                <w:b w:val="1"/>
                <w:bCs w:val="1"/>
                <w:color w:val="auto"/>
              </w:rPr>
              <w:t>issuance costs) as of December 31,</w:t>
            </w:r>
          </w:p>
        </w:tc>
      </w:tr>
      <w:tr>
        <w:trPr>
          <w:trHeight w:val="95"/>
        </w:trPr>
        <w:tc>
          <w:tcPr>
            <w:tcW w:w="1360" w:type="dxa"/>
            <w:vAlign w:val="bottom"/>
            <w:gridSpan w:val="3"/>
          </w:tcPr>
          <w:p>
            <w:pPr>
              <w:spacing w:after="0" w:line="95" w:lineRule="exact"/>
              <w:rPr>
                <w:sz w:val="20"/>
                <w:szCs w:val="20"/>
                <w:color w:val="auto"/>
              </w:rPr>
            </w:pPr>
            <w:r>
              <w:rPr>
                <w:rFonts w:ascii="Times New Roman" w:cs="Times New Roman" w:eastAsia="Times New Roman" w:hAnsi="Times New Roman"/>
                <w:sz w:val="7"/>
                <w:szCs w:val="7"/>
                <w:b w:val="1"/>
                <w:bCs w:val="1"/>
                <w:color w:val="auto"/>
              </w:rPr>
              <w:t xml:space="preserve">Preferred Stock </w:t>
            </w:r>
            <w:r>
              <w:rPr>
                <w:rFonts w:ascii="Times New Roman" w:cs="Times New Roman" w:eastAsia="Times New Roman" w:hAnsi="Times New Roman"/>
                <w:sz w:val="10"/>
                <w:szCs w:val="10"/>
                <w:b w:val="1"/>
                <w:bCs w:val="1"/>
                <w:color w:val="auto"/>
                <w:vertAlign w:val="superscript"/>
              </w:rPr>
              <w:t>(1)</w:t>
            </w:r>
          </w:p>
        </w:tc>
        <w:tc>
          <w:tcPr>
            <w:tcW w:w="840" w:type="dxa"/>
            <w:vAlign w:val="bottom"/>
            <w:gridSpan w:val="2"/>
          </w:tcPr>
          <w:p>
            <w:pPr>
              <w:jc w:val="center"/>
              <w:ind w:right="120"/>
              <w:spacing w:after="0" w:line="95" w:lineRule="exact"/>
              <w:rPr>
                <w:sz w:val="20"/>
                <w:szCs w:val="20"/>
                <w:color w:val="auto"/>
              </w:rPr>
            </w:pPr>
            <w:r>
              <w:rPr>
                <w:rFonts w:ascii="Times New Roman" w:cs="Times New Roman" w:eastAsia="Times New Roman" w:hAnsi="Times New Roman"/>
                <w:sz w:val="9"/>
                <w:szCs w:val="9"/>
                <w:b w:val="1"/>
                <w:bCs w:val="1"/>
                <w:color w:val="auto"/>
                <w:w w:val="97"/>
              </w:rPr>
              <w:t>Issued</w:t>
            </w:r>
          </w:p>
        </w:tc>
        <w:tc>
          <w:tcPr>
            <w:tcW w:w="40" w:type="dxa"/>
            <w:vAlign w:val="bottom"/>
          </w:tcPr>
          <w:p>
            <w:pPr>
              <w:spacing w:after="0"/>
              <w:rPr>
                <w:sz w:val="8"/>
                <w:szCs w:val="8"/>
                <w:color w:val="auto"/>
              </w:rPr>
            </w:pPr>
          </w:p>
        </w:tc>
        <w:tc>
          <w:tcPr>
            <w:tcW w:w="84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7"/>
                <w:szCs w:val="7"/>
                <w:b w:val="1"/>
                <w:bCs w:val="1"/>
                <w:color w:val="auto"/>
              </w:rPr>
              <w:t xml:space="preserve">Redeem </w:t>
            </w:r>
            <w:r>
              <w:rPr>
                <w:rFonts w:ascii="Times New Roman" w:cs="Times New Roman" w:eastAsia="Times New Roman" w:hAnsi="Times New Roman"/>
                <w:sz w:val="10"/>
                <w:szCs w:val="10"/>
                <w:b w:val="1"/>
                <w:bCs w:val="1"/>
                <w:color w:val="auto"/>
                <w:vertAlign w:val="superscript"/>
              </w:rPr>
              <w:t>(2)</w:t>
            </w:r>
          </w:p>
        </w:tc>
        <w:tc>
          <w:tcPr>
            <w:tcW w:w="860" w:type="dxa"/>
            <w:vAlign w:val="bottom"/>
            <w:gridSpan w:val="2"/>
          </w:tcPr>
          <w:p>
            <w:pPr>
              <w:ind w:left="120"/>
              <w:spacing w:after="0" w:line="95" w:lineRule="exact"/>
              <w:rPr>
                <w:sz w:val="20"/>
                <w:szCs w:val="20"/>
                <w:color w:val="auto"/>
              </w:rPr>
            </w:pPr>
            <w:r>
              <w:rPr>
                <w:rFonts w:ascii="Times New Roman" w:cs="Times New Roman" w:eastAsia="Times New Roman" w:hAnsi="Times New Roman"/>
                <w:sz w:val="7"/>
                <w:szCs w:val="7"/>
                <w:b w:val="1"/>
                <w:bCs w:val="1"/>
                <w:color w:val="auto"/>
              </w:rPr>
              <w:t xml:space="preserve">Share Cap </w:t>
            </w:r>
            <w:r>
              <w:rPr>
                <w:rFonts w:ascii="Times New Roman" w:cs="Times New Roman" w:eastAsia="Times New Roman" w:hAnsi="Times New Roman"/>
                <w:sz w:val="10"/>
                <w:szCs w:val="10"/>
                <w:b w:val="1"/>
                <w:bCs w:val="1"/>
                <w:color w:val="auto"/>
                <w:vertAlign w:val="superscript"/>
              </w:rPr>
              <w:t>(3)</w:t>
            </w:r>
          </w:p>
        </w:tc>
        <w:tc>
          <w:tcPr>
            <w:tcW w:w="80" w:type="dxa"/>
            <w:vAlign w:val="bottom"/>
          </w:tcPr>
          <w:p>
            <w:pPr>
              <w:spacing w:after="0"/>
              <w:rPr>
                <w:sz w:val="8"/>
                <w:szCs w:val="8"/>
                <w:color w:val="auto"/>
              </w:rPr>
            </w:pPr>
          </w:p>
        </w:tc>
        <w:tc>
          <w:tcPr>
            <w:tcW w:w="640" w:type="dxa"/>
            <w:vAlign w:val="bottom"/>
          </w:tcPr>
          <w:p>
            <w:pPr>
              <w:jc w:val="center"/>
              <w:ind w:right="37"/>
              <w:spacing w:after="0" w:line="95" w:lineRule="exact"/>
              <w:rPr>
                <w:sz w:val="20"/>
                <w:szCs w:val="20"/>
                <w:color w:val="auto"/>
              </w:rPr>
            </w:pPr>
            <w:r>
              <w:rPr>
                <w:rFonts w:ascii="Times New Roman" w:cs="Times New Roman" w:eastAsia="Times New Roman" w:hAnsi="Times New Roman"/>
                <w:sz w:val="7"/>
                <w:szCs w:val="7"/>
                <w:b w:val="1"/>
                <w:bCs w:val="1"/>
                <w:color w:val="auto"/>
              </w:rPr>
              <w:t xml:space="preserve">thousands) </w:t>
            </w:r>
            <w:r>
              <w:rPr>
                <w:rFonts w:ascii="Times New Roman" w:cs="Times New Roman" w:eastAsia="Times New Roman" w:hAnsi="Times New Roman"/>
                <w:sz w:val="10"/>
                <w:szCs w:val="10"/>
                <w:b w:val="1"/>
                <w:bCs w:val="1"/>
                <w:color w:val="auto"/>
                <w:vertAlign w:val="superscript"/>
              </w:rPr>
              <w:t>(4)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ind w:left="80"/>
              <w:spacing w:after="0" w:line="95" w:lineRule="exact"/>
              <w:rPr>
                <w:sz w:val="20"/>
                <w:szCs w:val="20"/>
                <w:color w:val="auto"/>
              </w:rPr>
            </w:pPr>
            <w:r>
              <w:rPr>
                <w:rFonts w:ascii="Times New Roman" w:cs="Times New Roman" w:eastAsia="Times New Roman" w:hAnsi="Times New Roman"/>
                <w:sz w:val="7"/>
                <w:szCs w:val="7"/>
                <w:b w:val="1"/>
                <w:bCs w:val="1"/>
                <w:color w:val="auto"/>
              </w:rPr>
              <w:t xml:space="preserve">Rate </w:t>
            </w:r>
            <w:r>
              <w:rPr>
                <w:rFonts w:ascii="Times New Roman" w:cs="Times New Roman" w:eastAsia="Times New Roman" w:hAnsi="Times New Roman"/>
                <w:sz w:val="10"/>
                <w:szCs w:val="10"/>
                <w:b w:val="1"/>
                <w:bCs w:val="1"/>
                <w:color w:val="auto"/>
                <w:vertAlign w:val="superscript"/>
              </w:rPr>
              <w:t>(5)</w:t>
            </w:r>
          </w:p>
        </w:tc>
        <w:tc>
          <w:tcPr>
            <w:tcW w:w="660" w:type="dxa"/>
            <w:vAlign w:val="bottom"/>
            <w:tcBorders>
              <w:top w:val="single" w:sz="8" w:color="auto"/>
            </w:tcBorders>
          </w:tcPr>
          <w:p>
            <w:pPr>
              <w:jc w:val="right"/>
              <w:ind w:right="196"/>
              <w:spacing w:after="0" w:line="95" w:lineRule="exact"/>
              <w:rPr>
                <w:sz w:val="20"/>
                <w:szCs w:val="20"/>
                <w:color w:val="auto"/>
              </w:rPr>
            </w:pPr>
            <w:r>
              <w:rPr>
                <w:rFonts w:ascii="Times New Roman" w:cs="Times New Roman" w:eastAsia="Times New Roman" w:hAnsi="Times New Roman"/>
                <w:sz w:val="9"/>
                <w:szCs w:val="9"/>
                <w:b w:val="1"/>
                <w:bCs w:val="1"/>
                <w:color w:val="auto"/>
              </w:rPr>
              <w:t>2020</w:t>
            </w: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ind w:right="196"/>
              <w:spacing w:after="0" w:line="95" w:lineRule="exact"/>
              <w:rPr>
                <w:sz w:val="20"/>
                <w:szCs w:val="20"/>
                <w:color w:val="auto"/>
              </w:rPr>
            </w:pPr>
            <w:r>
              <w:rPr>
                <w:rFonts w:ascii="Times New Roman" w:cs="Times New Roman" w:eastAsia="Times New Roman" w:hAnsi="Times New Roman"/>
                <w:sz w:val="9"/>
                <w:szCs w:val="9"/>
                <w:b w:val="1"/>
                <w:bCs w:val="1"/>
                <w:color w:val="auto"/>
              </w:rPr>
              <w:t>2019</w:t>
            </w: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ind w:left="160"/>
              <w:spacing w:after="0" w:line="95" w:lineRule="exact"/>
              <w:rPr>
                <w:sz w:val="20"/>
                <w:szCs w:val="20"/>
                <w:color w:val="auto"/>
              </w:rPr>
            </w:pPr>
            <w:r>
              <w:rPr>
                <w:rFonts w:ascii="Times New Roman" w:cs="Times New Roman" w:eastAsia="Times New Roman" w:hAnsi="Times New Roman"/>
                <w:sz w:val="9"/>
                <w:szCs w:val="9"/>
                <w:b w:val="1"/>
                <w:bCs w:val="1"/>
                <w:color w:val="auto"/>
              </w:rPr>
              <w:t>2020</w:t>
            </w:r>
          </w:p>
        </w:tc>
        <w:tc>
          <w:tcPr>
            <w:tcW w:w="1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316"/>
              <w:spacing w:after="0" w:line="95" w:lineRule="exact"/>
              <w:rPr>
                <w:sz w:val="20"/>
                <w:szCs w:val="20"/>
                <w:color w:val="auto"/>
              </w:rPr>
            </w:pPr>
            <w:r>
              <w:rPr>
                <w:rFonts w:ascii="Times New Roman" w:cs="Times New Roman" w:eastAsia="Times New Roman" w:hAnsi="Times New Roman"/>
                <w:sz w:val="9"/>
                <w:szCs w:val="9"/>
                <w:b w:val="1"/>
                <w:bCs w:val="1"/>
                <w:color w:val="auto"/>
              </w:rPr>
              <w:t>2019</w:t>
            </w:r>
          </w:p>
        </w:tc>
      </w:tr>
      <w:tr>
        <w:trPr>
          <w:trHeight w:val="71"/>
        </w:trPr>
        <w:tc>
          <w:tcPr>
            <w:tcW w:w="280" w:type="dxa"/>
            <w:vAlign w:val="bottom"/>
            <w:tcBorders>
              <w:top w:val="single" w:sz="8" w:color="auto"/>
            </w:tcBorders>
            <w:shd w:val="clear" w:color="auto" w:fill="CCEEFF"/>
          </w:tcPr>
          <w:p>
            <w:pPr>
              <w:spacing w:after="0" w:line="72" w:lineRule="exact"/>
              <w:rPr>
                <w:sz w:val="20"/>
                <w:szCs w:val="20"/>
                <w:color w:val="auto"/>
              </w:rPr>
            </w:pPr>
            <w:r>
              <w:rPr>
                <w:rFonts w:ascii="Times New Roman" w:cs="Times New Roman" w:eastAsia="Times New Roman" w:hAnsi="Times New Roman"/>
                <w:sz w:val="8"/>
                <w:szCs w:val="8"/>
                <w:color w:val="auto"/>
              </w:rPr>
              <w:t>6.625%</w:t>
            </w:r>
          </w:p>
        </w:tc>
        <w:tc>
          <w:tcPr>
            <w:tcW w:w="960" w:type="dxa"/>
            <w:vAlign w:val="bottom"/>
            <w:tcBorders>
              <w:top w:val="single" w:sz="8" w:color="auto"/>
            </w:tcBorders>
            <w:shd w:val="clear" w:color="auto" w:fill="CCEEFF"/>
          </w:tcPr>
          <w:p>
            <w:pPr>
              <w:ind w:left="20"/>
              <w:spacing w:after="0" w:line="72" w:lineRule="exact"/>
              <w:rPr>
                <w:sz w:val="20"/>
                <w:szCs w:val="20"/>
                <w:color w:val="auto"/>
              </w:rPr>
            </w:pPr>
            <w:r>
              <w:rPr>
                <w:rFonts w:ascii="Times New Roman" w:cs="Times New Roman" w:eastAsia="Times New Roman" w:hAnsi="Times New Roman"/>
                <w:sz w:val="8"/>
                <w:szCs w:val="8"/>
                <w:color w:val="auto"/>
              </w:rPr>
              <w:t>Series C Cumulative</w:t>
            </w:r>
          </w:p>
        </w:tc>
        <w:tc>
          <w:tcPr>
            <w:tcW w:w="1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r>
      <w:tr>
        <w:trPr>
          <w:trHeight w:val="95"/>
        </w:trPr>
        <w:tc>
          <w:tcPr>
            <w:tcW w:w="1360" w:type="dxa"/>
            <w:vAlign w:val="bottom"/>
            <w:gridSpan w:val="3"/>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Redeemable Perpetual Preferred</w:t>
            </w: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r>
      <w:tr>
        <w:trPr>
          <w:trHeight w:val="108"/>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Stock</w:t>
            </w: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9"/>
                <w:szCs w:val="9"/>
                <w:color w:val="auto"/>
              </w:rPr>
              <w:t>Sep 14, 2017</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9"/>
                <w:szCs w:val="9"/>
                <w:color w:val="auto"/>
                <w:w w:val="95"/>
              </w:rPr>
              <w:t>May 15, 2021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0.6389035</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201,250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1.65625</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8,050,000</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8,050,000</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219,250</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219,250</w:t>
            </w:r>
          </w:p>
        </w:tc>
      </w:tr>
      <w:tr>
        <w:trPr>
          <w:trHeight w:val="82"/>
        </w:trPr>
        <w:tc>
          <w:tcPr>
            <w:tcW w:w="280" w:type="dxa"/>
            <w:vAlign w:val="bottom"/>
          </w:tcPr>
          <w:p>
            <w:pPr>
              <w:spacing w:after="0" w:line="82" w:lineRule="exact"/>
              <w:rPr>
                <w:sz w:val="20"/>
                <w:szCs w:val="20"/>
                <w:color w:val="auto"/>
              </w:rPr>
            </w:pPr>
            <w:r>
              <w:rPr>
                <w:rFonts w:ascii="Times New Roman" w:cs="Times New Roman" w:eastAsia="Times New Roman" w:hAnsi="Times New Roman"/>
                <w:sz w:val="9"/>
                <w:szCs w:val="9"/>
                <w:color w:val="auto"/>
                <w:w w:val="93"/>
              </w:rPr>
              <w:t>5.875%</w:t>
            </w:r>
          </w:p>
        </w:tc>
        <w:tc>
          <w:tcPr>
            <w:tcW w:w="1080" w:type="dxa"/>
            <w:vAlign w:val="bottom"/>
            <w:gridSpan w:val="2"/>
          </w:tcPr>
          <w:p>
            <w:pPr>
              <w:ind w:left="20"/>
              <w:spacing w:after="0" w:line="82" w:lineRule="exact"/>
              <w:rPr>
                <w:sz w:val="20"/>
                <w:szCs w:val="20"/>
                <w:color w:val="auto"/>
              </w:rPr>
            </w:pPr>
            <w:r>
              <w:rPr>
                <w:rFonts w:ascii="Times New Roman" w:cs="Times New Roman" w:eastAsia="Times New Roman" w:hAnsi="Times New Roman"/>
                <w:sz w:val="9"/>
                <w:szCs w:val="9"/>
                <w:color w:val="auto"/>
              </w:rPr>
              <w:t>Series G Cumulative</w:t>
            </w: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08"/>
        </w:trPr>
        <w:tc>
          <w:tcPr>
            <w:tcW w:w="136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Redeemable Preferred Stock</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color w:val="auto"/>
              </w:rPr>
              <w:t>Apr 9, 2013</w:t>
            </w:r>
          </w:p>
        </w:tc>
        <w:tc>
          <w:tcPr>
            <w:tcW w:w="40" w:type="dxa"/>
            <w:vAlign w:val="bottom"/>
          </w:tcPr>
          <w:p>
            <w:pPr>
              <w:spacing w:after="0"/>
              <w:rPr>
                <w:sz w:val="9"/>
                <w:szCs w:val="9"/>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color w:val="auto"/>
              </w:rPr>
              <w:t>Apr 9, 2018</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0.7532000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1.46875</w:t>
            </w:r>
          </w:p>
        </w:tc>
        <w:tc>
          <w:tcPr>
            <w:tcW w:w="120" w:type="dxa"/>
            <w:vAlign w:val="bottom"/>
          </w:tcPr>
          <w:p>
            <w:pPr>
              <w:spacing w:after="0"/>
              <w:rPr>
                <w:sz w:val="9"/>
                <w:szCs w:val="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10,000,000</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241,468</w:t>
            </w:r>
          </w:p>
        </w:tc>
      </w:tr>
      <w:tr>
        <w:trPr>
          <w:trHeight w:val="82"/>
        </w:trPr>
        <w:tc>
          <w:tcPr>
            <w:tcW w:w="280" w:type="dxa"/>
            <w:vAlign w:val="bottom"/>
            <w:shd w:val="clear" w:color="auto" w:fill="CCEEFF"/>
          </w:tcPr>
          <w:p>
            <w:pPr>
              <w:spacing w:after="0" w:line="82" w:lineRule="exact"/>
              <w:rPr>
                <w:sz w:val="20"/>
                <w:szCs w:val="20"/>
                <w:color w:val="auto"/>
              </w:rPr>
            </w:pPr>
            <w:r>
              <w:rPr>
                <w:rFonts w:ascii="Times New Roman" w:cs="Times New Roman" w:eastAsia="Times New Roman" w:hAnsi="Times New Roman"/>
                <w:sz w:val="9"/>
                <w:szCs w:val="9"/>
                <w:color w:val="auto"/>
                <w:w w:val="93"/>
              </w:rPr>
              <w:t>6.350%</w:t>
            </w:r>
          </w:p>
        </w:tc>
        <w:tc>
          <w:tcPr>
            <w:tcW w:w="1080" w:type="dxa"/>
            <w:vAlign w:val="bottom"/>
            <w:gridSpan w:val="2"/>
            <w:shd w:val="clear" w:color="auto" w:fill="CCEEFF"/>
          </w:tcPr>
          <w:p>
            <w:pPr>
              <w:ind w:left="20"/>
              <w:spacing w:after="0" w:line="82" w:lineRule="exact"/>
              <w:rPr>
                <w:sz w:val="20"/>
                <w:szCs w:val="20"/>
                <w:color w:val="auto"/>
              </w:rPr>
            </w:pPr>
            <w:r>
              <w:rPr>
                <w:rFonts w:ascii="Times New Roman" w:cs="Times New Roman" w:eastAsia="Times New Roman" w:hAnsi="Times New Roman"/>
                <w:sz w:val="9"/>
                <w:szCs w:val="9"/>
                <w:color w:val="auto"/>
              </w:rPr>
              <w:t>Series I Cumulative</w:t>
            </w: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r>
      <w:tr>
        <w:trPr>
          <w:trHeight w:val="108"/>
        </w:trPr>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9"/>
                <w:szCs w:val="9"/>
                <w:color w:val="auto"/>
              </w:rPr>
              <w:t>Redeemable Preferred Stock</w:t>
            </w: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9"/>
                <w:szCs w:val="9"/>
                <w:color w:val="auto"/>
                <w:w w:val="97"/>
              </w:rPr>
              <w:t>Aug 24, 2015</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9"/>
                <w:szCs w:val="9"/>
                <w:color w:val="auto"/>
                <w:w w:val="97"/>
              </w:rPr>
              <w:t>Aug 24, 2020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0.7623100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1.58750</w:t>
            </w:r>
          </w:p>
        </w:tc>
        <w:tc>
          <w:tcPr>
            <w:tcW w:w="12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10,000,000</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242,012</w:t>
            </w:r>
          </w:p>
        </w:tc>
      </w:tr>
      <w:tr>
        <w:trPr>
          <w:trHeight w:val="82"/>
        </w:trPr>
        <w:tc>
          <w:tcPr>
            <w:tcW w:w="280" w:type="dxa"/>
            <w:vAlign w:val="bottom"/>
          </w:tcPr>
          <w:p>
            <w:pPr>
              <w:spacing w:after="0" w:line="82" w:lineRule="exact"/>
              <w:rPr>
                <w:sz w:val="20"/>
                <w:szCs w:val="20"/>
                <w:color w:val="auto"/>
              </w:rPr>
            </w:pPr>
            <w:r>
              <w:rPr>
                <w:rFonts w:ascii="Times New Roman" w:cs="Times New Roman" w:eastAsia="Times New Roman" w:hAnsi="Times New Roman"/>
                <w:sz w:val="9"/>
                <w:szCs w:val="9"/>
                <w:color w:val="auto"/>
                <w:w w:val="93"/>
              </w:rPr>
              <w:t>5.250%</w:t>
            </w:r>
          </w:p>
        </w:tc>
        <w:tc>
          <w:tcPr>
            <w:tcW w:w="1080" w:type="dxa"/>
            <w:vAlign w:val="bottom"/>
            <w:gridSpan w:val="2"/>
          </w:tcPr>
          <w:p>
            <w:pPr>
              <w:ind w:left="20"/>
              <w:spacing w:after="0" w:line="82" w:lineRule="exact"/>
              <w:rPr>
                <w:sz w:val="20"/>
                <w:szCs w:val="20"/>
                <w:color w:val="auto"/>
              </w:rPr>
            </w:pPr>
            <w:r>
              <w:rPr>
                <w:rFonts w:ascii="Times New Roman" w:cs="Times New Roman" w:eastAsia="Times New Roman" w:hAnsi="Times New Roman"/>
                <w:sz w:val="9"/>
                <w:szCs w:val="9"/>
                <w:color w:val="auto"/>
              </w:rPr>
              <w:t>Series J Cumulative</w:t>
            </w: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08"/>
        </w:trPr>
        <w:tc>
          <w:tcPr>
            <w:tcW w:w="136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Redeemable Preferred Stock</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color w:val="auto"/>
                <w:w w:val="98"/>
              </w:rPr>
              <w:t>Aug 7, 2017</w:t>
            </w:r>
          </w:p>
        </w:tc>
        <w:tc>
          <w:tcPr>
            <w:tcW w:w="40" w:type="dxa"/>
            <w:vAlign w:val="bottom"/>
          </w:tcPr>
          <w:p>
            <w:pPr>
              <w:spacing w:after="0"/>
              <w:rPr>
                <w:sz w:val="9"/>
                <w:szCs w:val="9"/>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color w:val="auto"/>
                <w:w w:val="98"/>
              </w:rPr>
              <w:t>Aug 7, 2022</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0.4252100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1.31250</w:t>
            </w:r>
          </w:p>
        </w:tc>
        <w:tc>
          <w:tcPr>
            <w:tcW w:w="12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8,000,000</w:t>
            </w:r>
          </w:p>
        </w:tc>
        <w:tc>
          <w:tcPr>
            <w:tcW w:w="12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8,000,000</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193,540</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193,540</w:t>
            </w:r>
          </w:p>
        </w:tc>
      </w:tr>
      <w:tr>
        <w:trPr>
          <w:trHeight w:val="82"/>
        </w:trPr>
        <w:tc>
          <w:tcPr>
            <w:tcW w:w="280" w:type="dxa"/>
            <w:vAlign w:val="bottom"/>
            <w:shd w:val="clear" w:color="auto" w:fill="CCEEFF"/>
          </w:tcPr>
          <w:p>
            <w:pPr>
              <w:spacing w:after="0" w:line="82" w:lineRule="exact"/>
              <w:rPr>
                <w:sz w:val="20"/>
                <w:szCs w:val="20"/>
                <w:color w:val="auto"/>
              </w:rPr>
            </w:pPr>
            <w:r>
              <w:rPr>
                <w:rFonts w:ascii="Times New Roman" w:cs="Times New Roman" w:eastAsia="Times New Roman" w:hAnsi="Times New Roman"/>
                <w:sz w:val="9"/>
                <w:szCs w:val="9"/>
                <w:color w:val="auto"/>
                <w:w w:val="93"/>
              </w:rPr>
              <w:t>5.850%</w:t>
            </w:r>
          </w:p>
        </w:tc>
        <w:tc>
          <w:tcPr>
            <w:tcW w:w="1080" w:type="dxa"/>
            <w:vAlign w:val="bottom"/>
            <w:gridSpan w:val="2"/>
            <w:shd w:val="clear" w:color="auto" w:fill="CCEEFF"/>
          </w:tcPr>
          <w:p>
            <w:pPr>
              <w:ind w:left="20"/>
              <w:spacing w:after="0" w:line="82" w:lineRule="exact"/>
              <w:rPr>
                <w:sz w:val="20"/>
                <w:szCs w:val="20"/>
                <w:color w:val="auto"/>
              </w:rPr>
            </w:pPr>
            <w:r>
              <w:rPr>
                <w:rFonts w:ascii="Times New Roman" w:cs="Times New Roman" w:eastAsia="Times New Roman" w:hAnsi="Times New Roman"/>
                <w:sz w:val="9"/>
                <w:szCs w:val="9"/>
                <w:color w:val="auto"/>
              </w:rPr>
              <w:t>Series K Cumulative</w:t>
            </w: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r>
      <w:tr>
        <w:trPr>
          <w:trHeight w:val="108"/>
        </w:trPr>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9"/>
                <w:szCs w:val="9"/>
                <w:color w:val="auto"/>
              </w:rPr>
              <w:t>Redeemable Preferred Stock</w:t>
            </w: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9"/>
                <w:szCs w:val="9"/>
                <w:color w:val="auto"/>
                <w:w w:val="98"/>
              </w:rPr>
              <w:t>Mar 13, 2019</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9"/>
                <w:szCs w:val="9"/>
                <w:color w:val="auto"/>
                <w:w w:val="98"/>
              </w:rPr>
              <w:t>Mar 13, 2024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0.4361100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1.46250</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8,400,000</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8,400,000</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203,264</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203,264</w:t>
            </w:r>
          </w:p>
        </w:tc>
      </w:tr>
      <w:tr>
        <w:trPr>
          <w:trHeight w:val="82"/>
        </w:trPr>
        <w:tc>
          <w:tcPr>
            <w:tcW w:w="280" w:type="dxa"/>
            <w:vAlign w:val="bottom"/>
          </w:tcPr>
          <w:p>
            <w:pPr>
              <w:spacing w:after="0" w:line="82" w:lineRule="exact"/>
              <w:rPr>
                <w:sz w:val="20"/>
                <w:szCs w:val="20"/>
                <w:color w:val="auto"/>
              </w:rPr>
            </w:pPr>
            <w:r>
              <w:rPr>
                <w:rFonts w:ascii="Times New Roman" w:cs="Times New Roman" w:eastAsia="Times New Roman" w:hAnsi="Times New Roman"/>
                <w:sz w:val="9"/>
                <w:szCs w:val="9"/>
                <w:color w:val="auto"/>
                <w:w w:val="93"/>
              </w:rPr>
              <w:t>5.200%</w:t>
            </w:r>
          </w:p>
        </w:tc>
        <w:tc>
          <w:tcPr>
            <w:tcW w:w="1080" w:type="dxa"/>
            <w:vAlign w:val="bottom"/>
            <w:gridSpan w:val="2"/>
          </w:tcPr>
          <w:p>
            <w:pPr>
              <w:ind w:left="20"/>
              <w:spacing w:after="0" w:line="82" w:lineRule="exact"/>
              <w:rPr>
                <w:sz w:val="20"/>
                <w:szCs w:val="20"/>
                <w:color w:val="auto"/>
              </w:rPr>
            </w:pPr>
            <w:r>
              <w:rPr>
                <w:rFonts w:ascii="Times New Roman" w:cs="Times New Roman" w:eastAsia="Times New Roman" w:hAnsi="Times New Roman"/>
                <w:sz w:val="9"/>
                <w:szCs w:val="9"/>
                <w:color w:val="auto"/>
              </w:rPr>
              <w:t>Series L Cumulative</w:t>
            </w: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08"/>
        </w:trPr>
        <w:tc>
          <w:tcPr>
            <w:tcW w:w="1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9"/>
                <w:szCs w:val="9"/>
                <w:color w:val="auto"/>
              </w:rPr>
              <w:t>Redeemable Preferred Stock</w:t>
            </w:r>
          </w:p>
        </w:tc>
        <w:tc>
          <w:tcPr>
            <w:tcW w:w="84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9"/>
                <w:szCs w:val="9"/>
                <w:color w:val="auto"/>
                <w:w w:val="98"/>
              </w:rPr>
              <w:t>Oct 10, 2019</w:t>
            </w:r>
          </w:p>
        </w:tc>
        <w:tc>
          <w:tcPr>
            <w:tcW w:w="40" w:type="dxa"/>
            <w:vAlign w:val="bottom"/>
            <w:tcBorders>
              <w:bottom w:val="single" w:sz="8" w:color="CCEEFF"/>
            </w:tcBorders>
          </w:tcPr>
          <w:p>
            <w:pPr>
              <w:spacing w:after="0"/>
              <w:rPr>
                <w:sz w:val="9"/>
                <w:szCs w:val="9"/>
                <w:color w:val="auto"/>
              </w:rPr>
            </w:pPr>
          </w:p>
        </w:tc>
        <w:tc>
          <w:tcPr>
            <w:tcW w:w="84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9"/>
                <w:szCs w:val="9"/>
                <w:color w:val="auto"/>
                <w:w w:val="98"/>
              </w:rPr>
              <w:t>Oct 10, 2024</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9"/>
                <w:szCs w:val="9"/>
                <w:color w:val="auto"/>
              </w:rPr>
              <w:t>0.3851800</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345,000</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9"/>
                <w:szCs w:val="9"/>
                <w:color w:val="auto"/>
              </w:rPr>
              <w:t>1.30000</w:t>
            </w:r>
          </w:p>
        </w:tc>
        <w:tc>
          <w:tcPr>
            <w:tcW w:w="12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13,800,000</w:t>
            </w:r>
          </w:p>
        </w:tc>
        <w:tc>
          <w:tcPr>
            <w:tcW w:w="12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13,800,000</w:t>
            </w:r>
          </w:p>
        </w:tc>
        <w:tc>
          <w:tcPr>
            <w:tcW w:w="1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334,886</w:t>
            </w:r>
          </w:p>
        </w:tc>
        <w:tc>
          <w:tcPr>
            <w:tcW w:w="1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334,886</w:t>
            </w:r>
          </w:p>
        </w:tc>
      </w:tr>
      <w:tr>
        <w:trPr>
          <w:trHeight w:val="93"/>
        </w:trPr>
        <w:tc>
          <w:tcPr>
            <w:tcW w:w="28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Borders>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956,250</w:t>
            </w:r>
          </w:p>
        </w:tc>
        <w:tc>
          <w:tcPr>
            <w:tcW w:w="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ind w:right="76"/>
              <w:spacing w:after="0" w:line="85" w:lineRule="exact"/>
              <w:rPr>
                <w:sz w:val="20"/>
                <w:szCs w:val="20"/>
                <w:color w:val="auto"/>
              </w:rPr>
            </w:pPr>
            <w:r>
              <w:rPr>
                <w:rFonts w:ascii="Times New Roman" w:cs="Times New Roman" w:eastAsia="Times New Roman" w:hAnsi="Times New Roman"/>
                <w:sz w:val="9"/>
                <w:szCs w:val="9"/>
                <w:color w:val="auto"/>
              </w:rPr>
              <w:t>38,250,000</w:t>
            </w:r>
          </w:p>
        </w:tc>
        <w:tc>
          <w:tcPr>
            <w:tcW w:w="1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ind w:right="96"/>
              <w:spacing w:after="0" w:line="85" w:lineRule="exact"/>
              <w:rPr>
                <w:sz w:val="20"/>
                <w:szCs w:val="20"/>
                <w:color w:val="auto"/>
              </w:rPr>
            </w:pPr>
            <w:r>
              <w:rPr>
                <w:rFonts w:ascii="Times New Roman" w:cs="Times New Roman" w:eastAsia="Times New Roman" w:hAnsi="Times New Roman"/>
                <w:sz w:val="9"/>
                <w:szCs w:val="9"/>
                <w:color w:val="auto"/>
              </w:rPr>
              <w:t>58,250,000</w:t>
            </w:r>
          </w:p>
        </w:tc>
        <w:tc>
          <w:tcPr>
            <w:tcW w:w="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tcBorders>
              <w:bottom w:val="single" w:sz="8" w:color="auto"/>
            </w:tcBorders>
            <w:shd w:val="clear" w:color="auto" w:fill="CCEEFF"/>
          </w:tcPr>
          <w:p>
            <w:pPr>
              <w:ind w:left="160"/>
              <w:spacing w:after="0" w:line="85" w:lineRule="exact"/>
              <w:rPr>
                <w:sz w:val="20"/>
                <w:szCs w:val="20"/>
                <w:color w:val="auto"/>
              </w:rPr>
            </w:pPr>
            <w:r>
              <w:rPr>
                <w:rFonts w:ascii="Times New Roman" w:cs="Times New Roman" w:eastAsia="Times New Roman" w:hAnsi="Times New Roman"/>
                <w:sz w:val="9"/>
                <w:szCs w:val="9"/>
                <w:color w:val="auto"/>
              </w:rPr>
              <w:t>950,940</w:t>
            </w:r>
          </w:p>
        </w:tc>
        <w:tc>
          <w:tcPr>
            <w:tcW w:w="1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tcBorders>
              <w:bottom w:val="single" w:sz="8" w:color="auto"/>
            </w:tcBorders>
            <w:shd w:val="clear" w:color="auto" w:fill="CCEEFF"/>
          </w:tcPr>
          <w:p>
            <w:pPr>
              <w:jc w:val="right"/>
              <w:ind w:right="176"/>
              <w:spacing w:after="0" w:line="85" w:lineRule="exact"/>
              <w:rPr>
                <w:sz w:val="20"/>
                <w:szCs w:val="20"/>
                <w:color w:val="auto"/>
              </w:rPr>
            </w:pPr>
            <w:r>
              <w:rPr>
                <w:rFonts w:ascii="Times New Roman" w:cs="Times New Roman" w:eastAsia="Times New Roman" w:hAnsi="Times New Roman"/>
                <w:sz w:val="9"/>
                <w:szCs w:val="9"/>
                <w:color w:val="auto"/>
              </w:rPr>
              <w:t>1,434,420</w:t>
            </w:r>
          </w:p>
        </w:tc>
      </w:tr>
      <w:tr>
        <w:trPr>
          <w:trHeight w:val="76"/>
        </w:trPr>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r>
    </w:tbl>
    <w:p>
      <w:pPr>
        <w:spacing w:after="0" w:line="44" w:lineRule="exact"/>
        <w:rPr>
          <w:sz w:val="20"/>
          <w:szCs w:val="20"/>
          <w:color w:val="auto"/>
        </w:rPr>
      </w:pPr>
    </w:p>
    <w:p>
      <w:pPr>
        <w:ind w:left="260" w:right="59" w:hanging="235"/>
        <w:spacing w:after="0" w:line="249" w:lineRule="auto"/>
        <w:tabs>
          <w:tab w:leader="none" w:pos="26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series of preferred stock do not have a stated maturity date and are not subject to any sinking fund or mandatory redemption provisions. Upon liquidation, dissolution or winding up, each series of preferred stock will rank senior to Digital Realty Trust, Inc. common stock and on parity with the other series of preferred stock. Holders of each series of preferred stock generally have no voting rights except for limited voting rights if Digital Realty Trust, Inc. fails to pay dividends for six or more quarterly periods (whether or not consecutive) and in certain other circumstances.</w:t>
      </w:r>
    </w:p>
    <w:p>
      <w:pPr>
        <w:ind w:left="260" w:right="179" w:hanging="235"/>
        <w:spacing w:after="0" w:line="243" w:lineRule="auto"/>
        <w:tabs>
          <w:tab w:leader="none" w:pos="26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in limited circumstances, reflects earliest date that Digital Realty Trust, Inc. may exercise its option to redeem the preferred stock, at a redemption price of $25.00 per share, plus accrued and unpaid dividends up to but excluding the date of redemption.</w:t>
      </w:r>
    </w:p>
    <w:p>
      <w:pPr>
        <w:spacing w:after="0" w:line="1" w:lineRule="exact"/>
        <w:rPr>
          <w:rFonts w:ascii="Times New Roman" w:cs="Times New Roman" w:eastAsia="Times New Roman" w:hAnsi="Times New Roman"/>
          <w:sz w:val="13"/>
          <w:szCs w:val="13"/>
          <w:color w:val="auto"/>
        </w:rPr>
      </w:pPr>
    </w:p>
    <w:p>
      <w:pPr>
        <w:ind w:left="260" w:right="59" w:hanging="235"/>
        <w:spacing w:after="0" w:line="264" w:lineRule="auto"/>
        <w:tabs>
          <w:tab w:leader="none" w:pos="2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occurrence of specified changes of control, as a result of which neither Digital Realty Trust, Inc.’s common stock nor the common securities of the acquiring or surviving entity (or American Depositary Receipts representing such securities) is listed on the New York Stock Exchange, the NYSE MKT, LLC or the NASDAQ Stock Market or listed or quoted on a successor exchange or quotation system, each holder of preferred stock will have the right (unless, prior to the change of control conversion date specified in the applicable Articles Supplementary governing the preferred stock, Digital Realty Trust, Inc. has provided or provides notice of its election to redeem the preferred stock) to convert some or all of the preferred stock held by it into a number of shares of Digital Realty Trust, Inc.’s common stock per share of preferred stock to be converted equal to the lesser of (i) the quotient obtained by dividing (a) the sum of the $25.00 liquidation preference plus the amount of any accrued and unpaid dividends to, but not including, the change of control conversion date (unless the change of control conversion date is after a record date for a preferred stock dividend payment and prior to the corresponding dividend payment date, in which case no additional amount for such accrued and unpaid dividend will be included in this sum) by</w:t>
      </w:r>
    </w:p>
    <w:p>
      <w:pPr>
        <w:ind w:left="260" w:right="59"/>
        <w:spacing w:after="0" w:line="24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 the common stock price specified in the applicable Articles Supplementary governing the preferred stock; and (ii) the Share Cap, subject to certain adjustments; subject, in each case, to provisions for the</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69" w:name="page170"/>
    <w:bookmarkEnd w:id="16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60" w:right="319"/>
        <w:spacing w:after="0" w:line="254" w:lineRule="auto"/>
        <w:rPr>
          <w:sz w:val="20"/>
          <w:szCs w:val="20"/>
          <w:color w:val="auto"/>
        </w:rPr>
      </w:pPr>
      <w:r>
        <w:rPr>
          <w:rFonts w:ascii="Times New Roman" w:cs="Times New Roman" w:eastAsia="Times New Roman" w:hAnsi="Times New Roman"/>
          <w:sz w:val="13"/>
          <w:szCs w:val="13"/>
          <w:color w:val="auto"/>
        </w:rPr>
        <w:t>receipt of alternative consideration as described in the applicable Articles Supplementary governing the preferred stock. Except in connection with specified change of control transactions, the preferred stock is not convertible into or exchangeable for any other property or securities of Digital Realty Trust, Inc.</w:t>
      </w:r>
    </w:p>
    <w:p>
      <w:pPr>
        <w:ind w:left="260" w:hanging="235"/>
        <w:spacing w:after="0"/>
        <w:tabs>
          <w:tab w:leader="none" w:pos="26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Liquidation preference is $25.00 per share.</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Dividends on preferred shares are cumulative and payable quarterly in arrears.</w:t>
      </w:r>
    </w:p>
    <w:p>
      <w:pPr>
        <w:spacing w:after="0" w:line="139"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(d) Noncontrolling Interests in Operating Partnership</w:t>
      </w:r>
    </w:p>
    <w:p>
      <w:pPr>
        <w:spacing w:after="0" w:line="156" w:lineRule="exact"/>
        <w:rPr>
          <w:sz w:val="20"/>
          <w:szCs w:val="20"/>
          <w:color w:val="auto"/>
        </w:rPr>
      </w:pPr>
    </w:p>
    <w:p>
      <w:pPr>
        <w:ind w:left="20" w:right="39" w:firstLine="228"/>
        <w:spacing w:after="0" w:line="268" w:lineRule="auto"/>
        <w:rPr>
          <w:sz w:val="20"/>
          <w:szCs w:val="20"/>
          <w:color w:val="auto"/>
        </w:rPr>
      </w:pPr>
      <w:r>
        <w:rPr>
          <w:rFonts w:ascii="Times New Roman" w:cs="Times New Roman" w:eastAsia="Times New Roman" w:hAnsi="Times New Roman"/>
          <w:sz w:val="13"/>
          <w:szCs w:val="13"/>
          <w:color w:val="auto"/>
        </w:rPr>
        <w:t>Noncontrolling interests in the Operating Partnership relate to the interests that are not owned by Digital Realty Trust, Inc. The following table shows the ownership interest in the Operating Partnership as of December 31, 2020 and 2018:</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520" w:type="dxa"/>
            <w:vAlign w:val="bottom"/>
            <w:gridSpan w:val="4"/>
          </w:tcPr>
          <w:p>
            <w:pPr>
              <w:jc w:val="right"/>
              <w:ind w:right="937"/>
              <w:spacing w:after="0"/>
              <w:rPr>
                <w:sz w:val="20"/>
                <w:szCs w:val="20"/>
                <w:color w:val="auto"/>
              </w:rPr>
            </w:pPr>
            <w:r>
              <w:rPr>
                <w:rFonts w:ascii="Times New Roman" w:cs="Times New Roman" w:eastAsia="Times New Roman" w:hAnsi="Times New Roman"/>
                <w:sz w:val="10"/>
                <w:szCs w:val="10"/>
                <w:b w:val="1"/>
                <w:bCs w:val="1"/>
                <w:color w:val="auto"/>
              </w:rPr>
              <w:t>December 31, 2020</w:t>
            </w:r>
          </w:p>
        </w:tc>
        <w:tc>
          <w:tcPr>
            <w:tcW w:w="2460" w:type="dxa"/>
            <w:vAlign w:val="bottom"/>
            <w:gridSpan w:val="4"/>
          </w:tcPr>
          <w:p>
            <w:pPr>
              <w:jc w:val="right"/>
              <w:ind w:right="857"/>
              <w:spacing w:after="0"/>
              <w:rPr>
                <w:sz w:val="20"/>
                <w:szCs w:val="20"/>
                <w:color w:val="auto"/>
              </w:rPr>
            </w:pPr>
            <w:r>
              <w:rPr>
                <w:rFonts w:ascii="Times New Roman" w:cs="Times New Roman" w:eastAsia="Times New Roman" w:hAnsi="Times New Roman"/>
                <w:sz w:val="10"/>
                <w:szCs w:val="10"/>
                <w:b w:val="1"/>
                <w:bCs w:val="1"/>
                <w:color w:val="auto"/>
              </w:rPr>
              <w:t>December 31, 2019</w:t>
            </w:r>
          </w:p>
        </w:tc>
      </w:tr>
      <w:tr>
        <w:trPr>
          <w:trHeight w:val="77"/>
        </w:trPr>
        <w:tc>
          <w:tcPr>
            <w:tcW w:w="20" w:type="dxa"/>
            <w:vAlign w:val="bottom"/>
          </w:tcPr>
          <w:p>
            <w:pPr>
              <w:spacing w:after="0"/>
              <w:rPr>
                <w:sz w:val="6"/>
                <w:szCs w:val="6"/>
                <w:color w:val="auto"/>
              </w:rPr>
            </w:pPr>
          </w:p>
        </w:tc>
        <w:tc>
          <w:tcPr>
            <w:tcW w:w="3960" w:type="dxa"/>
            <w:vAlign w:val="bottom"/>
          </w:tcPr>
          <w:p>
            <w:pPr>
              <w:spacing w:after="0"/>
              <w:rPr>
                <w:sz w:val="6"/>
                <w:szCs w:val="6"/>
                <w:color w:val="auto"/>
              </w:rPr>
            </w:pPr>
          </w:p>
        </w:tc>
        <w:tc>
          <w:tcPr>
            <w:tcW w:w="1200" w:type="dxa"/>
            <w:vAlign w:val="bottom"/>
            <w:tcBorders>
              <w:top w:val="single" w:sz="8" w:color="auto"/>
            </w:tcBorders>
            <w:gridSpan w:val="2"/>
          </w:tcPr>
          <w:p>
            <w:pPr>
              <w:jc w:val="center"/>
              <w:ind w:right="180"/>
              <w:spacing w:after="0" w:line="78" w:lineRule="exact"/>
              <w:rPr>
                <w:sz w:val="20"/>
                <w:szCs w:val="20"/>
                <w:color w:val="auto"/>
              </w:rPr>
            </w:pPr>
            <w:r>
              <w:rPr>
                <w:rFonts w:ascii="Times New Roman" w:cs="Times New Roman" w:eastAsia="Times New Roman" w:hAnsi="Times New Roman"/>
                <w:sz w:val="8"/>
                <w:szCs w:val="8"/>
                <w:b w:val="1"/>
                <w:bCs w:val="1"/>
                <w:color w:val="auto"/>
              </w:rPr>
              <w:t>Number of</w:t>
            </w:r>
          </w:p>
        </w:tc>
        <w:tc>
          <w:tcPr>
            <w:tcW w:w="1040" w:type="dxa"/>
            <w:vAlign w:val="bottom"/>
            <w:tcBorders>
              <w:top w:val="single" w:sz="8" w:color="auto"/>
            </w:tcBorders>
          </w:tcPr>
          <w:p>
            <w:pPr>
              <w:jc w:val="right"/>
              <w:ind w:right="183"/>
              <w:spacing w:after="0" w:line="78" w:lineRule="exact"/>
              <w:rPr>
                <w:sz w:val="20"/>
                <w:szCs w:val="20"/>
                <w:color w:val="auto"/>
              </w:rPr>
            </w:pPr>
            <w:r>
              <w:rPr>
                <w:rFonts w:ascii="Times New Roman" w:cs="Times New Roman" w:eastAsia="Times New Roman" w:hAnsi="Times New Roman"/>
                <w:sz w:val="8"/>
                <w:szCs w:val="8"/>
                <w:b w:val="1"/>
                <w:bCs w:val="1"/>
                <w:color w:val="auto"/>
              </w:rPr>
              <w:t>Percentage of</w:t>
            </w:r>
          </w:p>
        </w:tc>
        <w:tc>
          <w:tcPr>
            <w:tcW w:w="280" w:type="dxa"/>
            <w:vAlign w:val="bottom"/>
          </w:tcPr>
          <w:p>
            <w:pPr>
              <w:spacing w:after="0"/>
              <w:rPr>
                <w:sz w:val="6"/>
                <w:szCs w:val="6"/>
                <w:color w:val="auto"/>
              </w:rPr>
            </w:pPr>
          </w:p>
        </w:tc>
        <w:tc>
          <w:tcPr>
            <w:tcW w:w="1220" w:type="dxa"/>
            <w:vAlign w:val="bottom"/>
            <w:tcBorders>
              <w:top w:val="single" w:sz="8" w:color="auto"/>
            </w:tcBorders>
            <w:gridSpan w:val="2"/>
          </w:tcPr>
          <w:p>
            <w:pPr>
              <w:jc w:val="center"/>
              <w:ind w:right="180"/>
              <w:spacing w:after="0" w:line="78" w:lineRule="exact"/>
              <w:rPr>
                <w:sz w:val="20"/>
                <w:szCs w:val="20"/>
                <w:color w:val="auto"/>
              </w:rPr>
            </w:pPr>
            <w:r>
              <w:rPr>
                <w:rFonts w:ascii="Times New Roman" w:cs="Times New Roman" w:eastAsia="Times New Roman" w:hAnsi="Times New Roman"/>
                <w:sz w:val="8"/>
                <w:szCs w:val="8"/>
                <w:b w:val="1"/>
                <w:bCs w:val="1"/>
                <w:color w:val="auto"/>
              </w:rPr>
              <w:t>Number of</w:t>
            </w:r>
          </w:p>
        </w:tc>
        <w:tc>
          <w:tcPr>
            <w:tcW w:w="1060" w:type="dxa"/>
            <w:vAlign w:val="bottom"/>
            <w:tcBorders>
              <w:top w:val="single" w:sz="8" w:color="auto"/>
            </w:tcBorders>
          </w:tcPr>
          <w:p>
            <w:pPr>
              <w:jc w:val="right"/>
              <w:ind w:right="183"/>
              <w:spacing w:after="0" w:line="78" w:lineRule="exact"/>
              <w:rPr>
                <w:sz w:val="20"/>
                <w:szCs w:val="20"/>
                <w:color w:val="auto"/>
              </w:rPr>
            </w:pPr>
            <w:r>
              <w:rPr>
                <w:rFonts w:ascii="Times New Roman" w:cs="Times New Roman" w:eastAsia="Times New Roman" w:hAnsi="Times New Roman"/>
                <w:sz w:val="8"/>
                <w:szCs w:val="8"/>
                <w:b w:val="1"/>
                <w:bCs w:val="1"/>
                <w:color w:val="auto"/>
              </w:rPr>
              <w:t>Percentage of</w:t>
            </w:r>
          </w:p>
        </w:tc>
        <w:tc>
          <w:tcPr>
            <w:tcW w:w="180" w:type="dxa"/>
            <w:vAlign w:val="bottom"/>
          </w:tcPr>
          <w:p>
            <w:pPr>
              <w:spacing w:after="0"/>
              <w:rPr>
                <w:sz w:val="6"/>
                <w:szCs w:val="6"/>
                <w:color w:val="auto"/>
              </w:rPr>
            </w:pPr>
          </w:p>
        </w:tc>
      </w:tr>
      <w:tr>
        <w:trPr>
          <w:trHeight w:val="121"/>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1320" w:type="dxa"/>
            <w:vAlign w:val="bottom"/>
            <w:gridSpan w:val="2"/>
          </w:tcPr>
          <w:p>
            <w:pPr>
              <w:jc w:val="right"/>
              <w:ind w:right="637"/>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units</w:t>
            </w:r>
          </w:p>
        </w:tc>
        <w:tc>
          <w:tcPr>
            <w:tcW w:w="1240" w:type="dxa"/>
            <w:vAlign w:val="bottom"/>
            <w:gridSpan w:val="2"/>
          </w:tcPr>
          <w:p>
            <w:pPr>
              <w:jc w:val="right"/>
              <w:ind w:right="55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1"/>
        </w:trPr>
        <w:tc>
          <w:tcPr>
            <w:tcW w:w="20" w:type="dxa"/>
            <w:vAlign w:val="bottom"/>
          </w:tcPr>
          <w:p>
            <w:pPr>
              <w:spacing w:after="0"/>
              <w:rPr>
                <w:sz w:val="12"/>
                <w:szCs w:val="12"/>
                <w:color w:val="auto"/>
              </w:rPr>
            </w:pPr>
          </w:p>
        </w:tc>
        <w:tc>
          <w:tcPr>
            <w:tcW w:w="396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Digital Realty Trust, Inc.</w:t>
            </w:r>
          </w:p>
        </w:tc>
        <w:tc>
          <w:tcPr>
            <w:tcW w:w="10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280,289,726</w:t>
            </w: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97.2</w:t>
            </w:r>
          </w:p>
        </w:tc>
        <w:tc>
          <w:tcPr>
            <w:tcW w:w="2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tcBorders>
            <w:shd w:val="clear" w:color="auto" w:fill="CCEEFF"/>
          </w:tcPr>
          <w:p>
            <w:pPr>
              <w:jc w:val="right"/>
              <w:ind w:right="4"/>
              <w:spacing w:after="0" w:line="141" w:lineRule="exact"/>
              <w:rPr>
                <w:sz w:val="20"/>
                <w:szCs w:val="20"/>
                <w:color w:val="auto"/>
              </w:rPr>
            </w:pPr>
            <w:r>
              <w:rPr>
                <w:rFonts w:ascii="Times New Roman" w:cs="Times New Roman" w:eastAsia="Times New Roman" w:hAnsi="Times New Roman"/>
                <w:sz w:val="13"/>
                <w:szCs w:val="13"/>
                <w:color w:val="auto"/>
              </w:rPr>
              <w:t>208,900,758</w:t>
            </w:r>
          </w:p>
        </w:tc>
        <w:tc>
          <w:tcPr>
            <w:tcW w:w="16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95.9</w:t>
            </w:r>
          </w:p>
        </w:tc>
        <w:tc>
          <w:tcPr>
            <w:tcW w:w="180" w:type="dxa"/>
            <w:vAlign w:val="bottom"/>
            <w:tcBorders>
              <w:top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r>
      <w:tr>
        <w:trPr>
          <w:trHeight w:val="152"/>
        </w:trPr>
        <w:tc>
          <w:tcPr>
            <w:tcW w:w="20" w:type="dxa"/>
            <w:vAlign w:val="bottom"/>
          </w:tcPr>
          <w:p>
            <w:pPr>
              <w:spacing w:after="0"/>
              <w:rPr>
                <w:sz w:val="13"/>
                <w:szCs w:val="13"/>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interests consist of:</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3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Common units held by third parties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6,212,369</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2.2 %</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color w:val="auto"/>
              </w:rPr>
              <w:t>6,820,201</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3.2 %</w:t>
            </w:r>
          </w:p>
        </w:tc>
      </w:tr>
      <w:tr>
        <w:trPr>
          <w:trHeight w:val="152"/>
        </w:trPr>
        <w:tc>
          <w:tcPr>
            <w:tcW w:w="20" w:type="dxa"/>
            <w:vAlign w:val="bottom"/>
          </w:tcPr>
          <w:p>
            <w:pPr>
              <w:spacing w:after="0"/>
              <w:rPr>
                <w:sz w:val="13"/>
                <w:szCs w:val="13"/>
                <w:color w:val="auto"/>
              </w:rPr>
            </w:pPr>
          </w:p>
        </w:tc>
        <w:tc>
          <w:tcPr>
            <w:tcW w:w="3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Incentive units held by employees and directors (see Note 15)</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1,833,898</w:t>
            </w:r>
          </w:p>
        </w:tc>
        <w:tc>
          <w:tcPr>
            <w:tcW w:w="160" w:type="dxa"/>
            <w:vAlign w:val="bottom"/>
          </w:tcPr>
          <w:p>
            <w:pPr>
              <w:spacing w:after="0"/>
              <w:rPr>
                <w:sz w:val="13"/>
                <w:szCs w:val="13"/>
                <w:color w:val="auto"/>
              </w:rPr>
            </w:pPr>
          </w:p>
        </w:tc>
        <w:tc>
          <w:tcPr>
            <w:tcW w:w="13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0.6 %</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2,022,954</w:t>
            </w:r>
          </w:p>
        </w:tc>
        <w:tc>
          <w:tcPr>
            <w:tcW w:w="160" w:type="dxa"/>
            <w:vAlign w:val="bottom"/>
          </w:tcPr>
          <w:p>
            <w:pPr>
              <w:spacing w:after="0"/>
              <w:rPr>
                <w:sz w:val="13"/>
                <w:szCs w:val="13"/>
                <w:color w:val="auto"/>
              </w:rPr>
            </w:pPr>
          </w:p>
        </w:tc>
        <w:tc>
          <w:tcPr>
            <w:tcW w:w="12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0.9 %</w:t>
            </w:r>
          </w:p>
        </w:tc>
      </w:tr>
      <w:tr>
        <w:trPr>
          <w:trHeight w:val="150"/>
        </w:trPr>
        <w:tc>
          <w:tcPr>
            <w:tcW w:w="20" w:type="dxa"/>
            <w:vAlign w:val="bottom"/>
          </w:tcPr>
          <w:p>
            <w:pPr>
              <w:spacing w:after="0"/>
              <w:rPr>
                <w:sz w:val="13"/>
                <w:szCs w:val="13"/>
                <w:color w:val="auto"/>
              </w:rPr>
            </w:pPr>
          </w:p>
        </w:tc>
        <w:tc>
          <w:tcPr>
            <w:tcW w:w="396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288,335,993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100.0</w:t>
            </w:r>
          </w:p>
        </w:tc>
        <w:tc>
          <w:tcPr>
            <w:tcW w:w="28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top w:val="single" w:sz="8" w:color="auto"/>
              <w:bottom w:val="single" w:sz="8" w:color="auto"/>
            </w:tcBorders>
            <w:shd w:val="clear" w:color="auto" w:fill="CCEEFF"/>
          </w:tcPr>
          <w:p>
            <w:pPr>
              <w:jc w:val="right"/>
              <w:ind w:right="4"/>
              <w:spacing w:after="0" w:line="141" w:lineRule="exact"/>
              <w:rPr>
                <w:sz w:val="20"/>
                <w:szCs w:val="20"/>
                <w:color w:val="auto"/>
              </w:rPr>
            </w:pPr>
            <w:r>
              <w:rPr>
                <w:rFonts w:ascii="Times New Roman" w:cs="Times New Roman" w:eastAsia="Times New Roman" w:hAnsi="Times New Roman"/>
                <w:sz w:val="13"/>
                <w:szCs w:val="13"/>
                <w:b w:val="1"/>
                <w:bCs w:val="1"/>
                <w:color w:val="auto"/>
              </w:rPr>
              <w:t>217,743,913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w w:val="76"/>
              </w:rPr>
              <w:t>%</w:t>
            </w:r>
          </w:p>
        </w:tc>
      </w:tr>
    </w:tbl>
    <w:p>
      <w:pPr>
        <w:spacing w:after="0" w:line="139" w:lineRule="exact"/>
        <w:rPr>
          <w:sz w:val="20"/>
          <w:szCs w:val="20"/>
          <w:color w:val="auto"/>
        </w:rPr>
      </w:pPr>
    </w:p>
    <w:p>
      <w:pPr>
        <w:ind w:left="20" w:right="79" w:firstLine="228"/>
        <w:spacing w:after="0" w:line="247" w:lineRule="auto"/>
        <w:rPr>
          <w:sz w:val="20"/>
          <w:szCs w:val="20"/>
          <w:color w:val="auto"/>
        </w:rPr>
      </w:pPr>
      <w:r>
        <w:rPr>
          <w:rFonts w:ascii="Times New Roman" w:cs="Times New Roman" w:eastAsia="Times New Roman" w:hAnsi="Times New Roman"/>
          <w:sz w:val="13"/>
          <w:szCs w:val="13"/>
          <w:color w:val="auto"/>
        </w:rPr>
        <w:t>Limited partners have the right to require the Operating Partnership to redeem part or all of their common units for cash based on the fair market value of an equivalent number of shares of Digital Realty Trust, Inc. common stock at the time of redemption. Alternatively, Digital Realty Trust, Inc. may elect to acquire those common units in exchange for shares of Digital Realty Trust, Inc. common stock on a one-for-one basis, subject to adjustment in the event of stock splits, stock dividends, issuance of stock rights, specified extraordinary distributions and similar events. Pursuant to authoritative accounting guidance, Digital Realty Trust, Inc. evaluated whether it controls the actions or events necessary to issue the maximum number of shares that could be required to be delivered under the share settlement of the noncontrolling Operating Partnership common and incentive units. Based on the results of this analysis, we concluded that the common units and incentive units of the Operating Partnership met the criteria to be classified within equity, except for certain common units issued to certain former DFT Operating Partnership unitholders in the DFT Merger, which are subject to certain restrictions and, accordingly, are not presented as permanent equity in the consolidated balance sheet.</w:t>
      </w:r>
    </w:p>
    <w:p>
      <w:pPr>
        <w:spacing w:after="0" w:line="136" w:lineRule="exact"/>
        <w:rPr>
          <w:sz w:val="20"/>
          <w:szCs w:val="20"/>
          <w:color w:val="auto"/>
        </w:rPr>
      </w:pPr>
    </w:p>
    <w:p>
      <w:pPr>
        <w:ind w:left="20" w:right="59" w:firstLine="228"/>
        <w:spacing w:after="0" w:line="246" w:lineRule="auto"/>
        <w:rPr>
          <w:sz w:val="20"/>
          <w:szCs w:val="20"/>
          <w:color w:val="auto"/>
        </w:rPr>
      </w:pPr>
      <w:r>
        <w:rPr>
          <w:rFonts w:ascii="Times New Roman" w:cs="Times New Roman" w:eastAsia="Times New Roman" w:hAnsi="Times New Roman"/>
          <w:sz w:val="13"/>
          <w:szCs w:val="13"/>
          <w:color w:val="auto"/>
        </w:rPr>
        <w:t>In connection with the initial public offering of DFT in 2007, DFT, the DFT Operating Partnership and certain DFT Operating Partnership unitholders entered into a tax protection agreement to assist such unitholders in deferring certain U.S. federal income tax liabilities that may have otherwise resulted from the contribution transactions undertaken in connection with the initial public offering and the ownership of interests in the DFT Operating Partnership and to set forth certain agreements with respect to other tax matters. In connection with the DFT Merger, certain DFT Operating Partnership unitholders entered into a new tax protection agreement with Digital Realty Trust, Inc. and the Operating Partnership that replaced and superseded the DFT tax protection agreement, effective as of the closing of the merger. Pursuant to the new tax protection agreement, such DFT Operating Partnership unitholders entered into a guarantee of certain debt of a subsidiary of the Operating Partnership. The Operating Partnership must offer such DFT Operating Partnership unitholders a new guarantee opportunity in the event any guaranteed debt is repaid prior to March 1, 2023. If the Operating Partnership fails to offer the guarantee opportunity or to allocate guaranteed debt to any such DFT Operating Partnership unitholder as required under the new tax protection agreement, the Operating Partnership</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70" w:name="page171"/>
    <w:bookmarkEnd w:id="17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339"/>
        <w:spacing w:after="0" w:line="268" w:lineRule="auto"/>
        <w:rPr>
          <w:sz w:val="20"/>
          <w:szCs w:val="20"/>
          <w:color w:val="auto"/>
        </w:rPr>
      </w:pPr>
      <w:r>
        <w:rPr>
          <w:rFonts w:ascii="Times New Roman" w:cs="Times New Roman" w:eastAsia="Times New Roman" w:hAnsi="Times New Roman"/>
          <w:sz w:val="13"/>
          <w:szCs w:val="13"/>
          <w:color w:val="auto"/>
        </w:rPr>
        <w:t>generally would be required to indemnify each such DFT Operating Partnership unitholder for the tax liability resulting from such failure, as determined under the new tax protection agreement.</w:t>
      </w:r>
    </w:p>
    <w:p>
      <w:pPr>
        <w:spacing w:after="0" w:line="122" w:lineRule="exact"/>
        <w:rPr>
          <w:sz w:val="20"/>
          <w:szCs w:val="20"/>
          <w:color w:val="auto"/>
        </w:rPr>
      </w:pPr>
    </w:p>
    <w:p>
      <w:pPr>
        <w:ind w:left="20" w:right="279" w:firstLine="228"/>
        <w:spacing w:after="0" w:line="268" w:lineRule="auto"/>
        <w:rPr>
          <w:sz w:val="20"/>
          <w:szCs w:val="20"/>
          <w:color w:val="auto"/>
        </w:rPr>
      </w:pPr>
      <w:r>
        <w:rPr>
          <w:rFonts w:ascii="Times New Roman" w:cs="Times New Roman" w:eastAsia="Times New Roman" w:hAnsi="Times New Roman"/>
          <w:sz w:val="13"/>
          <w:szCs w:val="13"/>
          <w:color w:val="auto"/>
        </w:rPr>
        <w:t>The redemption value of the noncontrolling Operating Partnership common units and the vested incentive units was approximately $1,078.9 million and $997.6 million based on the closing market price of Digital Realty Trust, Inc. common stock on December 31, 2020 and 2019, respectively.</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following table shows activity for the noncontrolling interests in the Operating Partnership for the years ended December 31, 2020, 2019 and 2018:</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Common Units</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Incentive Units</w:t>
            </w:r>
          </w:p>
        </w:tc>
        <w:tc>
          <w:tcPr>
            <w:tcW w:w="940" w:type="dxa"/>
            <w:vAlign w:val="bottom"/>
          </w:tcPr>
          <w:p>
            <w:pPr>
              <w:jc w:val="right"/>
              <w:ind w:right="29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1"/>
        </w:trPr>
        <w:tc>
          <w:tcPr>
            <w:tcW w:w="20" w:type="dxa"/>
            <w:vAlign w:val="bottom"/>
          </w:tcPr>
          <w:p>
            <w:pPr>
              <w:spacing w:after="0"/>
              <w:rPr>
                <w:sz w:val="12"/>
                <w:szCs w:val="12"/>
                <w:color w:val="auto"/>
              </w:rPr>
            </w:pPr>
          </w:p>
        </w:tc>
        <w:tc>
          <w:tcPr>
            <w:tcW w:w="5820" w:type="dxa"/>
            <w:vAlign w:val="bottom"/>
            <w:tcBorders>
              <w:top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As of December 31, 2017</w:t>
            </w:r>
          </w:p>
        </w:tc>
        <w:tc>
          <w:tcPr>
            <w:tcW w:w="9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6,899,094</w:t>
            </w: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1,590,001</w:t>
            </w: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8,489,095</w:t>
            </w:r>
          </w:p>
        </w:tc>
      </w:tr>
      <w:tr>
        <w:trPr>
          <w:trHeight w:val="152"/>
        </w:trPr>
        <w:tc>
          <w:tcPr>
            <w:tcW w:w="20" w:type="dxa"/>
            <w:vAlign w:val="bottom"/>
          </w:tcPr>
          <w:p>
            <w:pPr>
              <w:spacing w:after="0"/>
              <w:rPr>
                <w:sz w:val="13"/>
                <w:szCs w:val="13"/>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units issued in connection with the Ascenty Acquisition</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2,338,874</w:t>
            </w:r>
          </w:p>
        </w:tc>
        <w:tc>
          <w:tcPr>
            <w:tcW w:w="1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2,338,874</w:t>
            </w:r>
          </w:p>
        </w:tc>
      </w:tr>
      <w:tr>
        <w:trPr>
          <w:trHeight w:val="152"/>
        </w:trPr>
        <w:tc>
          <w:tcPr>
            <w:tcW w:w="20" w:type="dxa"/>
            <w:vAlign w:val="bottom"/>
          </w:tcPr>
          <w:p>
            <w:pPr>
              <w:spacing w:after="0"/>
              <w:rPr>
                <w:sz w:val="13"/>
                <w:szCs w:val="13"/>
                <w:color w:val="auto"/>
              </w:rPr>
            </w:pPr>
          </w:p>
        </w:tc>
        <w:tc>
          <w:tcPr>
            <w:tcW w:w="582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 xml:space="preserve">Redemption of common units for shares of Digital Realty Trust, Inc. common stock </w:t>
            </w:r>
            <w:r>
              <w:rPr>
                <w:rFonts w:ascii="Times New Roman" w:cs="Times New Roman" w:eastAsia="Times New Roman" w:hAnsi="Times New Roman"/>
                <w:sz w:val="17"/>
                <w:szCs w:val="17"/>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(601,822)</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(601,822)</w:t>
            </w:r>
          </w:p>
        </w:tc>
      </w:tr>
      <w:tr>
        <w:trPr>
          <w:trHeight w:val="133"/>
        </w:trPr>
        <w:tc>
          <w:tcPr>
            <w:tcW w:w="20" w:type="dxa"/>
            <w:vAlign w:val="bottom"/>
          </w:tcPr>
          <w:p>
            <w:pPr>
              <w:spacing w:after="0"/>
              <w:rPr>
                <w:sz w:val="11"/>
                <w:szCs w:val="11"/>
                <w:color w:val="auto"/>
              </w:rPr>
            </w:pPr>
          </w:p>
        </w:tc>
        <w:tc>
          <w:tcPr>
            <w:tcW w:w="5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Conversion of incentive units held by employees and directors for shares of Digital Realty Trust, Inc. common</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1"/>
        </w:trPr>
        <w:tc>
          <w:tcPr>
            <w:tcW w:w="5840" w:type="dxa"/>
            <w:vAlign w:val="bottom"/>
            <w:gridSpan w:val="3"/>
          </w:tcPr>
          <w:p>
            <w:pPr>
              <w:spacing w:after="0" w:line="170" w:lineRule="exact"/>
              <w:rPr>
                <w:sz w:val="20"/>
                <w:szCs w:val="20"/>
                <w:color w:val="auto"/>
              </w:rPr>
            </w:pPr>
            <w:r>
              <w:rPr>
                <w:rFonts w:ascii="Times New Roman" w:cs="Times New Roman" w:eastAsia="Times New Roman" w:hAnsi="Times New Roman"/>
                <w:sz w:val="13"/>
                <w:szCs w:val="13"/>
                <w:color w:val="auto"/>
              </w:rPr>
              <w:t xml:space="preserve">stock </w:t>
            </w:r>
            <w:r>
              <w:rPr>
                <w:rFonts w:ascii="Times New Roman" w:cs="Times New Roman" w:eastAsia="Times New Roman" w:hAnsi="Times New Roman"/>
                <w:sz w:val="18"/>
                <w:szCs w:val="18"/>
                <w:color w:val="auto"/>
                <w:vertAlign w:val="superscript"/>
              </w:rPr>
              <w:t>(1)</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(110,070)</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(110,070)</w:t>
            </w:r>
          </w:p>
        </w:tc>
      </w:tr>
      <w:tr>
        <w:trPr>
          <w:trHeight w:val="152"/>
        </w:trPr>
        <w:tc>
          <w:tcPr>
            <w:tcW w:w="20" w:type="dxa"/>
            <w:vAlign w:val="bottom"/>
          </w:tcPr>
          <w:p>
            <w:pPr>
              <w:spacing w:after="0"/>
              <w:rPr>
                <w:sz w:val="13"/>
                <w:szCs w:val="13"/>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Incentive units issued upon achievement of market performance condition</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357,956</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357,956</w:t>
            </w:r>
          </w:p>
        </w:tc>
      </w:tr>
      <w:tr>
        <w:trPr>
          <w:trHeight w:val="152"/>
        </w:trPr>
        <w:tc>
          <w:tcPr>
            <w:tcW w:w="20" w:type="dxa"/>
            <w:vAlign w:val="bottom"/>
          </w:tcPr>
          <w:p>
            <w:pPr>
              <w:spacing w:after="0"/>
              <w:rPr>
                <w:sz w:val="13"/>
                <w:szCs w:val="13"/>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Grant of incentive units to employees and directors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128,986</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128,986</w:t>
            </w:r>
          </w:p>
        </w:tc>
      </w:tr>
      <w:tr>
        <w:trPr>
          <w:trHeight w:val="152"/>
        </w:trPr>
        <w:tc>
          <w:tcPr>
            <w:tcW w:w="20" w:type="dxa"/>
            <w:vAlign w:val="bottom"/>
          </w:tcPr>
          <w:p>
            <w:pPr>
              <w:spacing w:after="0"/>
              <w:rPr>
                <w:sz w:val="13"/>
                <w:szCs w:val="13"/>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Cancellation / forfeitures of incentive units held by employees and directors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(22,135)</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(22,135)</w:t>
            </w:r>
          </w:p>
        </w:tc>
      </w:tr>
      <w:tr>
        <w:trPr>
          <w:trHeight w:val="141"/>
        </w:trPr>
        <w:tc>
          <w:tcPr>
            <w:tcW w:w="20" w:type="dxa"/>
            <w:vAlign w:val="bottom"/>
          </w:tcPr>
          <w:p>
            <w:pPr>
              <w:spacing w:after="0"/>
              <w:rPr>
                <w:sz w:val="12"/>
                <w:szCs w:val="12"/>
                <w:color w:val="auto"/>
              </w:rPr>
            </w:pPr>
          </w:p>
        </w:tc>
        <w:tc>
          <w:tcPr>
            <w:tcW w:w="582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As of December 31, 2018</w:t>
            </w:r>
          </w:p>
        </w:tc>
        <w:tc>
          <w:tcPr>
            <w:tcW w:w="9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8,636,146</w:t>
            </w:r>
          </w:p>
        </w:tc>
        <w:tc>
          <w:tcPr>
            <w:tcW w:w="140" w:type="dxa"/>
            <w:vAlign w:val="bottom"/>
          </w:tcPr>
          <w:p>
            <w:pPr>
              <w:spacing w:after="0"/>
              <w:rPr>
                <w:sz w:val="12"/>
                <w:szCs w:val="12"/>
                <w:color w:val="auto"/>
              </w:rPr>
            </w:pPr>
          </w:p>
        </w:tc>
        <w:tc>
          <w:tcPr>
            <w:tcW w:w="9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1,944,738</w:t>
            </w:r>
          </w:p>
        </w:tc>
        <w:tc>
          <w:tcPr>
            <w:tcW w:w="140" w:type="dxa"/>
            <w:vAlign w:val="bottom"/>
          </w:tcPr>
          <w:p>
            <w:pPr>
              <w:spacing w:after="0"/>
              <w:rPr>
                <w:sz w:val="12"/>
                <w:szCs w:val="12"/>
                <w:color w:val="auto"/>
              </w:rPr>
            </w:pPr>
          </w:p>
        </w:tc>
        <w:tc>
          <w:tcPr>
            <w:tcW w:w="9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10,580,884</w:t>
            </w:r>
          </w:p>
        </w:tc>
      </w:tr>
      <w:tr>
        <w:trPr>
          <w:trHeight w:val="152"/>
        </w:trPr>
        <w:tc>
          <w:tcPr>
            <w:tcW w:w="20" w:type="dxa"/>
            <w:vAlign w:val="bottom"/>
          </w:tcPr>
          <w:p>
            <w:pPr>
              <w:spacing w:after="0"/>
              <w:rPr>
                <w:sz w:val="13"/>
                <w:szCs w:val="13"/>
                <w:color w:val="auto"/>
              </w:rPr>
            </w:pPr>
          </w:p>
        </w:tc>
        <w:tc>
          <w:tcPr>
            <w:tcW w:w="582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 xml:space="preserve">Redemption of common units for shares of Digital Realty Trust, Inc. common stock </w:t>
            </w:r>
            <w:r>
              <w:rPr>
                <w:rFonts w:ascii="Times New Roman" w:cs="Times New Roman" w:eastAsia="Times New Roman" w:hAnsi="Times New Roman"/>
                <w:sz w:val="17"/>
                <w:szCs w:val="17"/>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(1,815,945)</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(1,815,945)</w:t>
            </w:r>
          </w:p>
        </w:tc>
      </w:tr>
      <w:tr>
        <w:trPr>
          <w:trHeight w:val="133"/>
        </w:trPr>
        <w:tc>
          <w:tcPr>
            <w:tcW w:w="20" w:type="dxa"/>
            <w:vAlign w:val="bottom"/>
          </w:tcPr>
          <w:p>
            <w:pPr>
              <w:spacing w:after="0"/>
              <w:rPr>
                <w:sz w:val="11"/>
                <w:szCs w:val="11"/>
                <w:color w:val="auto"/>
              </w:rPr>
            </w:pPr>
          </w:p>
        </w:tc>
        <w:tc>
          <w:tcPr>
            <w:tcW w:w="5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Conversion of incentive units held by employees and directors for shares of Digital Realty Trust, Inc. common</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1"/>
        </w:trPr>
        <w:tc>
          <w:tcPr>
            <w:tcW w:w="5840" w:type="dxa"/>
            <w:vAlign w:val="bottom"/>
            <w:gridSpan w:val="3"/>
          </w:tcPr>
          <w:p>
            <w:pPr>
              <w:spacing w:after="0" w:line="170" w:lineRule="exact"/>
              <w:rPr>
                <w:sz w:val="20"/>
                <w:szCs w:val="20"/>
                <w:color w:val="auto"/>
              </w:rPr>
            </w:pPr>
            <w:r>
              <w:rPr>
                <w:rFonts w:ascii="Times New Roman" w:cs="Times New Roman" w:eastAsia="Times New Roman" w:hAnsi="Times New Roman"/>
                <w:sz w:val="13"/>
                <w:szCs w:val="13"/>
                <w:color w:val="auto"/>
              </w:rPr>
              <w:t xml:space="preserve">stock </w:t>
            </w:r>
            <w:r>
              <w:rPr>
                <w:rFonts w:ascii="Times New Roman" w:cs="Times New Roman" w:eastAsia="Times New Roman" w:hAnsi="Times New Roman"/>
                <w:sz w:val="18"/>
                <w:szCs w:val="18"/>
                <w:color w:val="auto"/>
                <w:vertAlign w:val="superscript"/>
              </w:rPr>
              <w:t>(1)</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(338,515)</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(338,515)</w:t>
            </w:r>
          </w:p>
        </w:tc>
      </w:tr>
      <w:tr>
        <w:trPr>
          <w:trHeight w:val="152"/>
        </w:trPr>
        <w:tc>
          <w:tcPr>
            <w:tcW w:w="20" w:type="dxa"/>
            <w:vAlign w:val="bottom"/>
          </w:tcPr>
          <w:p>
            <w:pPr>
              <w:spacing w:after="0"/>
              <w:rPr>
                <w:sz w:val="13"/>
                <w:szCs w:val="13"/>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Incentive units issued upon achievement of market performance condition</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319,279</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319,279</w:t>
            </w:r>
          </w:p>
        </w:tc>
      </w:tr>
      <w:tr>
        <w:trPr>
          <w:trHeight w:val="152"/>
        </w:trPr>
        <w:tc>
          <w:tcPr>
            <w:tcW w:w="20" w:type="dxa"/>
            <w:vAlign w:val="bottom"/>
          </w:tcPr>
          <w:p>
            <w:pPr>
              <w:spacing w:after="0"/>
              <w:rPr>
                <w:sz w:val="13"/>
                <w:szCs w:val="13"/>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Grant of incentive units to employees and directors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120,368</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120,368</w:t>
            </w:r>
          </w:p>
        </w:tc>
      </w:tr>
      <w:tr>
        <w:trPr>
          <w:trHeight w:val="152"/>
        </w:trPr>
        <w:tc>
          <w:tcPr>
            <w:tcW w:w="20" w:type="dxa"/>
            <w:vAlign w:val="bottom"/>
          </w:tcPr>
          <w:p>
            <w:pPr>
              <w:spacing w:after="0"/>
              <w:rPr>
                <w:sz w:val="13"/>
                <w:szCs w:val="13"/>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Cancellation / forfeitures of incentive units held by employees and directors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(22,916)</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(22,916)</w:t>
            </w:r>
          </w:p>
        </w:tc>
      </w:tr>
      <w:tr>
        <w:trPr>
          <w:trHeight w:val="141"/>
        </w:trPr>
        <w:tc>
          <w:tcPr>
            <w:tcW w:w="20" w:type="dxa"/>
            <w:vAlign w:val="bottom"/>
          </w:tcPr>
          <w:p>
            <w:pPr>
              <w:spacing w:after="0"/>
              <w:rPr>
                <w:sz w:val="12"/>
                <w:szCs w:val="12"/>
                <w:color w:val="auto"/>
              </w:rPr>
            </w:pPr>
          </w:p>
        </w:tc>
        <w:tc>
          <w:tcPr>
            <w:tcW w:w="582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As of December 31, 2019</w:t>
            </w:r>
          </w:p>
        </w:tc>
        <w:tc>
          <w:tcPr>
            <w:tcW w:w="9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6,820,201</w:t>
            </w:r>
          </w:p>
        </w:tc>
        <w:tc>
          <w:tcPr>
            <w:tcW w:w="140" w:type="dxa"/>
            <w:vAlign w:val="bottom"/>
          </w:tcPr>
          <w:p>
            <w:pPr>
              <w:spacing w:after="0"/>
              <w:rPr>
                <w:sz w:val="12"/>
                <w:szCs w:val="12"/>
                <w:color w:val="auto"/>
              </w:rPr>
            </w:pPr>
          </w:p>
        </w:tc>
        <w:tc>
          <w:tcPr>
            <w:tcW w:w="9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2,022,954</w:t>
            </w:r>
          </w:p>
        </w:tc>
        <w:tc>
          <w:tcPr>
            <w:tcW w:w="140" w:type="dxa"/>
            <w:vAlign w:val="bottom"/>
          </w:tcPr>
          <w:p>
            <w:pPr>
              <w:spacing w:after="0"/>
              <w:rPr>
                <w:sz w:val="12"/>
                <w:szCs w:val="12"/>
                <w:color w:val="auto"/>
              </w:rPr>
            </w:pPr>
          </w:p>
        </w:tc>
        <w:tc>
          <w:tcPr>
            <w:tcW w:w="9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8,843,155</w:t>
            </w:r>
          </w:p>
        </w:tc>
      </w:tr>
      <w:tr>
        <w:trPr>
          <w:trHeight w:val="152"/>
        </w:trPr>
        <w:tc>
          <w:tcPr>
            <w:tcW w:w="20" w:type="dxa"/>
            <w:vAlign w:val="bottom"/>
          </w:tcPr>
          <w:p>
            <w:pPr>
              <w:spacing w:after="0"/>
              <w:rPr>
                <w:sz w:val="13"/>
                <w:szCs w:val="13"/>
                <w:color w:val="auto"/>
              </w:rPr>
            </w:pPr>
          </w:p>
        </w:tc>
        <w:tc>
          <w:tcPr>
            <w:tcW w:w="582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 xml:space="preserve">Redemption of common units for shares of Digital Realty Trust, Inc. common stock </w:t>
            </w:r>
            <w:r>
              <w:rPr>
                <w:rFonts w:ascii="Times New Roman" w:cs="Times New Roman" w:eastAsia="Times New Roman" w:hAnsi="Times New Roman"/>
                <w:sz w:val="17"/>
                <w:szCs w:val="17"/>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(607,832)</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(607,832)</w:t>
            </w:r>
          </w:p>
        </w:tc>
      </w:tr>
      <w:tr>
        <w:trPr>
          <w:trHeight w:val="133"/>
        </w:trPr>
        <w:tc>
          <w:tcPr>
            <w:tcW w:w="20" w:type="dxa"/>
            <w:vAlign w:val="bottom"/>
          </w:tcPr>
          <w:p>
            <w:pPr>
              <w:spacing w:after="0"/>
              <w:rPr>
                <w:sz w:val="11"/>
                <w:szCs w:val="11"/>
                <w:color w:val="auto"/>
              </w:rPr>
            </w:pPr>
          </w:p>
        </w:tc>
        <w:tc>
          <w:tcPr>
            <w:tcW w:w="58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Conversion of incentive units held by employees and directors for shares of Digital Realty Trust, Inc. common</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1"/>
        </w:trPr>
        <w:tc>
          <w:tcPr>
            <w:tcW w:w="5840" w:type="dxa"/>
            <w:vAlign w:val="bottom"/>
            <w:gridSpan w:val="3"/>
          </w:tcPr>
          <w:p>
            <w:pPr>
              <w:spacing w:after="0" w:line="170" w:lineRule="exact"/>
              <w:rPr>
                <w:sz w:val="20"/>
                <w:szCs w:val="20"/>
                <w:color w:val="auto"/>
              </w:rPr>
            </w:pPr>
            <w:r>
              <w:rPr>
                <w:rFonts w:ascii="Times New Roman" w:cs="Times New Roman" w:eastAsia="Times New Roman" w:hAnsi="Times New Roman"/>
                <w:sz w:val="13"/>
                <w:szCs w:val="13"/>
                <w:color w:val="auto"/>
              </w:rPr>
              <w:t xml:space="preserve">stock </w:t>
            </w:r>
            <w:r>
              <w:rPr>
                <w:rFonts w:ascii="Times New Roman" w:cs="Times New Roman" w:eastAsia="Times New Roman" w:hAnsi="Times New Roman"/>
                <w:sz w:val="18"/>
                <w:szCs w:val="18"/>
                <w:color w:val="auto"/>
                <w:vertAlign w:val="superscript"/>
              </w:rPr>
              <w:t>(1)</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(461,912)</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(461,912)</w:t>
            </w:r>
          </w:p>
        </w:tc>
      </w:tr>
      <w:tr>
        <w:trPr>
          <w:trHeight w:val="152"/>
        </w:trPr>
        <w:tc>
          <w:tcPr>
            <w:tcW w:w="20" w:type="dxa"/>
            <w:vAlign w:val="bottom"/>
          </w:tcPr>
          <w:p>
            <w:pPr>
              <w:spacing w:after="0"/>
              <w:rPr>
                <w:sz w:val="13"/>
                <w:szCs w:val="13"/>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Incentive units issued upon achievement of market performance condition</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147,570</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147,570</w:t>
            </w:r>
          </w:p>
        </w:tc>
      </w:tr>
      <w:tr>
        <w:trPr>
          <w:trHeight w:val="152"/>
        </w:trPr>
        <w:tc>
          <w:tcPr>
            <w:tcW w:w="20" w:type="dxa"/>
            <w:vAlign w:val="bottom"/>
          </w:tcPr>
          <w:p>
            <w:pPr>
              <w:spacing w:after="0"/>
              <w:rPr>
                <w:sz w:val="13"/>
                <w:szCs w:val="13"/>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Grant of incentive units to employees and directors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128,049</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128,049</w:t>
            </w:r>
          </w:p>
        </w:tc>
      </w:tr>
      <w:tr>
        <w:trPr>
          <w:trHeight w:val="152"/>
        </w:trPr>
        <w:tc>
          <w:tcPr>
            <w:tcW w:w="20" w:type="dxa"/>
            <w:vAlign w:val="bottom"/>
          </w:tcPr>
          <w:p>
            <w:pPr>
              <w:spacing w:after="0"/>
              <w:rPr>
                <w:sz w:val="13"/>
                <w:szCs w:val="13"/>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Cancellation / forfeitures of incentive units held by employees and directors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(2,763)</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(2,763)</w:t>
            </w:r>
          </w:p>
        </w:tc>
      </w:tr>
      <w:tr>
        <w:trPr>
          <w:trHeight w:val="150"/>
        </w:trPr>
        <w:tc>
          <w:tcPr>
            <w:tcW w:w="584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As of December 31, 2020</w:t>
            </w:r>
          </w:p>
        </w:tc>
        <w:tc>
          <w:tcPr>
            <w:tcW w:w="9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6,212,369</w:t>
            </w:r>
          </w:p>
        </w:tc>
        <w:tc>
          <w:tcPr>
            <w:tcW w:w="1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1,833,898</w:t>
            </w:r>
          </w:p>
        </w:tc>
        <w:tc>
          <w:tcPr>
            <w:tcW w:w="1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8,046,267</w:t>
            </w:r>
          </w:p>
        </w:tc>
      </w:tr>
      <w:tr>
        <w:trPr>
          <w:trHeight w:val="76"/>
        </w:trPr>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3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r>
    </w:tbl>
    <w:p>
      <w:pPr>
        <w:spacing w:after="0" w:line="44" w:lineRule="exact"/>
        <w:rPr>
          <w:sz w:val="20"/>
          <w:szCs w:val="20"/>
          <w:color w:val="auto"/>
        </w:rPr>
      </w:pPr>
    </w:p>
    <w:p>
      <w:pPr>
        <w:ind w:left="260" w:right="179" w:hanging="235"/>
        <w:spacing w:after="0" w:line="268" w:lineRule="auto"/>
        <w:tabs>
          <w:tab w:leader="none" w:pos="26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redemptions and conversions were recorded as a reduction to noncontrolling interests in the Operating Partnership and an increase to common stock and additional paid in capital based on the book value per unit in the accompanying consolidated balance sheet of Digital Realty Trust, Inc.</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71" w:name="page172"/>
    <w:bookmarkEnd w:id="17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(e) Dividends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We have declared and paid the following dividends on our common and preferred stock for the years ended December 31, 2020, 2019 and 2018 (in thousands):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center"/>
              <w:ind w:right="16"/>
              <w:spacing w:after="0"/>
              <w:rPr>
                <w:sz w:val="20"/>
                <w:szCs w:val="20"/>
                <w:color w:val="auto"/>
              </w:rPr>
            </w:pPr>
            <w:r>
              <w:rPr>
                <w:rFonts w:ascii="Times New Roman" w:cs="Times New Roman" w:eastAsia="Times New Roman" w:hAnsi="Times New Roman"/>
                <w:sz w:val="9"/>
                <w:szCs w:val="9"/>
                <w:b w:val="1"/>
                <w:bCs w:val="1"/>
                <w:color w:val="auto"/>
              </w:rPr>
              <w:t>Series C</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9"/>
              </w:rPr>
              <w:t>Series G</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2"/>
              </w:rPr>
              <w:t>Series H</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Series I</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center"/>
              <w:ind w:right="36"/>
              <w:spacing w:after="0"/>
              <w:rPr>
                <w:sz w:val="20"/>
                <w:szCs w:val="20"/>
                <w:color w:val="auto"/>
              </w:rPr>
            </w:pPr>
            <w:r>
              <w:rPr>
                <w:rFonts w:ascii="Times New Roman" w:cs="Times New Roman" w:eastAsia="Times New Roman" w:hAnsi="Times New Roman"/>
                <w:sz w:val="9"/>
                <w:szCs w:val="9"/>
                <w:b w:val="1"/>
                <w:bCs w:val="1"/>
                <w:color w:val="auto"/>
                <w:w w:val="93"/>
              </w:rPr>
              <w:t>Series J</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Series K</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center"/>
              <w:ind w:right="16"/>
              <w:spacing w:after="0"/>
              <w:rPr>
                <w:sz w:val="20"/>
                <w:szCs w:val="20"/>
                <w:color w:val="auto"/>
              </w:rPr>
            </w:pPr>
            <w:r>
              <w:rPr>
                <w:rFonts w:ascii="Times New Roman" w:cs="Times New Roman" w:eastAsia="Times New Roman" w:hAnsi="Times New Roman"/>
                <w:sz w:val="9"/>
                <w:szCs w:val="9"/>
                <w:b w:val="1"/>
                <w:bCs w:val="1"/>
                <w:color w:val="auto"/>
              </w:rPr>
              <w:t>Series L</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center"/>
              <w:ind w:right="16"/>
              <w:spacing w:after="0" w:line="95" w:lineRule="exact"/>
              <w:rPr>
                <w:sz w:val="20"/>
                <w:szCs w:val="20"/>
                <w:color w:val="auto"/>
              </w:rPr>
            </w:pPr>
            <w:r>
              <w:rPr>
                <w:rFonts w:ascii="Times New Roman" w:cs="Times New Roman" w:eastAsia="Times New Roman" w:hAnsi="Times New Roman"/>
                <w:sz w:val="9"/>
                <w:szCs w:val="9"/>
                <w:b w:val="1"/>
                <w:bCs w:val="1"/>
                <w:color w:val="auto"/>
                <w:w w:val="95"/>
              </w:rPr>
              <w:t>Preferred</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5"/>
              </w:rPr>
              <w:t>Preferred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9"/>
                <w:szCs w:val="9"/>
                <w:b w:val="1"/>
                <w:bCs w:val="1"/>
                <w:color w:val="auto"/>
              </w:rPr>
              <w:t>Preferred</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5"/>
              </w:rPr>
              <w:t>Preferred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center"/>
              <w:ind w:right="36"/>
              <w:spacing w:after="0" w:line="95" w:lineRule="exact"/>
              <w:rPr>
                <w:sz w:val="20"/>
                <w:szCs w:val="20"/>
                <w:color w:val="auto"/>
              </w:rPr>
            </w:pPr>
            <w:r>
              <w:rPr>
                <w:rFonts w:ascii="Times New Roman" w:cs="Times New Roman" w:eastAsia="Times New Roman" w:hAnsi="Times New Roman"/>
                <w:sz w:val="9"/>
                <w:szCs w:val="9"/>
                <w:b w:val="1"/>
                <w:bCs w:val="1"/>
                <w:color w:val="auto"/>
                <w:w w:val="95"/>
              </w:rPr>
              <w:t>Preferred</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5"/>
              </w:rPr>
              <w:t>Preferred</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center"/>
              <w:ind w:right="16"/>
              <w:spacing w:after="0" w:line="95" w:lineRule="exact"/>
              <w:rPr>
                <w:sz w:val="20"/>
                <w:szCs w:val="20"/>
                <w:color w:val="auto"/>
              </w:rPr>
            </w:pPr>
            <w:r>
              <w:rPr>
                <w:rFonts w:ascii="Times New Roman" w:cs="Times New Roman" w:eastAsia="Times New Roman" w:hAnsi="Times New Roman"/>
                <w:sz w:val="9"/>
                <w:szCs w:val="9"/>
                <w:b w:val="1"/>
                <w:bCs w:val="1"/>
                <w:color w:val="auto"/>
                <w:w w:val="95"/>
              </w:rPr>
              <w:t>Preferred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ind w:right="96"/>
              <w:spacing w:after="0" w:line="95" w:lineRule="exact"/>
              <w:rPr>
                <w:sz w:val="20"/>
                <w:szCs w:val="20"/>
                <w:color w:val="auto"/>
              </w:rPr>
            </w:pPr>
            <w:r>
              <w:rPr>
                <w:rFonts w:ascii="Times New Roman" w:cs="Times New Roman" w:eastAsia="Times New Roman" w:hAnsi="Times New Roman"/>
                <w:sz w:val="9"/>
                <w:szCs w:val="9"/>
                <w:b w:val="1"/>
                <w:bCs w:val="1"/>
                <w:color w:val="auto"/>
              </w:rPr>
              <w:t>Common</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Date dividend declared</w:t>
            </w:r>
          </w:p>
        </w:tc>
        <w:tc>
          <w:tcPr>
            <w:tcW w:w="120" w:type="dxa"/>
            <w:vAlign w:val="bottom"/>
          </w:tcPr>
          <w:p>
            <w:pPr>
              <w:spacing w:after="0"/>
              <w:rPr>
                <w:sz w:val="9"/>
                <w:szCs w:val="9"/>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9"/>
                <w:szCs w:val="9"/>
                <w:b w:val="1"/>
                <w:bCs w:val="1"/>
                <w:color w:val="auto"/>
              </w:rPr>
              <w:t>Dividend payment date</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16"/>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Stock</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Stock</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right="36"/>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center"/>
              <w:ind w:right="16"/>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176"/>
              <w:spacing w:after="0"/>
              <w:rPr>
                <w:sz w:val="20"/>
                <w:szCs w:val="20"/>
                <w:color w:val="auto"/>
              </w:rPr>
            </w:pPr>
            <w:r>
              <w:rPr>
                <w:rFonts w:ascii="Times New Roman" w:cs="Times New Roman" w:eastAsia="Times New Roman" w:hAnsi="Times New Roman"/>
                <w:sz w:val="9"/>
                <w:szCs w:val="9"/>
                <w:b w:val="1"/>
                <w:bCs w:val="1"/>
                <w:color w:val="auto"/>
              </w:rPr>
              <w:t>Stock</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740" w:type="dxa"/>
            <w:vAlign w:val="bottom"/>
            <w:tcBorders>
              <w:top w:val="single" w:sz="8" w:color="auto"/>
            </w:tcBorders>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March 1, 2018</w:t>
            </w:r>
          </w:p>
        </w:tc>
        <w:tc>
          <w:tcPr>
            <w:tcW w:w="120" w:type="dxa"/>
            <w:vAlign w:val="bottom"/>
            <w:tcBorders>
              <w:top w:val="single" w:sz="8" w:color="CCEEFF"/>
            </w:tcBorders>
            <w:shd w:val="clear" w:color="auto" w:fill="CCEEFF"/>
          </w:tcPr>
          <w:p>
            <w:pPr>
              <w:spacing w:after="0"/>
              <w:rPr>
                <w:sz w:val="7"/>
                <w:szCs w:val="7"/>
                <w:color w:val="auto"/>
              </w:rPr>
            </w:pPr>
          </w:p>
        </w:tc>
        <w:tc>
          <w:tcPr>
            <w:tcW w:w="1440" w:type="dxa"/>
            <w:vAlign w:val="bottom"/>
            <w:tcBorders>
              <w:top w:val="single" w:sz="8" w:color="auto"/>
            </w:tcBorders>
            <w:gridSpan w:val="2"/>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March 30, 2018</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3,672</w:t>
            </w: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6,730</w:t>
            </w: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208,015</w:t>
            </w:r>
          </w:p>
        </w:tc>
        <w:tc>
          <w:tcPr>
            <w:tcW w:w="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jc w:val="right"/>
              <w:ind w:right="27"/>
              <w:spacing w:after="0" w:line="67" w:lineRule="exact"/>
              <w:rPr>
                <w:sz w:val="20"/>
                <w:szCs w:val="20"/>
                <w:color w:val="auto"/>
              </w:rPr>
            </w:pPr>
            <w:r>
              <w:rPr>
                <w:rFonts w:ascii="Times New Roman" w:cs="Times New Roman" w:eastAsia="Times New Roman" w:hAnsi="Times New Roman"/>
                <w:sz w:val="7"/>
                <w:szCs w:val="7"/>
                <w:color w:val="auto"/>
                <w:w w:val="72"/>
              </w:rPr>
              <w:t>(1)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May 8, 2018</w:t>
            </w:r>
          </w:p>
        </w:tc>
        <w:tc>
          <w:tcPr>
            <w:tcW w:w="1560" w:type="dxa"/>
            <w:vAlign w:val="bottom"/>
            <w:gridSpan w:val="3"/>
          </w:tcPr>
          <w:p>
            <w:pPr>
              <w:ind w:left="120"/>
              <w:spacing w:after="0" w:line="95" w:lineRule="exact"/>
              <w:rPr>
                <w:sz w:val="20"/>
                <w:szCs w:val="20"/>
                <w:color w:val="auto"/>
              </w:rPr>
            </w:pPr>
            <w:r>
              <w:rPr>
                <w:rFonts w:ascii="Times New Roman" w:cs="Times New Roman" w:eastAsia="Times New Roman" w:hAnsi="Times New Roman"/>
                <w:sz w:val="9"/>
                <w:szCs w:val="9"/>
                <w:color w:val="auto"/>
              </w:rPr>
              <w:t>June 29, 2018</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3,672</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6,730</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208,071</w:t>
            </w:r>
          </w:p>
        </w:tc>
        <w:tc>
          <w:tcPr>
            <w:tcW w:w="160" w:type="dxa"/>
            <w:vAlign w:val="bottom"/>
            <w:gridSpan w:val="2"/>
          </w:tcPr>
          <w:p>
            <w:pPr>
              <w:jc w:val="right"/>
              <w:ind w:right="27"/>
              <w:spacing w:after="0"/>
              <w:rPr>
                <w:sz w:val="20"/>
                <w:szCs w:val="20"/>
                <w:color w:val="auto"/>
              </w:rPr>
            </w:pPr>
            <w:r>
              <w:rPr>
                <w:rFonts w:ascii="Times New Roman" w:cs="Times New Roman" w:eastAsia="Times New Roman" w:hAnsi="Times New Roman"/>
                <w:sz w:val="7"/>
                <w:szCs w:val="7"/>
                <w:color w:val="auto"/>
                <w:w w:val="97"/>
              </w:rPr>
              <w:t>(1)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August 14, 2018</w:t>
            </w:r>
          </w:p>
        </w:tc>
        <w:tc>
          <w:tcPr>
            <w:tcW w:w="1560" w:type="dxa"/>
            <w:vAlign w:val="bottom"/>
            <w:gridSpan w:val="3"/>
            <w:shd w:val="clear" w:color="auto" w:fill="CCEEFF"/>
          </w:tcPr>
          <w:p>
            <w:pPr>
              <w:ind w:left="120"/>
              <w:spacing w:after="0" w:line="95" w:lineRule="exact"/>
              <w:rPr>
                <w:sz w:val="20"/>
                <w:szCs w:val="20"/>
                <w:color w:val="auto"/>
              </w:rPr>
            </w:pPr>
            <w:r>
              <w:rPr>
                <w:rFonts w:ascii="Times New Roman" w:cs="Times New Roman" w:eastAsia="Times New Roman" w:hAnsi="Times New Roman"/>
                <w:sz w:val="9"/>
                <w:szCs w:val="9"/>
                <w:color w:val="auto"/>
              </w:rPr>
              <w:t>September 28, 2018</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3,672</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6,730</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208,166</w:t>
            </w:r>
          </w:p>
        </w:tc>
        <w:tc>
          <w:tcPr>
            <w:tcW w:w="16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7"/>
                <w:szCs w:val="7"/>
                <w:color w:val="auto"/>
                <w:w w:val="97"/>
              </w:rPr>
              <w:t>(1)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560" w:type="dxa"/>
            <w:vAlign w:val="bottom"/>
            <w:gridSpan w:val="3"/>
          </w:tcPr>
          <w:p>
            <w:pPr>
              <w:ind w:left="120"/>
              <w:spacing w:after="0" w:line="82" w:lineRule="exact"/>
              <w:rPr>
                <w:sz w:val="20"/>
                <w:szCs w:val="20"/>
                <w:color w:val="auto"/>
              </w:rPr>
            </w:pPr>
            <w:r>
              <w:rPr>
                <w:rFonts w:ascii="Times New Roman" w:cs="Times New Roman" w:eastAsia="Times New Roman" w:hAnsi="Times New Roman"/>
                <w:sz w:val="9"/>
                <w:szCs w:val="9"/>
                <w:color w:val="auto"/>
                <w:w w:val="98"/>
              </w:rPr>
              <w:t>December 31, 2018 for Preferred Stock;</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gridSpan w:val="2"/>
            <w:vMerge w:val="restart"/>
          </w:tcPr>
          <w:p>
            <w:pPr>
              <w:jc w:val="right"/>
              <w:ind w:right="27"/>
              <w:spacing w:after="0"/>
              <w:rPr>
                <w:sz w:val="20"/>
                <w:szCs w:val="20"/>
                <w:color w:val="auto"/>
              </w:rPr>
            </w:pPr>
            <w:r>
              <w:rPr>
                <w:rFonts w:ascii="Times New Roman" w:cs="Times New Roman" w:eastAsia="Times New Roman" w:hAnsi="Times New Roman"/>
                <w:sz w:val="7"/>
                <w:szCs w:val="7"/>
                <w:color w:val="auto"/>
                <w:w w:val="97"/>
              </w:rPr>
              <w:t>(1)</w:t>
            </w: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November 12, 2018</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9"/>
                <w:szCs w:val="9"/>
                <w:color w:val="auto"/>
              </w:rPr>
              <w:t>January 15, 2019 for Common Stock</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3,333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3,672</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6,730</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3,969</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2,625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208,415</w:t>
            </w:r>
          </w:p>
        </w:tc>
        <w:tc>
          <w:tcPr>
            <w:tcW w:w="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74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360" w:type="dxa"/>
            <w:vAlign w:val="bottom"/>
            <w:tcBorders>
              <w:top w:val="single" w:sz="8" w:color="CCEEFF"/>
              <w:bottom w:val="single" w:sz="8" w:color="CCEEFF"/>
            </w:tcBorders>
            <w:shd w:val="clear" w:color="auto" w:fill="CCEEFF"/>
          </w:tcPr>
          <w:p>
            <w:pPr>
              <w:spacing w:after="0"/>
              <w:rPr>
                <w:sz w:val="9"/>
                <w:szCs w:val="9"/>
                <w:color w:val="auto"/>
              </w:rPr>
            </w:pPr>
          </w:p>
        </w:tc>
        <w:tc>
          <w:tcPr>
            <w:tcW w:w="108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13,332</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14,688</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26,920</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15,876</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10,500</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832,667</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760" w:type="dxa"/>
            <w:vAlign w:val="bottom"/>
            <w:gridSpan w:val="2"/>
          </w:tcPr>
          <w:p>
            <w:pPr>
              <w:spacing w:after="0" w:line="84" w:lineRule="exact"/>
              <w:rPr>
                <w:sz w:val="20"/>
                <w:szCs w:val="20"/>
                <w:color w:val="auto"/>
              </w:rPr>
            </w:pPr>
            <w:r>
              <w:rPr>
                <w:rFonts w:ascii="Times New Roman" w:cs="Times New Roman" w:eastAsia="Times New Roman" w:hAnsi="Times New Roman"/>
                <w:sz w:val="9"/>
                <w:szCs w:val="9"/>
                <w:color w:val="auto"/>
              </w:rPr>
              <w:t>February 21, 2019</w:t>
            </w:r>
          </w:p>
        </w:tc>
        <w:tc>
          <w:tcPr>
            <w:tcW w:w="1560" w:type="dxa"/>
            <w:vAlign w:val="bottom"/>
            <w:gridSpan w:val="3"/>
          </w:tcPr>
          <w:p>
            <w:pPr>
              <w:ind w:left="120"/>
              <w:spacing w:after="0" w:line="84" w:lineRule="exact"/>
              <w:rPr>
                <w:sz w:val="20"/>
                <w:szCs w:val="20"/>
                <w:color w:val="auto"/>
              </w:rPr>
            </w:pPr>
            <w:r>
              <w:rPr>
                <w:rFonts w:ascii="Times New Roman" w:cs="Times New Roman" w:eastAsia="Times New Roman" w:hAnsi="Times New Roman"/>
                <w:sz w:val="9"/>
                <w:szCs w:val="9"/>
                <w:color w:val="auto"/>
              </w:rPr>
              <w:t>March 29, 2019</w:t>
            </w:r>
          </w:p>
        </w:tc>
        <w:tc>
          <w:tcPr>
            <w:tcW w:w="120" w:type="dxa"/>
            <w:vAlign w:val="bottom"/>
          </w:tcPr>
          <w:p>
            <w:pPr>
              <w:spacing w:after="0"/>
              <w:rPr>
                <w:sz w:val="7"/>
                <w:szCs w:val="7"/>
                <w:color w:val="auto"/>
              </w:rPr>
            </w:pPr>
          </w:p>
        </w:tc>
        <w:tc>
          <w:tcPr>
            <w:tcW w:w="6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tcPr>
          <w:p>
            <w:pPr>
              <w:spacing w:after="0"/>
              <w:rPr>
                <w:sz w:val="7"/>
                <w:szCs w:val="7"/>
                <w:color w:val="auto"/>
              </w:rPr>
            </w:pPr>
          </w:p>
        </w:tc>
        <w:tc>
          <w:tcPr>
            <w:tcW w:w="8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3,672</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6,730</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224,802</w:t>
            </w:r>
          </w:p>
        </w:tc>
        <w:tc>
          <w:tcPr>
            <w:tcW w:w="20" w:type="dxa"/>
            <w:vAlign w:val="bottom"/>
          </w:tcPr>
          <w:p>
            <w:pPr>
              <w:spacing w:after="0"/>
              <w:rPr>
                <w:sz w:val="7"/>
                <w:szCs w:val="7"/>
                <w:color w:val="auto"/>
              </w:rPr>
            </w:pPr>
          </w:p>
        </w:tc>
        <w:tc>
          <w:tcPr>
            <w:tcW w:w="140" w:type="dxa"/>
            <w:vAlign w:val="bottom"/>
          </w:tcPr>
          <w:p>
            <w:pPr>
              <w:jc w:val="right"/>
              <w:ind w:right="27"/>
              <w:spacing w:after="0" w:line="66" w:lineRule="exact"/>
              <w:rPr>
                <w:sz w:val="20"/>
                <w:szCs w:val="20"/>
                <w:color w:val="auto"/>
              </w:rPr>
            </w:pPr>
            <w:r>
              <w:rPr>
                <w:rFonts w:ascii="Times New Roman" w:cs="Times New Roman" w:eastAsia="Times New Roman" w:hAnsi="Times New Roman"/>
                <w:sz w:val="7"/>
                <w:szCs w:val="7"/>
                <w:color w:val="auto"/>
                <w:w w:val="72"/>
              </w:rPr>
              <w:t>(4)</w:t>
            </w:r>
          </w:p>
        </w:tc>
        <w:tc>
          <w:tcPr>
            <w:tcW w:w="0" w:type="dxa"/>
            <w:vAlign w:val="bottom"/>
          </w:tcPr>
          <w:p>
            <w:pPr>
              <w:spacing w:after="0"/>
              <w:rPr>
                <w:sz w:val="1"/>
                <w:szCs w:val="1"/>
                <w:color w:val="auto"/>
              </w:rPr>
            </w:pPr>
          </w:p>
        </w:tc>
      </w:tr>
      <w:tr>
        <w:trPr>
          <w:trHeight w:val="95"/>
        </w:trPr>
        <w:tc>
          <w:tcPr>
            <w:tcW w:w="176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May 13, 2019</w:t>
            </w:r>
          </w:p>
        </w:tc>
        <w:tc>
          <w:tcPr>
            <w:tcW w:w="1560" w:type="dxa"/>
            <w:vAlign w:val="bottom"/>
            <w:gridSpan w:val="3"/>
            <w:shd w:val="clear" w:color="auto" w:fill="CCEEFF"/>
          </w:tcPr>
          <w:p>
            <w:pPr>
              <w:ind w:left="120"/>
              <w:spacing w:after="0" w:line="95" w:lineRule="exact"/>
              <w:rPr>
                <w:sz w:val="20"/>
                <w:szCs w:val="20"/>
                <w:color w:val="auto"/>
              </w:rPr>
            </w:pPr>
            <w:r>
              <w:rPr>
                <w:rFonts w:ascii="Times New Roman" w:cs="Times New Roman" w:eastAsia="Times New Roman" w:hAnsi="Times New Roman"/>
                <w:sz w:val="9"/>
                <w:szCs w:val="9"/>
                <w:color w:val="auto"/>
              </w:rPr>
              <w:t>June 28, 2019</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3,672</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60"/>
              <w:spacing w:after="0" w:line="95"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6"/>
                <w:szCs w:val="6"/>
                <w:color w:val="auto"/>
              </w:rPr>
              <w:t>(2)</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3,686</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w w:val="97"/>
              </w:rPr>
              <w:t>(3)</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224,895</w:t>
            </w:r>
          </w:p>
        </w:tc>
        <w:tc>
          <w:tcPr>
            <w:tcW w:w="16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7"/>
                <w:szCs w:val="7"/>
                <w:color w:val="auto"/>
                <w:w w:val="97"/>
              </w:rPr>
              <w:t>(4)</w:t>
            </w:r>
          </w:p>
        </w:tc>
        <w:tc>
          <w:tcPr>
            <w:tcW w:w="0" w:type="dxa"/>
            <w:vAlign w:val="bottom"/>
          </w:tcPr>
          <w:p>
            <w:pPr>
              <w:spacing w:after="0"/>
              <w:rPr>
                <w:sz w:val="1"/>
                <w:szCs w:val="1"/>
                <w:color w:val="auto"/>
              </w:rPr>
            </w:pPr>
          </w:p>
        </w:tc>
      </w:tr>
      <w:tr>
        <w:trPr>
          <w:trHeight w:val="95"/>
        </w:trPr>
        <w:tc>
          <w:tcPr>
            <w:tcW w:w="176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August 13, 2019</w:t>
            </w:r>
          </w:p>
        </w:tc>
        <w:tc>
          <w:tcPr>
            <w:tcW w:w="1560" w:type="dxa"/>
            <w:vAlign w:val="bottom"/>
            <w:gridSpan w:val="3"/>
          </w:tcPr>
          <w:p>
            <w:pPr>
              <w:ind w:left="120"/>
              <w:spacing w:after="0" w:line="95" w:lineRule="exact"/>
              <w:rPr>
                <w:sz w:val="20"/>
                <w:szCs w:val="20"/>
                <w:color w:val="auto"/>
              </w:rPr>
            </w:pPr>
            <w:r>
              <w:rPr>
                <w:rFonts w:ascii="Times New Roman" w:cs="Times New Roman" w:eastAsia="Times New Roman" w:hAnsi="Times New Roman"/>
                <w:sz w:val="9"/>
                <w:szCs w:val="9"/>
                <w:color w:val="auto"/>
              </w:rPr>
              <w:t>September 30, 2019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3,672</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3,071</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225,188</w:t>
            </w:r>
          </w:p>
        </w:tc>
        <w:tc>
          <w:tcPr>
            <w:tcW w:w="160" w:type="dxa"/>
            <w:vAlign w:val="bottom"/>
            <w:gridSpan w:val="2"/>
          </w:tcPr>
          <w:p>
            <w:pPr>
              <w:jc w:val="right"/>
              <w:ind w:right="27"/>
              <w:spacing w:after="0"/>
              <w:rPr>
                <w:sz w:val="20"/>
                <w:szCs w:val="20"/>
                <w:color w:val="auto"/>
              </w:rPr>
            </w:pPr>
            <w:r>
              <w:rPr>
                <w:rFonts w:ascii="Times New Roman" w:cs="Times New Roman" w:eastAsia="Times New Roman" w:hAnsi="Times New Roman"/>
                <w:sz w:val="7"/>
                <w:szCs w:val="7"/>
                <w:color w:val="auto"/>
                <w:w w:val="97"/>
              </w:rPr>
              <w:t>(4)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1560" w:type="dxa"/>
            <w:vAlign w:val="bottom"/>
            <w:gridSpan w:val="3"/>
            <w:shd w:val="clear" w:color="auto" w:fill="CCEEFF"/>
          </w:tcPr>
          <w:p>
            <w:pPr>
              <w:ind w:left="120"/>
              <w:spacing w:after="0" w:line="82" w:lineRule="exact"/>
              <w:rPr>
                <w:sz w:val="20"/>
                <w:szCs w:val="20"/>
                <w:color w:val="auto"/>
              </w:rPr>
            </w:pPr>
            <w:r>
              <w:rPr>
                <w:rFonts w:ascii="Times New Roman" w:cs="Times New Roman" w:eastAsia="Times New Roman" w:hAnsi="Times New Roman"/>
                <w:sz w:val="9"/>
                <w:szCs w:val="9"/>
                <w:color w:val="auto"/>
                <w:w w:val="98"/>
              </w:rPr>
              <w:t>December 31, 2019 for Preferred Stock;</w:t>
            </w: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gridSpan w:val="2"/>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7"/>
                <w:szCs w:val="7"/>
                <w:color w:val="auto"/>
                <w:w w:val="97"/>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November 19, 2019</w:t>
            </w:r>
          </w:p>
        </w:tc>
        <w:tc>
          <w:tcPr>
            <w:tcW w:w="1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January 15, 2020 for Common Stock</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3,333</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3,672</w:t>
            </w: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3,969</w:t>
            </w: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2,625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3,071</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4,036</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w w:val="97"/>
              </w:rPr>
              <w:t>(5)</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225,488</w:t>
            </w:r>
          </w:p>
        </w:tc>
        <w:tc>
          <w:tcPr>
            <w:tcW w:w="1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gridSpan w:val="2"/>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13,332</w:t>
            </w:r>
          </w:p>
        </w:tc>
        <w:tc>
          <w:tcPr>
            <w:tcW w:w="120" w:type="dxa"/>
            <w:vAlign w:val="bottom"/>
          </w:tcPr>
          <w:p>
            <w:pPr>
              <w:spacing w:after="0"/>
              <w:rPr>
                <w:sz w:val="8"/>
                <w:szCs w:val="8"/>
                <w:color w:val="auto"/>
              </w:rPr>
            </w:pPr>
          </w:p>
        </w:tc>
        <w:tc>
          <w:tcPr>
            <w:tcW w:w="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14,688</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6,730</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15,876</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10,500</w:t>
            </w:r>
          </w:p>
        </w:tc>
        <w:tc>
          <w:tcPr>
            <w:tcW w:w="12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9,828</w:t>
            </w:r>
          </w:p>
        </w:tc>
        <w:tc>
          <w:tcPr>
            <w:tcW w:w="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4,036</w:t>
            </w: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900,373</w:t>
            </w:r>
          </w:p>
        </w:tc>
        <w:tc>
          <w:tcPr>
            <w:tcW w:w="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17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February 26, 2020</w:t>
            </w:r>
          </w:p>
        </w:tc>
        <w:tc>
          <w:tcPr>
            <w:tcW w:w="1560" w:type="dxa"/>
            <w:vAlign w:val="bottom"/>
            <w:gridSpan w:val="3"/>
          </w:tcPr>
          <w:p>
            <w:pPr>
              <w:ind w:left="120"/>
              <w:spacing w:after="0" w:line="95" w:lineRule="exact"/>
              <w:rPr>
                <w:sz w:val="20"/>
                <w:szCs w:val="20"/>
                <w:color w:val="auto"/>
              </w:rPr>
            </w:pPr>
            <w:r>
              <w:rPr>
                <w:rFonts w:ascii="Times New Roman" w:cs="Times New Roman" w:eastAsia="Times New Roman" w:hAnsi="Times New Roman"/>
                <w:sz w:val="9"/>
                <w:szCs w:val="9"/>
                <w:color w:val="auto"/>
              </w:rPr>
              <w:t>March 31, 2020</w:t>
            </w:r>
          </w:p>
        </w:tc>
        <w:tc>
          <w:tcPr>
            <w:tcW w:w="1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3,333</w:t>
            </w:r>
          </w:p>
        </w:tc>
        <w:tc>
          <w:tcPr>
            <w:tcW w:w="200" w:type="dxa"/>
            <w:vAlign w:val="bottom"/>
            <w:gridSpan w:val="2"/>
          </w:tcPr>
          <w:p>
            <w:pPr>
              <w:jc w:val="right"/>
              <w:ind w:right="18"/>
              <w:spacing w:after="0" w:line="95"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3,672</w:t>
            </w:r>
          </w:p>
        </w:tc>
        <w:tc>
          <w:tcPr>
            <w:tcW w:w="100" w:type="dxa"/>
            <w:vAlign w:val="bottom"/>
          </w:tcPr>
          <w:p>
            <w:pPr>
              <w:spacing w:after="0"/>
              <w:rPr>
                <w:sz w:val="8"/>
                <w:szCs w:val="8"/>
                <w:color w:val="auto"/>
              </w:rPr>
            </w:pPr>
          </w:p>
        </w:tc>
        <w:tc>
          <w:tcPr>
            <w:tcW w:w="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58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tcPr>
          <w:p>
            <w:pPr>
              <w:spacing w:after="0"/>
              <w:rPr>
                <w:sz w:val="8"/>
                <w:szCs w:val="8"/>
                <w:color w:val="auto"/>
              </w:rPr>
            </w:pPr>
          </w:p>
        </w:tc>
        <w:tc>
          <w:tcPr>
            <w:tcW w:w="100" w:type="dxa"/>
            <w:vAlign w:val="bottom"/>
            <w:gridSpan w:val="2"/>
          </w:tcPr>
          <w:p>
            <w:pPr>
              <w:jc w:val="right"/>
              <w:ind w:right="18"/>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2,625</w:t>
            </w:r>
          </w:p>
        </w:tc>
        <w:tc>
          <w:tcPr>
            <w:tcW w:w="1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3,071</w:t>
            </w:r>
          </w:p>
        </w:tc>
        <w:tc>
          <w:tcPr>
            <w:tcW w:w="220" w:type="dxa"/>
            <w:vAlign w:val="bottom"/>
            <w:gridSpan w:val="3"/>
          </w:tcPr>
          <w:p>
            <w:pPr>
              <w:jc w:val="right"/>
              <w:ind w:right="18"/>
              <w:spacing w:after="0" w:line="95"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4,485</w:t>
            </w:r>
          </w:p>
        </w:tc>
        <w:tc>
          <w:tcPr>
            <w:tcW w:w="220" w:type="dxa"/>
            <w:vAlign w:val="bottom"/>
            <w:gridSpan w:val="3"/>
          </w:tcPr>
          <w:p>
            <w:pPr>
              <w:jc w:val="right"/>
              <w:ind w:right="38"/>
              <w:spacing w:after="0" w:line="95"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295,630</w:t>
            </w:r>
          </w:p>
        </w:tc>
        <w:tc>
          <w:tcPr>
            <w:tcW w:w="160" w:type="dxa"/>
            <w:vAlign w:val="bottom"/>
            <w:gridSpan w:val="2"/>
          </w:tcPr>
          <w:p>
            <w:pPr>
              <w:jc w:val="right"/>
              <w:ind w:right="27"/>
              <w:spacing w:after="0"/>
              <w:rPr>
                <w:sz w:val="20"/>
                <w:szCs w:val="20"/>
                <w:color w:val="auto"/>
              </w:rPr>
            </w:pPr>
            <w:r>
              <w:rPr>
                <w:rFonts w:ascii="Times New Roman" w:cs="Times New Roman" w:eastAsia="Times New Roman" w:hAnsi="Times New Roman"/>
                <w:sz w:val="7"/>
                <w:szCs w:val="7"/>
                <w:color w:val="auto"/>
                <w:w w:val="97"/>
              </w:rPr>
              <w:t>(8)</w:t>
            </w:r>
          </w:p>
        </w:tc>
        <w:tc>
          <w:tcPr>
            <w:tcW w:w="0" w:type="dxa"/>
            <w:vAlign w:val="bottom"/>
          </w:tcPr>
          <w:p>
            <w:pPr>
              <w:spacing w:after="0"/>
              <w:rPr>
                <w:sz w:val="1"/>
                <w:szCs w:val="1"/>
                <w:color w:val="auto"/>
              </w:rPr>
            </w:pPr>
          </w:p>
        </w:tc>
      </w:tr>
      <w:tr>
        <w:trPr>
          <w:trHeight w:val="95"/>
        </w:trPr>
        <w:tc>
          <w:tcPr>
            <w:tcW w:w="176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May 12, 2020</w:t>
            </w:r>
          </w:p>
        </w:tc>
        <w:tc>
          <w:tcPr>
            <w:tcW w:w="1560" w:type="dxa"/>
            <w:vAlign w:val="bottom"/>
            <w:gridSpan w:val="3"/>
            <w:shd w:val="clear" w:color="auto" w:fill="CCEEFF"/>
          </w:tcPr>
          <w:p>
            <w:pPr>
              <w:ind w:left="120"/>
              <w:spacing w:after="0" w:line="95" w:lineRule="exact"/>
              <w:rPr>
                <w:sz w:val="20"/>
                <w:szCs w:val="20"/>
                <w:color w:val="auto"/>
              </w:rPr>
            </w:pPr>
            <w:r>
              <w:rPr>
                <w:rFonts w:ascii="Times New Roman" w:cs="Times New Roman" w:eastAsia="Times New Roman" w:hAnsi="Times New Roman"/>
                <w:sz w:val="9"/>
                <w:szCs w:val="9"/>
                <w:color w:val="auto"/>
              </w:rPr>
              <w:t>June 30, 2020</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3,672</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3,071</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4,485</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301,005</w:t>
            </w:r>
          </w:p>
        </w:tc>
        <w:tc>
          <w:tcPr>
            <w:tcW w:w="16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7"/>
                <w:szCs w:val="7"/>
                <w:color w:val="auto"/>
                <w:w w:val="97"/>
              </w:rPr>
              <w:t>(8)</w:t>
            </w:r>
          </w:p>
        </w:tc>
        <w:tc>
          <w:tcPr>
            <w:tcW w:w="0" w:type="dxa"/>
            <w:vAlign w:val="bottom"/>
          </w:tcPr>
          <w:p>
            <w:pPr>
              <w:spacing w:after="0"/>
              <w:rPr>
                <w:sz w:val="1"/>
                <w:szCs w:val="1"/>
                <w:color w:val="auto"/>
              </w:rPr>
            </w:pPr>
          </w:p>
        </w:tc>
      </w:tr>
      <w:tr>
        <w:trPr>
          <w:trHeight w:val="95"/>
        </w:trPr>
        <w:tc>
          <w:tcPr>
            <w:tcW w:w="176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August 11, 2020</w:t>
            </w:r>
          </w:p>
        </w:tc>
        <w:tc>
          <w:tcPr>
            <w:tcW w:w="1560" w:type="dxa"/>
            <w:vAlign w:val="bottom"/>
            <w:gridSpan w:val="3"/>
          </w:tcPr>
          <w:p>
            <w:pPr>
              <w:ind w:left="120"/>
              <w:spacing w:after="0" w:line="95" w:lineRule="exact"/>
              <w:rPr>
                <w:sz w:val="20"/>
                <w:szCs w:val="20"/>
                <w:color w:val="auto"/>
              </w:rPr>
            </w:pPr>
            <w:r>
              <w:rPr>
                <w:rFonts w:ascii="Times New Roman" w:cs="Times New Roman" w:eastAsia="Times New Roman" w:hAnsi="Times New Roman"/>
                <w:sz w:val="9"/>
                <w:szCs w:val="9"/>
                <w:color w:val="auto"/>
              </w:rPr>
              <w:t>September 30, 2020</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3,672</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ind w:left="360"/>
              <w:spacing w:after="0" w:line="95"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6"/>
                <w:szCs w:val="6"/>
                <w:color w:val="auto"/>
              </w:rPr>
              <w:t>(7)</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3,071</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4,485</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303,006</w:t>
            </w:r>
          </w:p>
        </w:tc>
        <w:tc>
          <w:tcPr>
            <w:tcW w:w="160" w:type="dxa"/>
            <w:vAlign w:val="bottom"/>
            <w:gridSpan w:val="2"/>
          </w:tcPr>
          <w:p>
            <w:pPr>
              <w:jc w:val="right"/>
              <w:ind w:right="27"/>
              <w:spacing w:after="0"/>
              <w:rPr>
                <w:sz w:val="20"/>
                <w:szCs w:val="20"/>
                <w:color w:val="auto"/>
              </w:rPr>
            </w:pPr>
            <w:r>
              <w:rPr>
                <w:rFonts w:ascii="Times New Roman" w:cs="Times New Roman" w:eastAsia="Times New Roman" w:hAnsi="Times New Roman"/>
                <w:sz w:val="7"/>
                <w:szCs w:val="7"/>
                <w:color w:val="auto"/>
                <w:w w:val="97"/>
              </w:rPr>
              <w:t>(8)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1560" w:type="dxa"/>
            <w:vAlign w:val="bottom"/>
            <w:gridSpan w:val="3"/>
            <w:shd w:val="clear" w:color="auto" w:fill="CCEEFF"/>
          </w:tcPr>
          <w:p>
            <w:pPr>
              <w:ind w:left="120"/>
              <w:spacing w:after="0" w:line="82" w:lineRule="exact"/>
              <w:rPr>
                <w:sz w:val="20"/>
                <w:szCs w:val="20"/>
                <w:color w:val="auto"/>
              </w:rPr>
            </w:pPr>
            <w:r>
              <w:rPr>
                <w:rFonts w:ascii="Times New Roman" w:cs="Times New Roman" w:eastAsia="Times New Roman" w:hAnsi="Times New Roman"/>
                <w:sz w:val="9"/>
                <w:szCs w:val="9"/>
                <w:color w:val="auto"/>
                <w:w w:val="98"/>
              </w:rPr>
              <w:t>December 31, 2020 for Preferred Stock;</w:t>
            </w: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gridSpan w:val="2"/>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7"/>
                <w:szCs w:val="7"/>
                <w:color w:val="auto"/>
                <w:w w:val="97"/>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November 10, 2020</w:t>
            </w:r>
          </w:p>
        </w:tc>
        <w:tc>
          <w:tcPr>
            <w:tcW w:w="1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January 15, 2021 for Common Stock</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3,333</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6"/>
                <w:szCs w:val="6"/>
                <w:color w:val="auto"/>
              </w:rPr>
              <w:t>(6)</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2,625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3,071</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4,485</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314,280</w:t>
            </w:r>
          </w:p>
        </w:tc>
        <w:tc>
          <w:tcPr>
            <w:tcW w:w="1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74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10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13,332</w:t>
            </w:r>
          </w:p>
        </w:tc>
        <w:tc>
          <w:tcPr>
            <w:tcW w:w="1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11,016</w:t>
            </w:r>
          </w:p>
        </w:tc>
        <w:tc>
          <w:tcPr>
            <w:tcW w:w="1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7,938</w:t>
            </w:r>
          </w:p>
        </w:tc>
        <w:tc>
          <w:tcPr>
            <w:tcW w:w="1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10,500</w:t>
            </w:r>
          </w:p>
        </w:tc>
        <w:tc>
          <w:tcPr>
            <w:tcW w:w="12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12,284</w:t>
            </w:r>
          </w:p>
        </w:tc>
        <w:tc>
          <w:tcPr>
            <w:tcW w:w="20" w:type="dxa"/>
            <w:vAlign w:val="bottom"/>
            <w:tcBorders>
              <w:top w:val="single" w:sz="8" w:color="auto"/>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17,940</w:t>
            </w:r>
          </w:p>
        </w:tc>
        <w:tc>
          <w:tcPr>
            <w:tcW w:w="2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1,213,921</w:t>
            </w:r>
          </w:p>
        </w:tc>
        <w:tc>
          <w:tcPr>
            <w:tcW w:w="20" w:type="dxa"/>
            <w:vAlign w:val="bottom"/>
            <w:tcBorders>
              <w:top w:val="single" w:sz="8" w:color="auto"/>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Annual rate of dividend per share</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1.65625</w:t>
            </w:r>
          </w:p>
        </w:tc>
        <w:tc>
          <w:tcPr>
            <w:tcW w:w="2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1.46875</w:t>
            </w:r>
          </w:p>
        </w:tc>
        <w:tc>
          <w:tcPr>
            <w:tcW w:w="10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1.84375</w:t>
            </w:r>
          </w:p>
        </w:tc>
        <w:tc>
          <w:tcPr>
            <w:tcW w:w="10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1.58750</w:t>
            </w:r>
          </w:p>
        </w:tc>
        <w:tc>
          <w:tcPr>
            <w:tcW w:w="10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1.31250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1.46250</w:t>
            </w:r>
          </w:p>
        </w:tc>
        <w:tc>
          <w:tcPr>
            <w:tcW w:w="2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1.30000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740" w:type="dxa"/>
            <w:vAlign w:val="bottom"/>
            <w:tcBorders>
              <w:top w:val="single" w:sz="8" w:color="CCEEFF"/>
              <w:bottom w:val="single" w:sz="8" w:color="auto"/>
            </w:tcBorders>
          </w:tcPr>
          <w:p>
            <w:pPr>
              <w:spacing w:after="0"/>
              <w:rPr>
                <w:sz w:val="6"/>
                <w:szCs w:val="6"/>
                <w:color w:val="auto"/>
              </w:rPr>
            </w:pPr>
          </w:p>
        </w:tc>
        <w:tc>
          <w:tcPr>
            <w:tcW w:w="120" w:type="dxa"/>
            <w:vAlign w:val="bottom"/>
            <w:tcBorders>
              <w:top w:val="single" w:sz="8" w:color="CCEEFF"/>
              <w:bottom w:val="single" w:sz="8" w:color="auto"/>
            </w:tcBorders>
          </w:tcPr>
          <w:p>
            <w:pPr>
              <w:spacing w:after="0"/>
              <w:rPr>
                <w:sz w:val="6"/>
                <w:szCs w:val="6"/>
                <w:color w:val="auto"/>
              </w:rPr>
            </w:pPr>
          </w:p>
        </w:tc>
        <w:tc>
          <w:tcPr>
            <w:tcW w:w="360" w:type="dxa"/>
            <w:vAlign w:val="bottom"/>
            <w:tcBorders>
              <w:top w:val="single" w:sz="8" w:color="CCEEFF"/>
              <w:bottom w:val="single" w:sz="8" w:color="auto"/>
            </w:tcBorders>
          </w:tcPr>
          <w:p>
            <w:pPr>
              <w:spacing w:after="0"/>
              <w:rPr>
                <w:sz w:val="6"/>
                <w:szCs w:val="6"/>
                <w:color w:val="auto"/>
              </w:rPr>
            </w:pPr>
          </w:p>
        </w:tc>
        <w:tc>
          <w:tcPr>
            <w:tcW w:w="1080" w:type="dxa"/>
            <w:vAlign w:val="bottom"/>
            <w:tcBorders>
              <w:top w:val="single" w:sz="8" w:color="CCEEFF"/>
            </w:tcBorders>
          </w:tcPr>
          <w:p>
            <w:pPr>
              <w:spacing w:after="0"/>
              <w:rPr>
                <w:sz w:val="6"/>
                <w:szCs w:val="6"/>
                <w:color w:val="auto"/>
              </w:rPr>
            </w:pPr>
          </w:p>
        </w:tc>
        <w:tc>
          <w:tcPr>
            <w:tcW w:w="120" w:type="dxa"/>
            <w:vAlign w:val="bottom"/>
            <w:tcBorders>
              <w:top w:val="single" w:sz="8" w:color="CCEEFF"/>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2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Borders>
              <w:top w:val="single" w:sz="8" w:color="CCEEFF"/>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2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5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40" w:type="dxa"/>
            <w:vAlign w:val="bottom"/>
            <w:tcBorders>
              <w:top w:val="single" w:sz="8" w:color="CCEEF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hanging="235"/>
        <w:spacing w:after="0"/>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$4.040 annual rate of dividend per share.</w:t>
      </w:r>
    </w:p>
    <w:p>
      <w:pPr>
        <w:spacing w:after="0" w:line="15" w:lineRule="exact"/>
        <w:rPr>
          <w:rFonts w:ascii="Times New Roman" w:cs="Times New Roman" w:eastAsia="Times New Roman" w:hAnsi="Times New Roman"/>
          <w:sz w:val="13"/>
          <w:szCs w:val="13"/>
          <w:color w:val="auto"/>
        </w:rPr>
      </w:pPr>
    </w:p>
    <w:p>
      <w:pPr>
        <w:ind w:left="260" w:right="99" w:hanging="235"/>
        <w:spacing w:after="0" w:line="243" w:lineRule="auto"/>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Redeemed on April 1, 2019 for $25.00 per share, or a redemption price of $25.00 per share, plus accrued and unpaid dividends up to but not including the redemption date. In connection with the redemption, the previously incurred offering costs of approximately $11.8 million were recorded as a reduction to net income available to common stockholders.</w:t>
      </w:r>
    </w:p>
    <w:p>
      <w:pPr>
        <w:spacing w:after="0" w:line="1"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 pro rata dividend from and including the original issue date to and including June 30, 2019.</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$4.320 annual rate of dividend per share.</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 pro rata dividend from and including the original issue date to and including December 31, 2019.</w:t>
      </w:r>
    </w:p>
    <w:p>
      <w:pPr>
        <w:spacing w:after="0" w:line="2" w:lineRule="exact"/>
        <w:rPr>
          <w:rFonts w:ascii="Times New Roman" w:cs="Times New Roman" w:eastAsia="Times New Roman" w:hAnsi="Times New Roman"/>
          <w:sz w:val="13"/>
          <w:szCs w:val="13"/>
          <w:color w:val="auto"/>
        </w:rPr>
      </w:pPr>
    </w:p>
    <w:p>
      <w:pPr>
        <w:ind w:left="260" w:right="419" w:hanging="235"/>
        <w:spacing w:after="0" w:line="243" w:lineRule="auto"/>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Redeemed on October 15, 2020 for $25.057118 per share, or a redemption price of $25.00 per share, plus accrued and unpaid dividends up to but not including the redemption date. In connection with the redemption, the previously incurred offering costs of approximately $8.2 million were recorded as a reduction to net income available to common stockholders.</w:t>
      </w:r>
    </w:p>
    <w:p>
      <w:pPr>
        <w:spacing w:after="0" w:line="1" w:lineRule="exact"/>
        <w:rPr>
          <w:rFonts w:ascii="Times New Roman" w:cs="Times New Roman" w:eastAsia="Times New Roman" w:hAnsi="Times New Roman"/>
          <w:sz w:val="13"/>
          <w:szCs w:val="13"/>
          <w:color w:val="auto"/>
        </w:rPr>
      </w:pPr>
    </w:p>
    <w:p>
      <w:pPr>
        <w:ind w:left="260" w:right="419" w:hanging="235"/>
        <w:spacing w:after="0" w:line="243" w:lineRule="auto"/>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Redeemed on September 8, 2020 for $25.29545 per share, or a redemption price of $25.00 per share, plus accrued and unpaid dividends up to but not including the redemption date. In connection with the redemption, the previously incurred offering costs of approximately $8.0 million were recorded as a reduction to net income available to common stockholders.</w:t>
      </w:r>
    </w:p>
    <w:p>
      <w:pPr>
        <w:spacing w:after="0" w:line="1"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$4.480 annual rate of dividend per share.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72" w:name="page173"/>
    <w:bookmarkEnd w:id="17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119" w:firstLine="228"/>
        <w:spacing w:after="0" w:line="249" w:lineRule="auto"/>
        <w:rPr>
          <w:sz w:val="20"/>
          <w:szCs w:val="20"/>
          <w:color w:val="auto"/>
        </w:rPr>
      </w:pPr>
      <w:r>
        <w:rPr>
          <w:rFonts w:ascii="Times New Roman" w:cs="Times New Roman" w:eastAsia="Times New Roman" w:hAnsi="Times New Roman"/>
          <w:sz w:val="13"/>
          <w:szCs w:val="13"/>
          <w:color w:val="auto"/>
        </w:rPr>
        <w:t>Distributions out of Digital Realty Trust, Inc.’s current or accumulated earnings and profits are generally classified as dividends whereas distributions in excess of its current and accumulated earnings and profits, to the extent of a stockholder’s U.S. federal income tax basis in Digital Realty Trust, Inc.’s stock, are generally classified as a return of capital. Distributions in excess of a stockholder’s U.S. federal income tax basis in Digital Realty Trust, Inc.’s stock are generally characterized as capital gain. Cash provided by operating activities has generally been sufficient to fund all distributions, however, in the future we may also need to utilize borrowings under the global revolving credit facility to fund all or a portion of distributions.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(f) Accumulated Other Comprehensive Income (Loss), Net</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accumulated balances for each item within other comprehensive income (loss), net are as follows (in thousands):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Cash flow</w:t>
            </w:r>
          </w:p>
        </w:tc>
        <w:tc>
          <w:tcPr>
            <w:tcW w:w="140" w:type="dxa"/>
            <w:vAlign w:val="bottom"/>
          </w:tcPr>
          <w:p>
            <w:pPr>
              <w:spacing w:after="0"/>
              <w:rPr>
                <w:sz w:val="12"/>
                <w:szCs w:val="12"/>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Foreign currency net</w:t>
            </w:r>
          </w:p>
        </w:tc>
        <w:tc>
          <w:tcPr>
            <w:tcW w:w="140" w:type="dxa"/>
            <w:vAlign w:val="bottom"/>
          </w:tcPr>
          <w:p>
            <w:pPr>
              <w:spacing w:after="0"/>
              <w:rPr>
                <w:sz w:val="12"/>
                <w:szCs w:val="12"/>
                <w:color w:val="auto"/>
              </w:rPr>
            </w:pPr>
          </w:p>
        </w:tc>
        <w:tc>
          <w:tcPr>
            <w:tcW w:w="124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Accumulated other</w:t>
            </w:r>
          </w:p>
        </w:tc>
      </w:tr>
      <w:tr>
        <w:trPr>
          <w:trHeight w:val="142"/>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translation</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hedge</w:t>
            </w:r>
          </w:p>
        </w:tc>
        <w:tc>
          <w:tcPr>
            <w:tcW w:w="140" w:type="dxa"/>
            <w:vAlign w:val="bottom"/>
          </w:tcPr>
          <w:p>
            <w:pPr>
              <w:spacing w:after="0"/>
              <w:rPr>
                <w:sz w:val="12"/>
                <w:szCs w:val="12"/>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investment hedge</w:t>
            </w:r>
          </w:p>
        </w:tc>
        <w:tc>
          <w:tcPr>
            <w:tcW w:w="140" w:type="dxa"/>
            <w:vAlign w:val="bottom"/>
          </w:tcPr>
          <w:p>
            <w:pPr>
              <w:spacing w:after="0"/>
              <w:rPr>
                <w:sz w:val="12"/>
                <w:szCs w:val="12"/>
                <w:color w:val="auto"/>
              </w:rPr>
            </w:pPr>
          </w:p>
        </w:tc>
        <w:tc>
          <w:tcPr>
            <w:tcW w:w="124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comprehensive</w:t>
            </w:r>
          </w:p>
        </w:tc>
      </w:tr>
      <w:tr>
        <w:trPr>
          <w:trHeight w:val="151"/>
        </w:trPr>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40" w:type="dxa"/>
            <w:vAlign w:val="bottom"/>
          </w:tcPr>
          <w:p>
            <w:pPr>
              <w:spacing w:after="0"/>
              <w:rPr>
                <w:sz w:val="13"/>
                <w:szCs w:val="13"/>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40" w:type="dxa"/>
            <w:vAlign w:val="bottom"/>
          </w:tcPr>
          <w:p>
            <w:pPr>
              <w:spacing w:after="0"/>
              <w:rPr>
                <w:sz w:val="13"/>
                <w:szCs w:val="13"/>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income (loss), net</w:t>
            </w:r>
          </w:p>
        </w:tc>
      </w:tr>
      <w:tr>
        <w:trPr>
          <w:trHeight w:val="134"/>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2018</w:t>
            </w: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(158,649)</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17,264</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25,738</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(115,647)</w:t>
            </w:r>
          </w:p>
        </w:tc>
      </w:tr>
      <w:tr>
        <w:trPr>
          <w:trHeight w:val="142"/>
        </w:trPr>
        <w:tc>
          <w:tcPr>
            <w:tcW w:w="3460" w:type="dxa"/>
            <w:vAlign w:val="bottom"/>
          </w:tcPr>
          <w:p>
            <w:pPr>
              <w:spacing w:after="0"/>
              <w:rPr>
                <w:sz w:val="20"/>
                <w:szCs w:val="20"/>
                <w:color w:val="auto"/>
              </w:rPr>
            </w:pPr>
            <w:r>
              <w:rPr>
                <w:rFonts w:ascii="Times New Roman" w:cs="Times New Roman" w:eastAsia="Times New Roman" w:hAnsi="Times New Roman"/>
                <w:sz w:val="11"/>
                <w:szCs w:val="11"/>
                <w:color w:val="auto"/>
              </w:rPr>
              <w:t>Net current period change</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(8,839)</w:t>
            </w:r>
          </w:p>
        </w:tc>
        <w:tc>
          <w:tcPr>
            <w:tcW w:w="140" w:type="dxa"/>
            <w:vAlign w:val="bottom"/>
          </w:tcPr>
          <w:p>
            <w:pPr>
              <w:spacing w:after="0"/>
              <w:rPr>
                <w:sz w:val="12"/>
                <w:szCs w:val="12"/>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13,176</w:t>
            </w:r>
          </w:p>
        </w:tc>
      </w:tr>
      <w:tr>
        <w:trPr>
          <w:trHeight w:val="13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of foreign currency translation adjustment due to</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deconsolidation of Ascenty</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21,687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21,687</w:t>
            </w:r>
          </w:p>
        </w:tc>
      </w:tr>
      <w:tr>
        <w:trPr>
          <w:trHeight w:val="142"/>
        </w:trPr>
        <w:tc>
          <w:tcPr>
            <w:tcW w:w="3460" w:type="dxa"/>
            <w:vAlign w:val="bottom"/>
          </w:tcPr>
          <w:p>
            <w:pPr>
              <w:spacing w:after="0"/>
              <w:rPr>
                <w:sz w:val="20"/>
                <w:szCs w:val="20"/>
                <w:color w:val="auto"/>
              </w:rPr>
            </w:pPr>
            <w:r>
              <w:rPr>
                <w:rFonts w:ascii="Times New Roman" w:cs="Times New Roman" w:eastAsia="Times New Roman" w:hAnsi="Times New Roman"/>
                <w:sz w:val="11"/>
                <w:szCs w:val="11"/>
                <w:color w:val="auto"/>
              </w:rPr>
              <w:t>Reclassification to interest expense from interest rate swaps</w:t>
            </w:r>
          </w:p>
        </w:tc>
        <w:tc>
          <w:tcPr>
            <w:tcW w:w="140" w:type="dxa"/>
            <w:vAlign w:val="bottom"/>
          </w:tcPr>
          <w:p>
            <w:pPr>
              <w:spacing w:after="0"/>
              <w:rPr>
                <w:sz w:val="12"/>
                <w:szCs w:val="12"/>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(7,138)</w:t>
            </w:r>
          </w:p>
        </w:tc>
        <w:tc>
          <w:tcPr>
            <w:tcW w:w="140" w:type="dxa"/>
            <w:vAlign w:val="bottom"/>
          </w:tcPr>
          <w:p>
            <w:pPr>
              <w:spacing w:after="0"/>
              <w:rPr>
                <w:sz w:val="12"/>
                <w:szCs w:val="12"/>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(7,138)</w:t>
            </w:r>
          </w:p>
        </w:tc>
      </w:tr>
      <w:tr>
        <w:trPr>
          <w:trHeight w:val="132"/>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2019</w:t>
            </w: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(114,947)</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1,287</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25,738</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(87,922)</w:t>
            </w:r>
          </w:p>
        </w:tc>
      </w:tr>
      <w:tr>
        <w:trPr>
          <w:trHeight w:val="142"/>
        </w:trPr>
        <w:tc>
          <w:tcPr>
            <w:tcW w:w="3460" w:type="dxa"/>
            <w:vAlign w:val="bottom"/>
          </w:tcPr>
          <w:p>
            <w:pPr>
              <w:spacing w:after="0"/>
              <w:rPr>
                <w:sz w:val="20"/>
                <w:szCs w:val="20"/>
                <w:color w:val="auto"/>
              </w:rPr>
            </w:pPr>
            <w:r>
              <w:rPr>
                <w:rFonts w:ascii="Times New Roman" w:cs="Times New Roman" w:eastAsia="Times New Roman" w:hAnsi="Times New Roman"/>
                <w:sz w:val="11"/>
                <w:szCs w:val="11"/>
                <w:color w:val="auto"/>
              </w:rPr>
              <w:t>Net current period change</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213,707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(11,980)</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13,142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214,869</w:t>
            </w:r>
          </w:p>
        </w:tc>
      </w:tr>
      <w:tr>
        <w:trPr>
          <w:trHeight w:val="13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to interest expense from interest</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rate swaps</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8,063</w:t>
            </w:r>
          </w:p>
        </w:tc>
      </w:tr>
      <w:tr>
        <w:trPr>
          <w:trHeight w:val="140"/>
        </w:trPr>
        <w:tc>
          <w:tcPr>
            <w:tcW w:w="34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2020</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98,760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(2,630)</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38,880</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135,010</w:t>
            </w:r>
          </w:p>
        </w:tc>
      </w:tr>
    </w:tbl>
    <w:p>
      <w:pPr>
        <w:spacing w:after="0" w:line="147" w:lineRule="exact"/>
        <w:rPr>
          <w:sz w:val="20"/>
          <w:szCs w:val="20"/>
          <w:color w:val="auto"/>
        </w:rPr>
      </w:pPr>
    </w:p>
    <w:p>
      <w:pPr>
        <w:ind w:left="220" w:hanging="195"/>
        <w:spacing w:after="0"/>
        <w:tabs>
          <w:tab w:leader="none" w:pos="220" w:val="left"/>
        </w:tabs>
        <w:numPr>
          <w:ilvl w:val="0"/>
          <w:numId w:val="8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Capital and Accumulated Other Comprehensive Income (Loss)</w:t>
      </w:r>
    </w:p>
    <w:p>
      <w:pPr>
        <w:spacing w:after="0" w:line="154" w:lineRule="exact"/>
        <w:rPr>
          <w:rFonts w:ascii="Times New Roman" w:cs="Times New Roman" w:eastAsia="Times New Roman" w:hAnsi="Times New Roman"/>
          <w:sz w:val="13"/>
          <w:szCs w:val="13"/>
          <w:b w:val="1"/>
          <w:bCs w:val="1"/>
          <w:color w:val="auto"/>
        </w:rPr>
      </w:pPr>
    </w:p>
    <w:p>
      <w:pPr>
        <w:ind w:left="420" w:hanging="167"/>
        <w:spacing w:after="0"/>
        <w:tabs>
          <w:tab w:leader="none" w:pos="420" w:val="left"/>
        </w:tabs>
        <w:numPr>
          <w:ilvl w:val="1"/>
          <w:numId w:val="81"/>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Allocations of Net Income and Net Losses to Partners</w:t>
      </w:r>
    </w:p>
    <w:p>
      <w:pPr>
        <w:spacing w:after="0" w:line="156" w:lineRule="exact"/>
        <w:rPr>
          <w:sz w:val="20"/>
          <w:szCs w:val="20"/>
          <w:color w:val="auto"/>
        </w:rPr>
      </w:pPr>
    </w:p>
    <w:p>
      <w:pPr>
        <w:ind w:left="20" w:right="139" w:firstLine="228"/>
        <w:spacing w:after="0" w:line="271" w:lineRule="auto"/>
        <w:rPr>
          <w:sz w:val="20"/>
          <w:szCs w:val="20"/>
          <w:color w:val="auto"/>
        </w:rPr>
      </w:pPr>
      <w:r>
        <w:rPr>
          <w:rFonts w:ascii="Times New Roman" w:cs="Times New Roman" w:eastAsia="Times New Roman" w:hAnsi="Times New Roman"/>
          <w:sz w:val="12"/>
          <w:szCs w:val="12"/>
          <w:color w:val="auto"/>
        </w:rPr>
        <w:t>Except for special allocations to holders of profits interest units described below in Note 15(a) under the heading “Incentive Plan-Long-Term Incentive Units,” the Operating Partnership’s net income will generally be allocated to Digital Realty Trust, Inc. (the General Partner) to the extent of the accrued preferred return on its preferred units, and then to the General Partner and the Operating Partnership’s limited partners in accordance with the respective percentage interests in the common units issued by the Operating Partnership. Net loss will generally be allocated to the General Partner and the Operating Partnership’s limited partners in accordance with the respective common percentage interests in the Operating Partnership until the limited partner’s capital is reduced to zero and any remaining net loss would be allocated to the General Partner. However, in some cases, losses may be disproportionately allocated to partners who have guaranteed our debt. The allocations described above are subject to special allocations relating to depreciation deductions and to compliance with the provisions of Sections 704(b) and 704(c) of the Code, and the associated Treasury Regulations.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(b) Equity Distribution Agreement</w:t>
      </w:r>
    </w:p>
    <w:p>
      <w:pPr>
        <w:spacing w:after="0" w:line="156" w:lineRule="exact"/>
        <w:rPr>
          <w:sz w:val="20"/>
          <w:szCs w:val="20"/>
          <w:color w:val="auto"/>
        </w:rPr>
      </w:pPr>
    </w:p>
    <w:p>
      <w:pPr>
        <w:ind w:left="20" w:right="319" w:firstLine="228"/>
        <w:spacing w:after="0" w:line="268" w:lineRule="auto"/>
        <w:rPr>
          <w:sz w:val="20"/>
          <w:szCs w:val="20"/>
          <w:color w:val="auto"/>
        </w:rPr>
      </w:pPr>
      <w:r>
        <w:rPr>
          <w:rFonts w:ascii="Times New Roman" w:cs="Times New Roman" w:eastAsia="Times New Roman" w:hAnsi="Times New Roman"/>
          <w:sz w:val="13"/>
          <w:szCs w:val="13"/>
          <w:color w:val="auto"/>
        </w:rPr>
        <w:t>On May 11, 2020, Digital Realty Trust, Inc. and Digital Realty Trust, L.P. entered into the 2020 Amendment to increase the number of shares of common stock Digital Realty Trust, Inc. could issue and sell from time to time through,</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73" w:name="page174"/>
    <w:bookmarkEnd w:id="17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99"/>
        <w:spacing w:after="0" w:line="247" w:lineRule="auto"/>
        <w:rPr>
          <w:sz w:val="20"/>
          <w:szCs w:val="20"/>
          <w:color w:val="auto"/>
        </w:rPr>
      </w:pPr>
      <w:r>
        <w:rPr>
          <w:rFonts w:ascii="Times New Roman" w:cs="Times New Roman" w:eastAsia="Times New Roman" w:hAnsi="Times New Roman"/>
          <w:sz w:val="13"/>
          <w:szCs w:val="13"/>
          <w:color w:val="auto"/>
        </w:rPr>
        <w:t>at its discretion, any of the Agents as its sales agents or as principals. Sales may also be made on a forward basis pursuant to separate forward sale agreements. In accordance with the Sales Agreement, following the date of the 2020 Amendment, Digital Realty Trust, Inc. may offer and sell shares of its common stock having an aggregate offering price of up to $1.0 billion. Prior to the 2020 Amendment, Digital Realty Trust, Inc. had offered and sold shares of its common stock having an aggregate gross sales price of approximately $652.2 million. The sales of common stock made under the Sales Agreement will be made in “at the market” offerings as defined in Rule 415 of the Securities Act. For the year ended December 31, 2020, Digital Realty Trust, Inc. generated net proceeds of approximately $893.8 million from the issuance of approximately 6.1 million common shares under the Sales Agreement at an average price of $146.90 per share after payment of approximately $9.0 million of commissions to the Agents and approximately $749.4 million remains available for future sales under the program. The proceeds from the issuances for the year ended December 31, 2020 were contributed to our Operating Partnership in exchange for the issuance of approximately 6.1 million common units to Digital Realty Trust, Inc.</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(c) Forward Equity Sale</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On September 27, 2018, Digital Realty Trust, Inc. completed an underwritten public offering of 9,775,000 shares of its common stock (including 1,275,000 shares from the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exercise in full of the underwriters’ option to purchase additional shares), all of which were offered in connection with forward sale agreements it entered into with certain</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financial institutions acting as forward purchasers. The forward purchasers borrowed and sold an aggregate of 9,775,000 shares of Digital Realty Trust, Inc.’s common stock in</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public offering. Digital Realty Trust, Inc. did not receive any proceeds from the sale of our common stock by the forward purchasers in the public offering. On</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September 17, 2019, Digital Realty Trust, Inc. amended the forward sale agreements to extend the maturity date of such forward sales agreements from September 27, 2019 to</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September 25, 2020. On September 24, 2020, Digital Realty Trust, Inc. physically settled the forward sale agreements in full by issuing an aggregate of 9,775,000 shares of its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common stock to the forward purchasers in exchange for net proceeds of approximately $1.0 billion. Upon physical settlement of the forward sale agreements, the Operating</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Partnership issued 9,775,000 partnership units to Digital Realty Trust, Inc. in exchange for contribution of the net proceeds.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74" w:name="page175"/>
    <w:bookmarkEnd w:id="17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(d) Redeemable Preferred Units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Annual</w:t>
            </w:r>
          </w:p>
        </w:tc>
        <w:tc>
          <w:tcPr>
            <w:tcW w:w="1520" w:type="dxa"/>
            <w:vAlign w:val="bottom"/>
            <w:gridSpan w:val="3"/>
            <w:vMerge w:val="restart"/>
          </w:tcPr>
          <w:p>
            <w:pPr>
              <w:jc w:val="right"/>
              <w:ind w:right="249"/>
              <w:spacing w:after="0"/>
              <w:rPr>
                <w:sz w:val="20"/>
                <w:szCs w:val="20"/>
                <w:color w:val="auto"/>
              </w:rPr>
            </w:pPr>
            <w:r>
              <w:rPr>
                <w:rFonts w:ascii="Times New Roman" w:cs="Times New Roman" w:eastAsia="Times New Roman" w:hAnsi="Times New Roman"/>
                <w:sz w:val="10"/>
                <w:szCs w:val="10"/>
                <w:b w:val="1"/>
                <w:bCs w:val="1"/>
                <w:color w:val="auto"/>
              </w:rPr>
              <w:t>Units Outstanding as</w:t>
            </w:r>
          </w:p>
        </w:tc>
        <w:tc>
          <w:tcPr>
            <w:tcW w:w="220" w:type="dxa"/>
            <w:vAlign w:val="bottom"/>
          </w:tcPr>
          <w:p>
            <w:pPr>
              <w:spacing w:after="0"/>
              <w:rPr>
                <w:sz w:val="10"/>
                <w:szCs w:val="10"/>
                <w:color w:val="auto"/>
              </w:rPr>
            </w:pPr>
          </w:p>
        </w:tc>
        <w:tc>
          <w:tcPr>
            <w:tcW w:w="2000" w:type="dxa"/>
            <w:vAlign w:val="bottom"/>
            <w:gridSpan w:val="4"/>
            <w:vMerge w:val="restart"/>
          </w:tcPr>
          <w:p>
            <w:pPr>
              <w:jc w:val="right"/>
              <w:ind w:right="429"/>
              <w:spacing w:after="0"/>
              <w:rPr>
                <w:sz w:val="20"/>
                <w:szCs w:val="20"/>
                <w:color w:val="auto"/>
              </w:rPr>
            </w:pPr>
            <w:r>
              <w:rPr>
                <w:rFonts w:ascii="Times New Roman" w:cs="Times New Roman" w:eastAsia="Times New Roman" w:hAnsi="Times New Roman"/>
                <w:sz w:val="10"/>
                <w:szCs w:val="10"/>
                <w:b w:val="1"/>
                <w:bCs w:val="1"/>
                <w:color w:val="auto"/>
              </w:rPr>
              <w:t>Balance (in thousands, net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Date(s)</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Initial Date to</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ind w:right="50"/>
              <w:spacing w:after="0" w:line="104" w:lineRule="exact"/>
              <w:rPr>
                <w:sz w:val="20"/>
                <w:szCs w:val="20"/>
                <w:color w:val="auto"/>
              </w:rPr>
            </w:pPr>
            <w:r>
              <w:rPr>
                <w:rFonts w:ascii="Times New Roman" w:cs="Times New Roman" w:eastAsia="Times New Roman" w:hAnsi="Times New Roman"/>
                <w:sz w:val="10"/>
                <w:szCs w:val="10"/>
                <w:b w:val="1"/>
                <w:bCs w:val="1"/>
                <w:color w:val="auto"/>
                <w:w w:val="98"/>
              </w:rPr>
              <w:t>Liquidation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ind w:right="50"/>
              <w:spacing w:after="0" w:line="110" w:lineRule="exact"/>
              <w:rPr>
                <w:sz w:val="20"/>
                <w:szCs w:val="20"/>
                <w:color w:val="auto"/>
              </w:rPr>
            </w:pPr>
            <w:r>
              <w:rPr>
                <w:rFonts w:ascii="Times New Roman" w:cs="Times New Roman" w:eastAsia="Times New Roman" w:hAnsi="Times New Roman"/>
                <w:sz w:val="10"/>
                <w:szCs w:val="10"/>
                <w:b w:val="1"/>
                <w:bCs w:val="1"/>
                <w:color w:val="auto"/>
                <w:w w:val="96"/>
              </w:rPr>
              <w:t>Value (in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240"/>
              <w:spacing w:after="0" w:line="110" w:lineRule="exact"/>
              <w:rPr>
                <w:sz w:val="20"/>
                <w:szCs w:val="20"/>
                <w:color w:val="auto"/>
              </w:rPr>
            </w:pPr>
            <w:r>
              <w:rPr>
                <w:rFonts w:ascii="Times New Roman" w:cs="Times New Roman" w:eastAsia="Times New Roman" w:hAnsi="Times New Roman"/>
                <w:sz w:val="10"/>
                <w:szCs w:val="10"/>
                <w:b w:val="1"/>
                <w:bCs w:val="1"/>
                <w:color w:val="auto"/>
              </w:rPr>
              <w:t>Distribution</w:t>
            </w:r>
          </w:p>
        </w:tc>
        <w:tc>
          <w:tcPr>
            <w:tcW w:w="1520" w:type="dxa"/>
            <w:vAlign w:val="bottom"/>
            <w:tcBorders>
              <w:bottom w:val="single" w:sz="8" w:color="auto"/>
            </w:tcBorders>
            <w:gridSpan w:val="3"/>
          </w:tcPr>
          <w:p>
            <w:pPr>
              <w:jc w:val="right"/>
              <w:ind w:right="369"/>
              <w:spacing w:after="0" w:line="110" w:lineRule="exact"/>
              <w:rPr>
                <w:sz w:val="20"/>
                <w:szCs w:val="20"/>
                <w:color w:val="auto"/>
              </w:rPr>
            </w:pPr>
            <w:r>
              <w:rPr>
                <w:rFonts w:ascii="Times New Roman" w:cs="Times New Roman" w:eastAsia="Times New Roman" w:hAnsi="Times New Roman"/>
                <w:sz w:val="10"/>
                <w:szCs w:val="10"/>
                <w:b w:val="1"/>
                <w:bCs w:val="1"/>
                <w:color w:val="auto"/>
              </w:rPr>
              <w:t>of December 31,</w:t>
            </w:r>
          </w:p>
        </w:tc>
        <w:tc>
          <w:tcPr>
            <w:tcW w:w="22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4"/>
          </w:tcPr>
          <w:p>
            <w:pPr>
              <w:jc w:val="right"/>
              <w:ind w:right="329"/>
              <w:spacing w:after="0" w:line="110" w:lineRule="exact"/>
              <w:rPr>
                <w:sz w:val="20"/>
                <w:szCs w:val="20"/>
                <w:color w:val="auto"/>
              </w:rPr>
            </w:pPr>
            <w:r>
              <w:rPr>
                <w:rFonts w:ascii="Times New Roman" w:cs="Times New Roman" w:eastAsia="Times New Roman" w:hAnsi="Times New Roman"/>
                <w:sz w:val="10"/>
                <w:szCs w:val="10"/>
                <w:b w:val="1"/>
                <w:bCs w:val="1"/>
                <w:color w:val="auto"/>
              </w:rPr>
              <w:t>issuance costs) as of December 31,</w:t>
            </w:r>
          </w:p>
        </w:tc>
        <w:tc>
          <w:tcPr>
            <w:tcW w:w="0" w:type="dxa"/>
            <w:vAlign w:val="bottom"/>
          </w:tcPr>
          <w:p>
            <w:pPr>
              <w:spacing w:after="0"/>
              <w:rPr>
                <w:sz w:val="1"/>
                <w:szCs w:val="1"/>
                <w:color w:val="auto"/>
              </w:rPr>
            </w:pPr>
          </w:p>
        </w:tc>
      </w:tr>
      <w:tr>
        <w:trPr>
          <w:trHeight w:val="104"/>
        </w:trPr>
        <w:tc>
          <w:tcPr>
            <w:tcW w:w="1360" w:type="dxa"/>
            <w:vAlign w:val="bottom"/>
            <w:gridSpan w:val="4"/>
          </w:tcPr>
          <w:p>
            <w:pPr>
              <w:spacing w:after="0" w:line="105" w:lineRule="exact"/>
              <w:rPr>
                <w:sz w:val="20"/>
                <w:szCs w:val="20"/>
                <w:color w:val="auto"/>
              </w:rPr>
            </w:pPr>
            <w:r>
              <w:rPr>
                <w:rFonts w:ascii="Times New Roman" w:cs="Times New Roman" w:eastAsia="Times New Roman" w:hAnsi="Times New Roman"/>
                <w:sz w:val="8"/>
                <w:szCs w:val="8"/>
                <w:b w:val="1"/>
                <w:bCs w:val="1"/>
                <w:color w:val="auto"/>
              </w:rPr>
              <w:t xml:space="preserve">Preferred Units </w:t>
            </w:r>
            <w:r>
              <w:rPr>
                <w:rFonts w:ascii="Times New Roman" w:cs="Times New Roman" w:eastAsia="Times New Roman" w:hAnsi="Times New Roman"/>
                <w:sz w:val="12"/>
                <w:szCs w:val="12"/>
                <w:b w:val="1"/>
                <w:bCs w:val="1"/>
                <w:color w:val="auto"/>
                <w:vertAlign w:val="superscript"/>
              </w:rPr>
              <w:t>(1)</w:t>
            </w:r>
          </w:p>
        </w:tc>
        <w:tc>
          <w:tcPr>
            <w:tcW w:w="960" w:type="dxa"/>
            <w:vAlign w:val="bottom"/>
            <w:gridSpan w:val="3"/>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Issued</w:t>
            </w:r>
          </w:p>
        </w:tc>
        <w:tc>
          <w:tcPr>
            <w:tcW w:w="880" w:type="dxa"/>
            <w:vAlign w:val="bottom"/>
          </w:tcPr>
          <w:p>
            <w:pPr>
              <w:jc w:val="center"/>
              <w:spacing w:after="0" w:line="105" w:lineRule="exact"/>
              <w:rPr>
                <w:sz w:val="20"/>
                <w:szCs w:val="20"/>
                <w:color w:val="auto"/>
              </w:rPr>
            </w:pPr>
            <w:r>
              <w:rPr>
                <w:rFonts w:ascii="Times New Roman" w:cs="Times New Roman" w:eastAsia="Times New Roman" w:hAnsi="Times New Roman"/>
                <w:sz w:val="8"/>
                <w:szCs w:val="8"/>
                <w:b w:val="1"/>
                <w:bCs w:val="1"/>
                <w:color w:val="auto"/>
              </w:rPr>
              <w:t xml:space="preserve">Redeem </w:t>
            </w:r>
            <w:r>
              <w:rPr>
                <w:rFonts w:ascii="Times New Roman" w:cs="Times New Roman" w:eastAsia="Times New Roman" w:hAnsi="Times New Roman"/>
                <w:sz w:val="12"/>
                <w:szCs w:val="12"/>
                <w:b w:val="1"/>
                <w:bCs w:val="1"/>
                <w:color w:val="auto"/>
                <w:vertAlign w:val="superscript"/>
              </w:rPr>
              <w:t>(2)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ind w:right="50"/>
              <w:spacing w:after="0" w:line="105" w:lineRule="exact"/>
              <w:rPr>
                <w:sz w:val="20"/>
                <w:szCs w:val="20"/>
                <w:color w:val="auto"/>
              </w:rPr>
            </w:pPr>
            <w:r>
              <w:rPr>
                <w:rFonts w:ascii="Times New Roman" w:cs="Times New Roman" w:eastAsia="Times New Roman" w:hAnsi="Times New Roman"/>
                <w:sz w:val="8"/>
                <w:szCs w:val="8"/>
                <w:b w:val="1"/>
                <w:bCs w:val="1"/>
                <w:color w:val="auto"/>
              </w:rPr>
              <w:t xml:space="preserve">thousands) </w:t>
            </w:r>
            <w:r>
              <w:rPr>
                <w:rFonts w:ascii="Times New Roman" w:cs="Times New Roman" w:eastAsia="Times New Roman" w:hAnsi="Times New Roman"/>
                <w:sz w:val="12"/>
                <w:szCs w:val="12"/>
                <w:b w:val="1"/>
                <w:bCs w:val="1"/>
                <w:color w:val="auto"/>
                <w:vertAlign w:val="superscript"/>
              </w:rPr>
              <w:t>(3)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8"/>
                <w:szCs w:val="8"/>
                <w:b w:val="1"/>
                <w:bCs w:val="1"/>
                <w:color w:val="auto"/>
              </w:rPr>
              <w:t xml:space="preserve">Rate </w:t>
            </w:r>
            <w:r>
              <w:rPr>
                <w:rFonts w:ascii="Times New Roman" w:cs="Times New Roman" w:eastAsia="Times New Roman" w:hAnsi="Times New Roman"/>
                <w:sz w:val="12"/>
                <w:szCs w:val="12"/>
                <w:b w:val="1"/>
                <w:bCs w:val="1"/>
                <w:color w:val="auto"/>
                <w:vertAlign w:val="superscript"/>
              </w:rPr>
              <w:t>(4)</w:t>
            </w:r>
          </w:p>
        </w:tc>
        <w:tc>
          <w:tcPr>
            <w:tcW w:w="760" w:type="dxa"/>
            <w:vAlign w:val="bottom"/>
          </w:tcPr>
          <w:p>
            <w:pPr>
              <w:jc w:val="right"/>
              <w:ind w:right="229"/>
              <w:spacing w:after="0" w:line="104"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Pr>
          <w:p>
            <w:pPr>
              <w:spacing w:after="0"/>
              <w:rPr>
                <w:sz w:val="9"/>
                <w:szCs w:val="9"/>
                <w:color w:val="auto"/>
              </w:rPr>
            </w:pPr>
          </w:p>
        </w:tc>
        <w:tc>
          <w:tcPr>
            <w:tcW w:w="720" w:type="dxa"/>
            <w:vAlign w:val="bottom"/>
          </w:tcPr>
          <w:p>
            <w:pPr>
              <w:jc w:val="right"/>
              <w:ind w:right="209"/>
              <w:spacing w:after="0" w:line="104" w:lineRule="exact"/>
              <w:rPr>
                <w:sz w:val="20"/>
                <w:szCs w:val="20"/>
                <w:color w:val="auto"/>
              </w:rPr>
            </w:pPr>
            <w:r>
              <w:rPr>
                <w:rFonts w:ascii="Times New Roman" w:cs="Times New Roman" w:eastAsia="Times New Roman" w:hAnsi="Times New Roman"/>
                <w:sz w:val="10"/>
                <w:szCs w:val="10"/>
                <w:b w:val="1"/>
                <w:bCs w:val="1"/>
                <w:color w:val="auto"/>
              </w:rPr>
              <w:t>2019</w:t>
            </w:r>
          </w:p>
        </w:tc>
        <w:tc>
          <w:tcPr>
            <w:tcW w:w="220" w:type="dxa"/>
            <w:vAlign w:val="bottom"/>
          </w:tcPr>
          <w:p>
            <w:pPr>
              <w:spacing w:after="0"/>
              <w:rPr>
                <w:sz w:val="9"/>
                <w:szCs w:val="9"/>
                <w:color w:val="auto"/>
              </w:rPr>
            </w:pPr>
          </w:p>
        </w:tc>
        <w:tc>
          <w:tcPr>
            <w:tcW w:w="800" w:type="dxa"/>
            <w:vAlign w:val="bottom"/>
          </w:tcPr>
          <w:p>
            <w:pPr>
              <w:jc w:val="right"/>
              <w:ind w:right="349"/>
              <w:spacing w:after="0" w:line="104"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ind w:right="349"/>
              <w:spacing w:after="0" w:line="104" w:lineRule="exact"/>
              <w:rPr>
                <w:sz w:val="20"/>
                <w:szCs w:val="20"/>
                <w:color w:val="auto"/>
              </w:rPr>
            </w:pPr>
            <w:r>
              <w:rPr>
                <w:rFonts w:ascii="Times New Roman" w:cs="Times New Roman" w:eastAsia="Times New Roman" w:hAnsi="Times New Roman"/>
                <w:sz w:val="10"/>
                <w:szCs w:val="10"/>
                <w:b w:val="1"/>
                <w:bCs w:val="1"/>
                <w:color w:val="auto"/>
              </w:rPr>
              <w:t>2019</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 w:type="dxa"/>
            <w:vAlign w:val="bottom"/>
            <w:tcBorders>
              <w:top w:val="single" w:sz="8" w:color="auto"/>
            </w:tcBorders>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6.625%</w:t>
            </w:r>
          </w:p>
        </w:tc>
        <w:tc>
          <w:tcPr>
            <w:tcW w:w="860" w:type="dxa"/>
            <w:vAlign w:val="bottom"/>
            <w:tcBorders>
              <w:top w:val="single" w:sz="8" w:color="auto"/>
            </w:tcBorders>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Series C Cumulative</w:t>
            </w:r>
          </w:p>
        </w:tc>
        <w:tc>
          <w:tcPr>
            <w:tcW w:w="16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76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78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340" w:type="dxa"/>
            <w:vAlign w:val="bottom"/>
            <w:gridSpan w:val="3"/>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Redeemable Perpetual</w:t>
            </w: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Preferred Units</w:t>
            </w:r>
          </w:p>
        </w:tc>
        <w:tc>
          <w:tcPr>
            <w:tcW w:w="96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0"/>
                <w:szCs w:val="10"/>
                <w:color w:val="auto"/>
              </w:rPr>
              <w:t>Sep 14, 2017</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May 15, 2021</w:t>
            </w:r>
          </w:p>
        </w:tc>
        <w:tc>
          <w:tcPr>
            <w:tcW w:w="2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201,250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1.65625</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8,050,000</w:t>
            </w: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8,050,000</w:t>
            </w:r>
          </w:p>
        </w:tc>
        <w:tc>
          <w:tcPr>
            <w:tcW w:w="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219,250</w:t>
            </w:r>
          </w:p>
        </w:tc>
        <w:tc>
          <w:tcPr>
            <w:tcW w:w="4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219,250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2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w w:val="97"/>
              </w:rPr>
              <w:t>5.875%</w:t>
            </w:r>
          </w:p>
        </w:tc>
        <w:tc>
          <w:tcPr>
            <w:tcW w:w="10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Series G Cumulative</w:t>
            </w: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36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Redeemable Preferred Units</w:t>
            </w: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color w:val="auto"/>
                <w:w w:val="99"/>
              </w:rPr>
              <w:t>Apr 9, 2013</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Apr 9, 2018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1.46875</w:t>
            </w:r>
          </w:p>
        </w:tc>
        <w:tc>
          <w:tcPr>
            <w:tcW w:w="140" w:type="dxa"/>
            <w:vAlign w:val="bottom"/>
          </w:tcPr>
          <w:p>
            <w:pPr>
              <w:spacing w:after="0"/>
              <w:rPr>
                <w:sz w:val="10"/>
                <w:szCs w:val="1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10,000,000</w:t>
            </w:r>
          </w:p>
        </w:tc>
        <w:tc>
          <w:tcPr>
            <w:tcW w:w="22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241,468</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2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w w:val="97"/>
              </w:rPr>
              <w:t>6.350%</w:t>
            </w:r>
          </w:p>
        </w:tc>
        <w:tc>
          <w:tcPr>
            <w:tcW w:w="102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Series I Cumulative</w:t>
            </w: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Redeemable Preferred Units</w:t>
            </w:r>
          </w:p>
        </w:tc>
        <w:tc>
          <w:tcPr>
            <w:tcW w:w="96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0"/>
                <w:szCs w:val="10"/>
                <w:color w:val="auto"/>
              </w:rPr>
              <w:t>Aug 24, 2015</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Aug 24, 2020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1.58750</w:t>
            </w: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10,000,000</w:t>
            </w: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242,012</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2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w w:val="97"/>
              </w:rPr>
              <w:t>5.250%</w:t>
            </w:r>
          </w:p>
        </w:tc>
        <w:tc>
          <w:tcPr>
            <w:tcW w:w="10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Series J Cumulative</w:t>
            </w: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36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Redeemable Preferred Units</w:t>
            </w: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color w:val="auto"/>
              </w:rPr>
              <w:t>Aug 7, 2017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Aug 7, 2022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200,000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1.31250</w:t>
            </w: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8,000,000</w:t>
            </w:r>
          </w:p>
        </w:tc>
        <w:tc>
          <w:tcPr>
            <w:tcW w:w="4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8,000,000</w:t>
            </w:r>
          </w:p>
        </w:tc>
        <w:tc>
          <w:tcPr>
            <w:tcW w:w="22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193,540</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193,540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2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w w:val="97"/>
              </w:rPr>
              <w:t>5.850%</w:t>
            </w:r>
          </w:p>
        </w:tc>
        <w:tc>
          <w:tcPr>
            <w:tcW w:w="102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Series K Cumulative</w:t>
            </w: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Redeemable Preferred Units</w:t>
            </w:r>
          </w:p>
        </w:tc>
        <w:tc>
          <w:tcPr>
            <w:tcW w:w="96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0"/>
                <w:szCs w:val="10"/>
                <w:color w:val="auto"/>
                <w:w w:val="99"/>
              </w:rPr>
              <w:t>Mar 13, 2019</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Mar 13, 2024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210,000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1.46250</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8,400,000</w:t>
            </w: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8,400,000</w:t>
            </w: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203,264</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203,264</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2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w w:val="97"/>
              </w:rPr>
              <w:t>5.200%</w:t>
            </w:r>
          </w:p>
        </w:tc>
        <w:tc>
          <w:tcPr>
            <w:tcW w:w="10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Series L Cumulative</w:t>
            </w: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36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Redeemable Preferred Units</w:t>
            </w: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color w:val="auto"/>
              </w:rPr>
              <w:t>Oct 10, 2019</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Oct 10, 2024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345,000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1.30000</w:t>
            </w: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13,800,000</w:t>
            </w:r>
          </w:p>
        </w:tc>
        <w:tc>
          <w:tcPr>
            <w:tcW w:w="4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13,800,000</w:t>
            </w:r>
          </w:p>
        </w:tc>
        <w:tc>
          <w:tcPr>
            <w:tcW w:w="22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334,886</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334,886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Borders>
              <w:top w:val="single" w:sz="8" w:color="CCEEFF"/>
              <w:bottom w:val="single" w:sz="8" w:color="CCEEFF"/>
            </w:tcBorders>
            <w:shd w:val="clear" w:color="auto" w:fill="CCEEFF"/>
          </w:tcPr>
          <w:p>
            <w:pPr>
              <w:spacing w:after="0"/>
              <w:rPr>
                <w:sz w:val="8"/>
                <w:szCs w:val="8"/>
                <w:color w:val="auto"/>
              </w:rPr>
            </w:pPr>
          </w:p>
        </w:tc>
        <w:tc>
          <w:tcPr>
            <w:tcW w:w="86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80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88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shd w:val="clear" w:color="auto" w:fill="CCEEFF"/>
          </w:tcPr>
          <w:p>
            <w:pPr>
              <w:jc w:val="right"/>
              <w:ind w:right="10"/>
              <w:spacing w:after="0" w:line="94" w:lineRule="exact"/>
              <w:rPr>
                <w:sz w:val="20"/>
                <w:szCs w:val="20"/>
                <w:color w:val="auto"/>
              </w:rPr>
            </w:pPr>
            <w:r>
              <w:rPr>
                <w:rFonts w:ascii="Times New Roman" w:cs="Times New Roman" w:eastAsia="Times New Roman" w:hAnsi="Times New Roman"/>
                <w:sz w:val="10"/>
                <w:szCs w:val="10"/>
                <w:color w:val="auto"/>
              </w:rPr>
              <w:t>956,250</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8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38,250,000</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720" w:type="dxa"/>
            <w:vAlign w:val="bottom"/>
            <w:tcBorders>
              <w:top w:val="single" w:sz="8" w:color="auto"/>
              <w:bottom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58,250,000</w:t>
            </w:r>
          </w:p>
        </w:tc>
        <w:tc>
          <w:tcPr>
            <w:tcW w:w="220" w:type="dxa"/>
            <w:vAlign w:val="bottom"/>
            <w:tcBorders>
              <w:top w:val="single" w:sz="8" w:color="auto"/>
              <w:bottom w:val="single" w:sz="8" w:color="auto"/>
            </w:tcBorders>
            <w:shd w:val="clear" w:color="auto" w:fill="CCEEFF"/>
          </w:tcPr>
          <w:p>
            <w:pPr>
              <w:jc w:val="right"/>
              <w:ind w:right="89"/>
              <w:spacing w:after="0" w:line="94"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top w:val="single" w:sz="8" w:color="auto"/>
              <w:bottom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950,940</w:t>
            </w:r>
          </w:p>
        </w:tc>
        <w:tc>
          <w:tcPr>
            <w:tcW w:w="20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auto"/>
            </w:tcBorders>
            <w:shd w:val="clear" w:color="auto" w:fill="CCEEFF"/>
          </w:tcPr>
          <w:p>
            <w:pPr>
              <w:jc w:val="right"/>
              <w:ind w:right="109"/>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1,434,420</w:t>
            </w:r>
          </w:p>
        </w:tc>
        <w:tc>
          <w:tcPr>
            <w:tcW w:w="0" w:type="dxa"/>
            <w:vAlign w:val="bottom"/>
          </w:tcPr>
          <w:p>
            <w:pPr>
              <w:spacing w:after="0"/>
              <w:rPr>
                <w:sz w:val="1"/>
                <w:szCs w:val="1"/>
                <w:color w:val="auto"/>
              </w:rPr>
            </w:pPr>
          </w:p>
        </w:tc>
      </w:tr>
      <w:tr>
        <w:trPr>
          <w:trHeight w:val="76"/>
        </w:trPr>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79" w:hanging="235"/>
        <w:spacing w:after="0" w:line="254" w:lineRule="auto"/>
        <w:tabs>
          <w:tab w:leader="none" w:pos="26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series of preferred units do not have a stated maturity date and are not subject to any sinking fund or mandatory redemption provisions. Upon liquidation, dissolution or winding up, each series of preferred units will rank senior to common units and on parity with the other series of preferred units.</w:t>
      </w:r>
    </w:p>
    <w:p>
      <w:pPr>
        <w:ind w:left="260" w:right="199" w:hanging="235"/>
        <w:spacing w:after="0" w:line="243" w:lineRule="auto"/>
        <w:tabs>
          <w:tab w:leader="none" w:pos="26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in limited circumstances, reflects earliest date that Digital Realty Trust, Inc. may exercise its option to redeem the corresponding series of preferred stock, at a redemption price of $25.00 per share, plus accrued and unpaid dividends up to but excluding the date of redemption. The Operating Partnership is required to redeem the corresponding series of preferred units in the event that the General Partner redeems a series of preferred stock.</w:t>
      </w:r>
    </w:p>
    <w:p>
      <w:pPr>
        <w:spacing w:after="0" w:line="1"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Liquidation preference is $25.00 per unit.</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Distributions on preferred units are cumulative and payable quarterly in arrears.</w:t>
      </w:r>
    </w:p>
    <w:p>
      <w:pPr>
        <w:spacing w:after="0" w:line="139"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(e) Partnership Units</w:t>
      </w:r>
    </w:p>
    <w:p>
      <w:pPr>
        <w:spacing w:after="0" w:line="156" w:lineRule="exact"/>
        <w:rPr>
          <w:sz w:val="20"/>
          <w:szCs w:val="20"/>
          <w:color w:val="auto"/>
        </w:rPr>
      </w:pPr>
    </w:p>
    <w:p>
      <w:pPr>
        <w:ind w:left="20" w:right="99" w:firstLine="228"/>
        <w:spacing w:after="0" w:line="248" w:lineRule="auto"/>
        <w:rPr>
          <w:sz w:val="20"/>
          <w:szCs w:val="20"/>
          <w:color w:val="auto"/>
        </w:rPr>
      </w:pPr>
      <w:r>
        <w:rPr>
          <w:rFonts w:ascii="Times New Roman" w:cs="Times New Roman" w:eastAsia="Times New Roman" w:hAnsi="Times New Roman"/>
          <w:sz w:val="13"/>
          <w:szCs w:val="13"/>
          <w:color w:val="auto"/>
        </w:rPr>
        <w:t>Limited partners have the right to require the Operating Partnership to redeem part or all of their common units for cash based on the fair market value of an equivalent number of shares of the General Partner’s common stock at the time of redemption. Alternatively, the General Partner may elect to acquire those common units in exchange for shares of the General Partner’s common stock on a one-for-one basis, subject to adjustment in the event of stock splits, stock dividends, issuance of stock rights, specified extraordinary distributions and similar events. Pursuant to authoritative accounting guidance, the Operating Partnership evaluated whether it controls the actions or events necessary to issue the maximum number of shares that could be required to be delivered under the share settlement of the limited partners’ common units and the vested incentive units. Based on the results of this analysis, the Operating Partnership concluded</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75" w:name="page176"/>
    <w:bookmarkEnd w:id="17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99"/>
        <w:spacing w:after="0" w:line="310" w:lineRule="auto"/>
        <w:rPr>
          <w:sz w:val="20"/>
          <w:szCs w:val="20"/>
          <w:color w:val="auto"/>
        </w:rPr>
      </w:pPr>
      <w:r>
        <w:rPr>
          <w:rFonts w:ascii="Times New Roman" w:cs="Times New Roman" w:eastAsia="Times New Roman" w:hAnsi="Times New Roman"/>
          <w:sz w:val="12"/>
          <w:szCs w:val="12"/>
          <w:color w:val="auto"/>
        </w:rPr>
        <w:t>that the common units and incentive units of the Operating Partnership met the criteria to be classified within capital, except for certain common units issued to certain former DFT Operating Partnership unitholders in the DFT Merger which are subject to certain restrictions and are not presented as permanent capital in the consolidated balance sheet.</w:t>
      </w:r>
    </w:p>
    <w:p>
      <w:pPr>
        <w:spacing w:after="0" w:line="99" w:lineRule="exact"/>
        <w:rPr>
          <w:sz w:val="20"/>
          <w:szCs w:val="20"/>
          <w:color w:val="auto"/>
        </w:rPr>
      </w:pPr>
    </w:p>
    <w:p>
      <w:pPr>
        <w:ind w:left="20" w:right="259" w:firstLine="228"/>
        <w:spacing w:after="0" w:line="268" w:lineRule="auto"/>
        <w:rPr>
          <w:sz w:val="20"/>
          <w:szCs w:val="20"/>
          <w:color w:val="auto"/>
        </w:rPr>
      </w:pPr>
      <w:r>
        <w:rPr>
          <w:rFonts w:ascii="Times New Roman" w:cs="Times New Roman" w:eastAsia="Times New Roman" w:hAnsi="Times New Roman"/>
          <w:sz w:val="13"/>
          <w:szCs w:val="13"/>
          <w:color w:val="auto"/>
        </w:rPr>
        <w:t>The redemption value of the limited partners’ common units and the vested incentive units was approximately $1,078.9 million and $997.6 million based on the closing market price of Digital Realty Trust, Inc.’s common stock on December 31, 2020 and 2019, respectively.</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(f) Distributions</w:t>
      </w:r>
    </w:p>
    <w:p>
      <w:pPr>
        <w:spacing w:after="0" w:line="156" w:lineRule="exact"/>
        <w:rPr>
          <w:sz w:val="20"/>
          <w:szCs w:val="20"/>
          <w:color w:val="auto"/>
        </w:rPr>
      </w:pPr>
    </w:p>
    <w:p>
      <w:pPr>
        <w:ind w:left="20" w:right="159" w:firstLine="228"/>
        <w:spacing w:after="0" w:line="268" w:lineRule="auto"/>
        <w:rPr>
          <w:sz w:val="20"/>
          <w:szCs w:val="20"/>
          <w:color w:val="auto"/>
        </w:rPr>
      </w:pPr>
      <w:r>
        <w:rPr>
          <w:rFonts w:ascii="Times New Roman" w:cs="Times New Roman" w:eastAsia="Times New Roman" w:hAnsi="Times New Roman"/>
          <w:sz w:val="13"/>
          <w:szCs w:val="13"/>
          <w:color w:val="auto"/>
        </w:rPr>
        <w:t>All distributions on our units are at the discretion of Digital Realty Trust, Inc.’s Board of Directors. We have declared and paid the following distributions on our common and preferred units for the years ended December 31, 2020, 2019 and 2018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36"/>
              <w:spacing w:after="0"/>
              <w:rPr>
                <w:sz w:val="20"/>
                <w:szCs w:val="20"/>
                <w:color w:val="auto"/>
              </w:rPr>
            </w:pPr>
            <w:r>
              <w:rPr>
                <w:rFonts w:ascii="Times New Roman" w:cs="Times New Roman" w:eastAsia="Times New Roman" w:hAnsi="Times New Roman"/>
                <w:sz w:val="9"/>
                <w:szCs w:val="9"/>
                <w:b w:val="1"/>
                <w:bCs w:val="1"/>
                <w:color w:val="auto"/>
                <w:w w:val="94"/>
              </w:rPr>
              <w:t>Series C</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9"/>
              </w:rPr>
              <w:t>Series G</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9"/>
              </w:rPr>
              <w:t>Series H</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Series I</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center"/>
              <w:ind w:right="36"/>
              <w:spacing w:after="0"/>
              <w:rPr>
                <w:sz w:val="20"/>
                <w:szCs w:val="20"/>
                <w:color w:val="auto"/>
              </w:rPr>
            </w:pPr>
            <w:r>
              <w:rPr>
                <w:rFonts w:ascii="Times New Roman" w:cs="Times New Roman" w:eastAsia="Times New Roman" w:hAnsi="Times New Roman"/>
                <w:sz w:val="9"/>
                <w:szCs w:val="9"/>
                <w:b w:val="1"/>
                <w:bCs w:val="1"/>
                <w:color w:val="auto"/>
              </w:rPr>
              <w:t>Series J</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Series K</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center"/>
              <w:ind w:right="16"/>
              <w:spacing w:after="0"/>
              <w:rPr>
                <w:sz w:val="20"/>
                <w:szCs w:val="20"/>
                <w:color w:val="auto"/>
              </w:rPr>
            </w:pPr>
            <w:r>
              <w:rPr>
                <w:rFonts w:ascii="Times New Roman" w:cs="Times New Roman" w:eastAsia="Times New Roman" w:hAnsi="Times New Roman"/>
                <w:sz w:val="9"/>
                <w:szCs w:val="9"/>
                <w:b w:val="1"/>
                <w:bCs w:val="1"/>
                <w:color w:val="auto"/>
                <w:w w:val="95"/>
              </w:rPr>
              <w:t>Series L</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36"/>
              <w:spacing w:after="0" w:line="95" w:lineRule="exact"/>
              <w:rPr>
                <w:sz w:val="20"/>
                <w:szCs w:val="20"/>
                <w:color w:val="auto"/>
              </w:rPr>
            </w:pPr>
            <w:r>
              <w:rPr>
                <w:rFonts w:ascii="Times New Roman" w:cs="Times New Roman" w:eastAsia="Times New Roman" w:hAnsi="Times New Roman"/>
                <w:sz w:val="9"/>
                <w:szCs w:val="9"/>
                <w:b w:val="1"/>
                <w:bCs w:val="1"/>
                <w:color w:val="auto"/>
              </w:rPr>
              <w:t>Preferred</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9"/>
                <w:szCs w:val="9"/>
                <w:b w:val="1"/>
                <w:bCs w:val="1"/>
                <w:color w:val="auto"/>
              </w:rPr>
              <w:t>Preferred</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5"/>
              </w:rPr>
              <w:t>Preferred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5"/>
              </w:rPr>
              <w:t>Preferred</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center"/>
              <w:ind w:right="36"/>
              <w:spacing w:after="0" w:line="95" w:lineRule="exact"/>
              <w:rPr>
                <w:sz w:val="20"/>
                <w:szCs w:val="20"/>
                <w:color w:val="auto"/>
              </w:rPr>
            </w:pPr>
            <w:r>
              <w:rPr>
                <w:rFonts w:ascii="Times New Roman" w:cs="Times New Roman" w:eastAsia="Times New Roman" w:hAnsi="Times New Roman"/>
                <w:sz w:val="9"/>
                <w:szCs w:val="9"/>
                <w:b w:val="1"/>
                <w:bCs w:val="1"/>
                <w:color w:val="auto"/>
              </w:rPr>
              <w:t>Preferred</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center"/>
              <w:ind w:right="16"/>
              <w:spacing w:after="0" w:line="95" w:lineRule="exact"/>
              <w:rPr>
                <w:sz w:val="20"/>
                <w:szCs w:val="20"/>
                <w:color w:val="auto"/>
              </w:rPr>
            </w:pPr>
            <w:r>
              <w:rPr>
                <w:rFonts w:ascii="Times New Roman" w:cs="Times New Roman" w:eastAsia="Times New Roman" w:hAnsi="Times New Roman"/>
                <w:sz w:val="9"/>
                <w:szCs w:val="9"/>
                <w:b w:val="1"/>
                <w:bCs w:val="1"/>
                <w:color w:val="auto"/>
              </w:rPr>
              <w:t>Preferred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center"/>
              <w:ind w:right="36"/>
              <w:spacing w:after="0" w:line="95" w:lineRule="exact"/>
              <w:rPr>
                <w:sz w:val="20"/>
                <w:szCs w:val="20"/>
                <w:color w:val="auto"/>
              </w:rPr>
            </w:pPr>
            <w:r>
              <w:rPr>
                <w:rFonts w:ascii="Times New Roman" w:cs="Times New Roman" w:eastAsia="Times New Roman" w:hAnsi="Times New Roman"/>
                <w:sz w:val="9"/>
                <w:szCs w:val="9"/>
                <w:b w:val="1"/>
                <w:bCs w:val="1"/>
                <w:color w:val="auto"/>
                <w:w w:val="95"/>
              </w:rPr>
              <w:t>Preferred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ind w:right="96"/>
              <w:spacing w:after="0" w:line="95" w:lineRule="exact"/>
              <w:rPr>
                <w:sz w:val="20"/>
                <w:szCs w:val="20"/>
                <w:color w:val="auto"/>
              </w:rPr>
            </w:pPr>
            <w:r>
              <w:rPr>
                <w:rFonts w:ascii="Times New Roman" w:cs="Times New Roman" w:eastAsia="Times New Roman" w:hAnsi="Times New Roman"/>
                <w:sz w:val="9"/>
                <w:szCs w:val="9"/>
                <w:b w:val="1"/>
                <w:bCs w:val="1"/>
                <w:color w:val="auto"/>
              </w:rPr>
              <w:t>Common</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Date distribution declared</w:t>
            </w:r>
          </w:p>
        </w:tc>
        <w:tc>
          <w:tcPr>
            <w:tcW w:w="120" w:type="dxa"/>
            <w:vAlign w:val="bottom"/>
          </w:tcPr>
          <w:p>
            <w:pPr>
              <w:spacing w:after="0"/>
              <w:rPr>
                <w:sz w:val="9"/>
                <w:szCs w:val="9"/>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9"/>
                <w:szCs w:val="9"/>
                <w:b w:val="1"/>
                <w:bCs w:val="1"/>
                <w:color w:val="auto"/>
              </w:rPr>
              <w:t>Distribution payment date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center"/>
              <w:ind w:right="56"/>
              <w:spacing w:after="0"/>
              <w:rPr>
                <w:sz w:val="20"/>
                <w:szCs w:val="20"/>
                <w:color w:val="auto"/>
              </w:rPr>
            </w:pPr>
            <w:r>
              <w:rPr>
                <w:rFonts w:ascii="Times New Roman" w:cs="Times New Roman" w:eastAsia="Times New Roman" w:hAnsi="Times New Roman"/>
                <w:sz w:val="9"/>
                <w:szCs w:val="9"/>
                <w:b w:val="1"/>
                <w:bCs w:val="1"/>
                <w:color w:val="auto"/>
                <w:w w:val="97"/>
              </w:rPr>
              <w:t>Units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7"/>
              </w:rPr>
              <w:t>Units</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Units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Units</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56"/>
              <w:spacing w:after="0"/>
              <w:rPr>
                <w:sz w:val="20"/>
                <w:szCs w:val="20"/>
                <w:color w:val="auto"/>
              </w:rPr>
            </w:pPr>
            <w:r>
              <w:rPr>
                <w:rFonts w:ascii="Times New Roman" w:cs="Times New Roman" w:eastAsia="Times New Roman" w:hAnsi="Times New Roman"/>
                <w:sz w:val="9"/>
                <w:szCs w:val="9"/>
                <w:b w:val="1"/>
                <w:bCs w:val="1"/>
                <w:color w:val="auto"/>
                <w:w w:val="97"/>
              </w:rPr>
              <w:t>Units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Units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center"/>
              <w:ind w:right="36"/>
              <w:spacing w:after="0"/>
              <w:rPr>
                <w:sz w:val="20"/>
                <w:szCs w:val="20"/>
                <w:color w:val="auto"/>
              </w:rPr>
            </w:pPr>
            <w:r>
              <w:rPr>
                <w:rFonts w:ascii="Times New Roman" w:cs="Times New Roman" w:eastAsia="Times New Roman" w:hAnsi="Times New Roman"/>
                <w:sz w:val="9"/>
                <w:szCs w:val="9"/>
                <w:b w:val="1"/>
                <w:bCs w:val="1"/>
                <w:color w:val="auto"/>
                <w:w w:val="97"/>
              </w:rPr>
              <w:t>Units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176"/>
              <w:spacing w:after="0"/>
              <w:rPr>
                <w:sz w:val="20"/>
                <w:szCs w:val="20"/>
                <w:color w:val="auto"/>
              </w:rPr>
            </w:pPr>
            <w:r>
              <w:rPr>
                <w:rFonts w:ascii="Times New Roman" w:cs="Times New Roman" w:eastAsia="Times New Roman" w:hAnsi="Times New Roman"/>
                <w:sz w:val="9"/>
                <w:szCs w:val="9"/>
                <w:b w:val="1"/>
                <w:bCs w:val="1"/>
                <w:color w:val="auto"/>
              </w:rPr>
              <w:t>Units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740" w:type="dxa"/>
            <w:vAlign w:val="bottom"/>
            <w:tcBorders>
              <w:top w:val="single" w:sz="8" w:color="auto"/>
            </w:tcBorders>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Mar 1, 2018</w:t>
            </w:r>
          </w:p>
        </w:tc>
        <w:tc>
          <w:tcPr>
            <w:tcW w:w="120" w:type="dxa"/>
            <w:vAlign w:val="bottom"/>
            <w:tcBorders>
              <w:top w:val="single" w:sz="8" w:color="CCEEFF"/>
            </w:tcBorders>
            <w:shd w:val="clear" w:color="auto" w:fill="CCEEFF"/>
          </w:tcPr>
          <w:p>
            <w:pPr>
              <w:spacing w:after="0"/>
              <w:rPr>
                <w:sz w:val="7"/>
                <w:szCs w:val="7"/>
                <w:color w:val="auto"/>
              </w:rPr>
            </w:pPr>
          </w:p>
        </w:tc>
        <w:tc>
          <w:tcPr>
            <w:tcW w:w="1460" w:type="dxa"/>
            <w:vAlign w:val="bottom"/>
            <w:tcBorders>
              <w:top w:val="single" w:sz="8" w:color="auto"/>
            </w:tcBorders>
            <w:gridSpan w:val="2"/>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March 30, 2018</w:t>
            </w: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3,672</w:t>
            </w: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6,730</w:t>
            </w: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Borders>
              <w:top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216,953</w:t>
            </w:r>
          </w:p>
        </w:tc>
        <w:tc>
          <w:tcPr>
            <w:tcW w:w="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jc w:val="right"/>
              <w:spacing w:after="0" w:line="67" w:lineRule="exact"/>
              <w:rPr>
                <w:sz w:val="20"/>
                <w:szCs w:val="20"/>
                <w:color w:val="auto"/>
              </w:rPr>
            </w:pPr>
            <w:r>
              <w:rPr>
                <w:rFonts w:ascii="Times New Roman" w:cs="Times New Roman" w:eastAsia="Times New Roman" w:hAnsi="Times New Roman"/>
                <w:sz w:val="7"/>
                <w:szCs w:val="7"/>
                <w:color w:val="auto"/>
                <w:w w:val="72"/>
              </w:rPr>
              <w:t>(1)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May 8, 2018</w:t>
            </w:r>
          </w:p>
        </w:tc>
        <w:tc>
          <w:tcPr>
            <w:tcW w:w="1580" w:type="dxa"/>
            <w:vAlign w:val="bottom"/>
            <w:gridSpan w:val="3"/>
          </w:tcPr>
          <w:p>
            <w:pPr>
              <w:ind w:left="100"/>
              <w:spacing w:after="0" w:line="95" w:lineRule="exact"/>
              <w:rPr>
                <w:sz w:val="20"/>
                <w:szCs w:val="20"/>
                <w:color w:val="auto"/>
              </w:rPr>
            </w:pPr>
            <w:r>
              <w:rPr>
                <w:rFonts w:ascii="Times New Roman" w:cs="Times New Roman" w:eastAsia="Times New Roman" w:hAnsi="Times New Roman"/>
                <w:sz w:val="9"/>
                <w:szCs w:val="9"/>
                <w:color w:val="auto"/>
              </w:rPr>
              <w:t>June 29, 2018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3,672</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6,730</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216,789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w w:val="97"/>
              </w:rPr>
              <w:t>(1)</w:t>
            </w:r>
          </w:p>
        </w:tc>
        <w:tc>
          <w:tcPr>
            <w:tcW w:w="0" w:type="dxa"/>
            <w:vAlign w:val="bottom"/>
          </w:tcPr>
          <w:p>
            <w:pPr>
              <w:spacing w:after="0"/>
              <w:rPr>
                <w:sz w:val="1"/>
                <w:szCs w:val="1"/>
                <w:color w:val="auto"/>
              </w:rPr>
            </w:pPr>
          </w:p>
        </w:tc>
      </w:tr>
      <w:tr>
        <w:trPr>
          <w:trHeight w:val="95"/>
        </w:trPr>
        <w:tc>
          <w:tcPr>
            <w:tcW w:w="176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Aug 14, 2018</w:t>
            </w:r>
          </w:p>
        </w:tc>
        <w:tc>
          <w:tcPr>
            <w:tcW w:w="1580" w:type="dxa"/>
            <w:vAlign w:val="bottom"/>
            <w:gridSpan w:val="3"/>
            <w:shd w:val="clear" w:color="auto" w:fill="CCEEFF"/>
          </w:tcPr>
          <w:p>
            <w:pPr>
              <w:ind w:left="100"/>
              <w:spacing w:after="0" w:line="95" w:lineRule="exact"/>
              <w:rPr>
                <w:sz w:val="20"/>
                <w:szCs w:val="20"/>
                <w:color w:val="auto"/>
              </w:rPr>
            </w:pPr>
            <w:r>
              <w:rPr>
                <w:rFonts w:ascii="Times New Roman" w:cs="Times New Roman" w:eastAsia="Times New Roman" w:hAnsi="Times New Roman"/>
                <w:sz w:val="9"/>
                <w:szCs w:val="9"/>
                <w:color w:val="auto"/>
              </w:rPr>
              <w:t>September 28, 2018</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3,672</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6,730</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216,825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w w:val="97"/>
              </w:rPr>
              <w:t>(1)</w:t>
            </w:r>
          </w:p>
        </w:tc>
        <w:tc>
          <w:tcPr>
            <w:tcW w:w="0" w:type="dxa"/>
            <w:vAlign w:val="bottom"/>
          </w:tcPr>
          <w:p>
            <w:pPr>
              <w:spacing w:after="0"/>
              <w:rPr>
                <w:sz w:val="1"/>
                <w:szCs w:val="1"/>
                <w:color w:val="auto"/>
              </w:rPr>
            </w:pPr>
          </w:p>
        </w:tc>
      </w:tr>
      <w:tr>
        <w:trPr>
          <w:trHeight w:val="82"/>
        </w:trPr>
        <w:tc>
          <w:tcPr>
            <w:tcW w:w="1760" w:type="dxa"/>
            <w:vAlign w:val="bottom"/>
            <w:gridSpan w:val="2"/>
          </w:tcPr>
          <w:p>
            <w:pPr>
              <w:spacing w:after="0" w:line="82" w:lineRule="exact"/>
              <w:rPr>
                <w:sz w:val="20"/>
                <w:szCs w:val="20"/>
                <w:color w:val="auto"/>
              </w:rPr>
            </w:pPr>
            <w:r>
              <w:rPr>
                <w:rFonts w:ascii="Times New Roman" w:cs="Times New Roman" w:eastAsia="Times New Roman" w:hAnsi="Times New Roman"/>
                <w:sz w:val="9"/>
                <w:szCs w:val="9"/>
                <w:color w:val="auto"/>
              </w:rPr>
              <w:t>Nov 12, 2018</w:t>
            </w:r>
          </w:p>
        </w:tc>
        <w:tc>
          <w:tcPr>
            <w:tcW w:w="1580" w:type="dxa"/>
            <w:vAlign w:val="bottom"/>
            <w:gridSpan w:val="3"/>
          </w:tcPr>
          <w:p>
            <w:pPr>
              <w:ind w:left="100"/>
              <w:spacing w:after="0" w:line="82" w:lineRule="exact"/>
              <w:rPr>
                <w:sz w:val="20"/>
                <w:szCs w:val="20"/>
                <w:color w:val="auto"/>
              </w:rPr>
            </w:pPr>
            <w:r>
              <w:rPr>
                <w:rFonts w:ascii="Times New Roman" w:cs="Times New Roman" w:eastAsia="Times New Roman" w:hAnsi="Times New Roman"/>
                <w:sz w:val="9"/>
                <w:szCs w:val="9"/>
                <w:color w:val="auto"/>
              </w:rPr>
              <w:t>December 31, 2018 for Preferred Units;</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7"/>
                <w:szCs w:val="7"/>
                <w:color w:val="auto"/>
                <w:w w:val="97"/>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9"/>
                <w:szCs w:val="9"/>
                <w:color w:val="auto"/>
              </w:rPr>
              <w:t>January 15, 2019 for Common Units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3,333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3,672</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6,730</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3,969</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2,625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216,838</w:t>
            </w: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74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360" w:type="dxa"/>
            <w:vAlign w:val="bottom"/>
            <w:tcBorders>
              <w:top w:val="single" w:sz="8" w:color="CCEEFF"/>
              <w:bottom w:val="single" w:sz="8" w:color="CCEEFF"/>
            </w:tcBorders>
            <w:shd w:val="clear" w:color="auto" w:fill="CCEEFF"/>
          </w:tcPr>
          <w:p>
            <w:pPr>
              <w:spacing w:after="0"/>
              <w:rPr>
                <w:sz w:val="9"/>
                <w:szCs w:val="9"/>
                <w:color w:val="auto"/>
              </w:rPr>
            </w:pPr>
          </w:p>
        </w:tc>
        <w:tc>
          <w:tcPr>
            <w:tcW w:w="11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13,332</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14,688</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26,920</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15,876</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10,500</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gridSpan w:val="2"/>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Borders>
              <w:top w:val="single" w:sz="8" w:color="auto"/>
              <w:bottom w:val="single" w:sz="8" w:color="auto"/>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867,405</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740" w:type="dxa"/>
            <w:vAlign w:val="bottom"/>
          </w:tcPr>
          <w:p>
            <w:pPr>
              <w:spacing w:after="0" w:line="84" w:lineRule="exact"/>
              <w:rPr>
                <w:sz w:val="20"/>
                <w:szCs w:val="20"/>
                <w:color w:val="auto"/>
              </w:rPr>
            </w:pPr>
            <w:r>
              <w:rPr>
                <w:rFonts w:ascii="Times New Roman" w:cs="Times New Roman" w:eastAsia="Times New Roman" w:hAnsi="Times New Roman"/>
                <w:sz w:val="9"/>
                <w:szCs w:val="9"/>
                <w:color w:val="auto"/>
              </w:rPr>
              <w:t>February 21, 2019</w:t>
            </w:r>
          </w:p>
        </w:tc>
        <w:tc>
          <w:tcPr>
            <w:tcW w:w="1580" w:type="dxa"/>
            <w:vAlign w:val="bottom"/>
            <w:gridSpan w:val="3"/>
          </w:tcPr>
          <w:p>
            <w:pPr>
              <w:ind w:left="100"/>
              <w:spacing w:after="0" w:line="84" w:lineRule="exact"/>
              <w:rPr>
                <w:sz w:val="20"/>
                <w:szCs w:val="20"/>
                <w:color w:val="auto"/>
              </w:rPr>
            </w:pPr>
            <w:r>
              <w:rPr>
                <w:rFonts w:ascii="Times New Roman" w:cs="Times New Roman" w:eastAsia="Times New Roman" w:hAnsi="Times New Roman"/>
                <w:sz w:val="9"/>
                <w:szCs w:val="9"/>
                <w:color w:val="auto"/>
              </w:rPr>
              <w:t>March 29, 2019</w:t>
            </w:r>
          </w:p>
        </w:tc>
        <w:tc>
          <w:tcPr>
            <w:tcW w:w="120" w:type="dxa"/>
            <w:vAlign w:val="bottom"/>
          </w:tcPr>
          <w:p>
            <w:pPr>
              <w:spacing w:after="0"/>
              <w:rPr>
                <w:sz w:val="7"/>
                <w:szCs w:val="7"/>
                <w:color w:val="auto"/>
              </w:rPr>
            </w:pPr>
          </w:p>
        </w:tc>
        <w:tc>
          <w:tcPr>
            <w:tcW w:w="8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3,672</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6,730</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7"/>
                <w:szCs w:val="7"/>
                <w:color w:val="auto"/>
              </w:rPr>
            </w:pPr>
          </w:p>
        </w:tc>
        <w:tc>
          <w:tcPr>
            <w:tcW w:w="100" w:type="dxa"/>
            <w:vAlign w:val="bottom"/>
            <w:gridSpan w:val="2"/>
          </w:tcPr>
          <w:p>
            <w:pPr>
              <w:spacing w:after="0"/>
              <w:rPr>
                <w:sz w:val="7"/>
                <w:szCs w:val="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235,256</w:t>
            </w:r>
          </w:p>
        </w:tc>
        <w:tc>
          <w:tcPr>
            <w:tcW w:w="20" w:type="dxa"/>
            <w:vAlign w:val="bottom"/>
          </w:tcPr>
          <w:p>
            <w:pPr>
              <w:spacing w:after="0"/>
              <w:rPr>
                <w:sz w:val="7"/>
                <w:szCs w:val="7"/>
                <w:color w:val="auto"/>
              </w:rPr>
            </w:pPr>
          </w:p>
        </w:tc>
        <w:tc>
          <w:tcPr>
            <w:tcW w:w="100" w:type="dxa"/>
            <w:vAlign w:val="bottom"/>
          </w:tcPr>
          <w:p>
            <w:pPr>
              <w:jc w:val="right"/>
              <w:spacing w:after="0" w:line="66" w:lineRule="exact"/>
              <w:rPr>
                <w:sz w:val="20"/>
                <w:szCs w:val="20"/>
                <w:color w:val="auto"/>
              </w:rPr>
            </w:pPr>
            <w:r>
              <w:rPr>
                <w:rFonts w:ascii="Times New Roman" w:cs="Times New Roman" w:eastAsia="Times New Roman" w:hAnsi="Times New Roman"/>
                <w:sz w:val="7"/>
                <w:szCs w:val="7"/>
                <w:color w:val="auto"/>
                <w:w w:val="72"/>
              </w:rPr>
              <w:t>(4)</w:t>
            </w:r>
          </w:p>
        </w:tc>
        <w:tc>
          <w:tcPr>
            <w:tcW w:w="0" w:type="dxa"/>
            <w:vAlign w:val="bottom"/>
          </w:tcPr>
          <w:p>
            <w:pPr>
              <w:spacing w:after="0"/>
              <w:rPr>
                <w:sz w:val="1"/>
                <w:szCs w:val="1"/>
                <w:color w:val="auto"/>
              </w:rPr>
            </w:pPr>
          </w:p>
        </w:tc>
      </w:tr>
      <w:tr>
        <w:trPr>
          <w:trHeight w:val="95"/>
        </w:trPr>
        <w:tc>
          <w:tcPr>
            <w:tcW w:w="176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May 13, 2019</w:t>
            </w:r>
          </w:p>
        </w:tc>
        <w:tc>
          <w:tcPr>
            <w:tcW w:w="1580" w:type="dxa"/>
            <w:vAlign w:val="bottom"/>
            <w:gridSpan w:val="3"/>
            <w:shd w:val="clear" w:color="auto" w:fill="CCEEFF"/>
          </w:tcPr>
          <w:p>
            <w:pPr>
              <w:ind w:left="100"/>
              <w:spacing w:after="0" w:line="95" w:lineRule="exact"/>
              <w:rPr>
                <w:sz w:val="20"/>
                <w:szCs w:val="20"/>
                <w:color w:val="auto"/>
              </w:rPr>
            </w:pPr>
            <w:r>
              <w:rPr>
                <w:rFonts w:ascii="Times New Roman" w:cs="Times New Roman" w:eastAsia="Times New Roman" w:hAnsi="Times New Roman"/>
                <w:sz w:val="9"/>
                <w:szCs w:val="9"/>
                <w:color w:val="auto"/>
              </w:rPr>
              <w:t>June 28, 2019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3,672</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60"/>
              <w:spacing w:after="0" w:line="95" w:lineRule="exact"/>
              <w:rPr>
                <w:sz w:val="20"/>
                <w:szCs w:val="20"/>
                <w:color w:val="auto"/>
              </w:rPr>
            </w:pPr>
            <w:r>
              <w:rPr>
                <w:rFonts w:ascii="Times New Roman" w:cs="Times New Roman" w:eastAsia="Times New Roman" w:hAnsi="Times New Roman"/>
                <w:sz w:val="11"/>
                <w:szCs w:val="11"/>
                <w:color w:val="auto"/>
                <w:vertAlign w:val="subscript"/>
              </w:rPr>
              <w:t>—</w:t>
            </w:r>
            <w:r>
              <w:rPr>
                <w:rFonts w:ascii="Times New Roman" w:cs="Times New Roman" w:eastAsia="Times New Roman" w:hAnsi="Times New Roman"/>
                <w:sz w:val="5"/>
                <w:szCs w:val="5"/>
                <w:color w:val="auto"/>
              </w:rPr>
              <w:t xml:space="preserve"> (2)</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3,686</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w w:val="72"/>
              </w:rPr>
              <w:t>(3)</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235,142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w w:val="97"/>
              </w:rPr>
              <w:t>(4)</w:t>
            </w:r>
          </w:p>
        </w:tc>
        <w:tc>
          <w:tcPr>
            <w:tcW w:w="0" w:type="dxa"/>
            <w:vAlign w:val="bottom"/>
          </w:tcPr>
          <w:p>
            <w:pPr>
              <w:spacing w:after="0"/>
              <w:rPr>
                <w:sz w:val="1"/>
                <w:szCs w:val="1"/>
                <w:color w:val="auto"/>
              </w:rPr>
            </w:pPr>
          </w:p>
        </w:tc>
      </w:tr>
      <w:tr>
        <w:trPr>
          <w:trHeight w:val="95"/>
        </w:trPr>
        <w:tc>
          <w:tcPr>
            <w:tcW w:w="176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August 13, 2019</w:t>
            </w:r>
          </w:p>
        </w:tc>
        <w:tc>
          <w:tcPr>
            <w:tcW w:w="1580" w:type="dxa"/>
            <w:vAlign w:val="bottom"/>
            <w:gridSpan w:val="3"/>
          </w:tcPr>
          <w:p>
            <w:pPr>
              <w:ind w:left="100"/>
              <w:spacing w:after="0" w:line="95" w:lineRule="exact"/>
              <w:rPr>
                <w:sz w:val="20"/>
                <w:szCs w:val="20"/>
                <w:color w:val="auto"/>
              </w:rPr>
            </w:pPr>
            <w:r>
              <w:rPr>
                <w:rFonts w:ascii="Times New Roman" w:cs="Times New Roman" w:eastAsia="Times New Roman" w:hAnsi="Times New Roman"/>
                <w:sz w:val="9"/>
                <w:szCs w:val="9"/>
                <w:color w:val="auto"/>
              </w:rPr>
              <w:t>September 30, 2019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3,672</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3,071</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235,164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w w:val="97"/>
              </w:rPr>
              <w:t>(4)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740" w:type="dxa"/>
            <w:vAlign w:val="bottom"/>
            <w:shd w:val="clear" w:color="auto" w:fill="CCEEFF"/>
          </w:tcPr>
          <w:p>
            <w:pPr>
              <w:spacing w:after="0" w:line="82" w:lineRule="exact"/>
              <w:rPr>
                <w:sz w:val="20"/>
                <w:szCs w:val="20"/>
                <w:color w:val="auto"/>
              </w:rPr>
            </w:pPr>
            <w:r>
              <w:rPr>
                <w:rFonts w:ascii="Times New Roman" w:cs="Times New Roman" w:eastAsia="Times New Roman" w:hAnsi="Times New Roman"/>
                <w:sz w:val="9"/>
                <w:szCs w:val="9"/>
                <w:color w:val="auto"/>
              </w:rPr>
              <w:t>November 19, 2019</w:t>
            </w:r>
          </w:p>
        </w:tc>
        <w:tc>
          <w:tcPr>
            <w:tcW w:w="1580" w:type="dxa"/>
            <w:vAlign w:val="bottom"/>
            <w:gridSpan w:val="3"/>
            <w:shd w:val="clear" w:color="auto" w:fill="CCEEFF"/>
          </w:tcPr>
          <w:p>
            <w:pPr>
              <w:ind w:left="100"/>
              <w:spacing w:after="0" w:line="82" w:lineRule="exact"/>
              <w:rPr>
                <w:sz w:val="20"/>
                <w:szCs w:val="20"/>
                <w:color w:val="auto"/>
              </w:rPr>
            </w:pPr>
            <w:r>
              <w:rPr>
                <w:rFonts w:ascii="Times New Roman" w:cs="Times New Roman" w:eastAsia="Times New Roman" w:hAnsi="Times New Roman"/>
                <w:sz w:val="9"/>
                <w:szCs w:val="9"/>
                <w:color w:val="auto"/>
              </w:rPr>
              <w:t>December 31, 2019 for Preferred Units;</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w w:val="72"/>
              </w:rPr>
              <w:t>(5)</w:t>
            </w: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w w:val="97"/>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January 15, 2020 for Common Units</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3,333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3,672</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3,969</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2,625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3,071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4,036</w:t>
            </w:r>
          </w:p>
        </w:tc>
        <w:tc>
          <w:tcPr>
            <w:tcW w:w="10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235,154</w:t>
            </w:r>
          </w:p>
        </w:tc>
        <w:tc>
          <w:tcPr>
            <w:tcW w:w="12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74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11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13,332</w:t>
            </w:r>
          </w:p>
        </w:tc>
        <w:tc>
          <w:tcPr>
            <w:tcW w:w="12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14,688</w:t>
            </w:r>
          </w:p>
        </w:tc>
        <w:tc>
          <w:tcPr>
            <w:tcW w:w="8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6,730</w:t>
            </w:r>
          </w:p>
        </w:tc>
        <w:tc>
          <w:tcPr>
            <w:tcW w:w="1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15,876</w:t>
            </w:r>
          </w:p>
        </w:tc>
        <w:tc>
          <w:tcPr>
            <w:tcW w:w="10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10,500</w:t>
            </w:r>
          </w:p>
        </w:tc>
        <w:tc>
          <w:tcPr>
            <w:tcW w:w="12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9,828</w:t>
            </w:r>
          </w:p>
        </w:tc>
        <w:tc>
          <w:tcPr>
            <w:tcW w:w="2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CCEEFF"/>
            </w:tcBorders>
            <w:gridSpan w:val="2"/>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4,036</w:t>
            </w:r>
          </w:p>
        </w:tc>
        <w:tc>
          <w:tcPr>
            <w:tcW w:w="2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940,716</w:t>
            </w:r>
          </w:p>
        </w:tc>
        <w:tc>
          <w:tcPr>
            <w:tcW w:w="2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1740" w:type="dxa"/>
            <w:vAlign w:val="bottom"/>
          </w:tcPr>
          <w:p>
            <w:pPr>
              <w:spacing w:after="0" w:line="95" w:lineRule="exact"/>
              <w:rPr>
                <w:sz w:val="20"/>
                <w:szCs w:val="20"/>
                <w:color w:val="auto"/>
              </w:rPr>
            </w:pPr>
            <w:r>
              <w:rPr>
                <w:rFonts w:ascii="Times New Roman" w:cs="Times New Roman" w:eastAsia="Times New Roman" w:hAnsi="Times New Roman"/>
                <w:sz w:val="9"/>
                <w:szCs w:val="9"/>
                <w:color w:val="auto"/>
              </w:rPr>
              <w:t>February 26, 2020</w:t>
            </w:r>
          </w:p>
        </w:tc>
        <w:tc>
          <w:tcPr>
            <w:tcW w:w="1580" w:type="dxa"/>
            <w:vAlign w:val="bottom"/>
            <w:gridSpan w:val="3"/>
          </w:tcPr>
          <w:p>
            <w:pPr>
              <w:ind w:left="100"/>
              <w:spacing w:after="0" w:line="95" w:lineRule="exact"/>
              <w:rPr>
                <w:sz w:val="20"/>
                <w:szCs w:val="20"/>
                <w:color w:val="auto"/>
              </w:rPr>
            </w:pPr>
            <w:r>
              <w:rPr>
                <w:rFonts w:ascii="Times New Roman" w:cs="Times New Roman" w:eastAsia="Times New Roman" w:hAnsi="Times New Roman"/>
                <w:sz w:val="9"/>
                <w:szCs w:val="9"/>
                <w:color w:val="auto"/>
              </w:rPr>
              <w:t>March 31, 2020</w:t>
            </w:r>
          </w:p>
        </w:tc>
        <w:tc>
          <w:tcPr>
            <w:tcW w:w="200" w:type="dxa"/>
            <w:vAlign w:val="bottom"/>
            <w:gridSpan w:val="2"/>
          </w:tcPr>
          <w:p>
            <w:pPr>
              <w:jc w:val="right"/>
              <w:ind w:right="18"/>
              <w:spacing w:after="0" w:line="95"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3,333</w:t>
            </w:r>
          </w:p>
        </w:tc>
        <w:tc>
          <w:tcPr>
            <w:tcW w:w="1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3,672</w:t>
            </w:r>
          </w:p>
        </w:tc>
        <w:tc>
          <w:tcPr>
            <w:tcW w:w="80" w:type="dxa"/>
            <w:vAlign w:val="bottom"/>
          </w:tcPr>
          <w:p>
            <w:pPr>
              <w:spacing w:after="0"/>
              <w:rPr>
                <w:sz w:val="8"/>
                <w:szCs w:val="8"/>
                <w:color w:val="auto"/>
              </w:rPr>
            </w:pPr>
          </w:p>
        </w:tc>
        <w:tc>
          <w:tcPr>
            <w:tcW w:w="1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gridSpan w:val="2"/>
          </w:tcPr>
          <w:p>
            <w:pPr>
              <w:jc w:val="right"/>
              <w:ind w:right="18"/>
              <w:spacing w:after="0" w:line="95" w:lineRule="exact"/>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tcPr>
          <w:p>
            <w:pPr>
              <w:spacing w:after="0"/>
              <w:rPr>
                <w:sz w:val="8"/>
                <w:szCs w:val="8"/>
                <w:color w:val="auto"/>
              </w:rPr>
            </w:pPr>
          </w:p>
        </w:tc>
        <w:tc>
          <w:tcPr>
            <w:tcW w:w="1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2,625</w:t>
            </w:r>
          </w:p>
        </w:tc>
        <w:tc>
          <w:tcPr>
            <w:tcW w:w="1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3,071</w:t>
            </w:r>
          </w:p>
        </w:tc>
        <w:tc>
          <w:tcPr>
            <w:tcW w:w="180" w:type="dxa"/>
            <w:vAlign w:val="bottom"/>
            <w:gridSpan w:val="4"/>
          </w:tcPr>
          <w:p>
            <w:pPr>
              <w:jc w:val="right"/>
              <w:spacing w:after="0" w:line="95"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4,485</w:t>
            </w:r>
          </w:p>
        </w:tc>
        <w:tc>
          <w:tcPr>
            <w:tcW w:w="200" w:type="dxa"/>
            <w:vAlign w:val="bottom"/>
            <w:gridSpan w:val="3"/>
          </w:tcPr>
          <w:p>
            <w:pPr>
              <w:jc w:val="right"/>
              <w:ind w:right="38"/>
              <w:spacing w:after="0" w:line="95"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305,267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w w:val="97"/>
              </w:rPr>
              <w:t>(8)</w:t>
            </w:r>
          </w:p>
        </w:tc>
        <w:tc>
          <w:tcPr>
            <w:tcW w:w="0" w:type="dxa"/>
            <w:vAlign w:val="bottom"/>
          </w:tcPr>
          <w:p>
            <w:pPr>
              <w:spacing w:after="0"/>
              <w:rPr>
                <w:sz w:val="1"/>
                <w:szCs w:val="1"/>
                <w:color w:val="auto"/>
              </w:rPr>
            </w:pPr>
          </w:p>
        </w:tc>
      </w:tr>
      <w:tr>
        <w:trPr>
          <w:trHeight w:val="95"/>
        </w:trPr>
        <w:tc>
          <w:tcPr>
            <w:tcW w:w="176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May 12, 2020</w:t>
            </w:r>
          </w:p>
        </w:tc>
        <w:tc>
          <w:tcPr>
            <w:tcW w:w="1580" w:type="dxa"/>
            <w:vAlign w:val="bottom"/>
            <w:gridSpan w:val="3"/>
            <w:shd w:val="clear" w:color="auto" w:fill="CCEEFF"/>
          </w:tcPr>
          <w:p>
            <w:pPr>
              <w:ind w:left="100"/>
              <w:spacing w:after="0" w:line="95" w:lineRule="exact"/>
              <w:rPr>
                <w:sz w:val="20"/>
                <w:szCs w:val="20"/>
                <w:color w:val="auto"/>
              </w:rPr>
            </w:pPr>
            <w:r>
              <w:rPr>
                <w:rFonts w:ascii="Times New Roman" w:cs="Times New Roman" w:eastAsia="Times New Roman" w:hAnsi="Times New Roman"/>
                <w:sz w:val="9"/>
                <w:szCs w:val="9"/>
                <w:color w:val="auto"/>
              </w:rPr>
              <w:t>June 30, 2020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3,672</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3,969</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3,071</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4,485</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9"/>
                <w:szCs w:val="9"/>
                <w:color w:val="auto"/>
              </w:rPr>
              <w:t>310,421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w w:val="97"/>
              </w:rPr>
              <w:t>(8)</w:t>
            </w:r>
          </w:p>
        </w:tc>
        <w:tc>
          <w:tcPr>
            <w:tcW w:w="0" w:type="dxa"/>
            <w:vAlign w:val="bottom"/>
          </w:tcPr>
          <w:p>
            <w:pPr>
              <w:spacing w:after="0"/>
              <w:rPr>
                <w:sz w:val="1"/>
                <w:szCs w:val="1"/>
                <w:color w:val="auto"/>
              </w:rPr>
            </w:pPr>
          </w:p>
        </w:tc>
      </w:tr>
      <w:tr>
        <w:trPr>
          <w:trHeight w:val="95"/>
        </w:trPr>
        <w:tc>
          <w:tcPr>
            <w:tcW w:w="1760" w:type="dxa"/>
            <w:vAlign w:val="bottom"/>
            <w:gridSpan w:val="2"/>
          </w:tcPr>
          <w:p>
            <w:pPr>
              <w:spacing w:after="0" w:line="95" w:lineRule="exact"/>
              <w:rPr>
                <w:sz w:val="20"/>
                <w:szCs w:val="20"/>
                <w:color w:val="auto"/>
              </w:rPr>
            </w:pPr>
            <w:r>
              <w:rPr>
                <w:rFonts w:ascii="Times New Roman" w:cs="Times New Roman" w:eastAsia="Times New Roman" w:hAnsi="Times New Roman"/>
                <w:sz w:val="9"/>
                <w:szCs w:val="9"/>
                <w:color w:val="auto"/>
              </w:rPr>
              <w:t>August 11, 2020</w:t>
            </w:r>
          </w:p>
        </w:tc>
        <w:tc>
          <w:tcPr>
            <w:tcW w:w="1580" w:type="dxa"/>
            <w:vAlign w:val="bottom"/>
            <w:gridSpan w:val="3"/>
          </w:tcPr>
          <w:p>
            <w:pPr>
              <w:ind w:left="100"/>
              <w:spacing w:after="0" w:line="95" w:lineRule="exact"/>
              <w:rPr>
                <w:sz w:val="20"/>
                <w:szCs w:val="20"/>
                <w:color w:val="auto"/>
              </w:rPr>
            </w:pPr>
            <w:r>
              <w:rPr>
                <w:rFonts w:ascii="Times New Roman" w:cs="Times New Roman" w:eastAsia="Times New Roman" w:hAnsi="Times New Roman"/>
                <w:sz w:val="9"/>
                <w:szCs w:val="9"/>
                <w:color w:val="auto"/>
              </w:rPr>
              <w:t>September 30, 2020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3,333</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3,672</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ind w:left="360"/>
              <w:spacing w:after="0" w:line="95"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6"/>
                <w:szCs w:val="6"/>
                <w:color w:val="auto"/>
              </w:rPr>
              <w:t>(7)</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2,625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3,071</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4,485</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Times New Roman" w:cs="Times New Roman" w:eastAsia="Times New Roman" w:hAnsi="Times New Roman"/>
                <w:sz w:val="9"/>
                <w:szCs w:val="9"/>
                <w:color w:val="auto"/>
              </w:rPr>
              <w:t>312,262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w w:val="97"/>
              </w:rPr>
              <w:t>(8)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740" w:type="dxa"/>
            <w:vAlign w:val="bottom"/>
            <w:shd w:val="clear" w:color="auto" w:fill="CCEEFF"/>
          </w:tcPr>
          <w:p>
            <w:pPr>
              <w:spacing w:after="0" w:line="82" w:lineRule="exact"/>
              <w:rPr>
                <w:sz w:val="20"/>
                <w:szCs w:val="20"/>
                <w:color w:val="auto"/>
              </w:rPr>
            </w:pPr>
            <w:r>
              <w:rPr>
                <w:rFonts w:ascii="Times New Roman" w:cs="Times New Roman" w:eastAsia="Times New Roman" w:hAnsi="Times New Roman"/>
                <w:sz w:val="9"/>
                <w:szCs w:val="9"/>
                <w:color w:val="auto"/>
              </w:rPr>
              <w:t>November 10, 2020</w:t>
            </w:r>
          </w:p>
        </w:tc>
        <w:tc>
          <w:tcPr>
            <w:tcW w:w="1580" w:type="dxa"/>
            <w:vAlign w:val="bottom"/>
            <w:gridSpan w:val="3"/>
            <w:shd w:val="clear" w:color="auto" w:fill="CCEEFF"/>
          </w:tcPr>
          <w:p>
            <w:pPr>
              <w:ind w:left="100"/>
              <w:spacing w:after="0" w:line="82" w:lineRule="exact"/>
              <w:rPr>
                <w:sz w:val="20"/>
                <w:szCs w:val="20"/>
                <w:color w:val="auto"/>
              </w:rPr>
            </w:pPr>
            <w:r>
              <w:rPr>
                <w:rFonts w:ascii="Times New Roman" w:cs="Times New Roman" w:eastAsia="Times New Roman" w:hAnsi="Times New Roman"/>
                <w:sz w:val="9"/>
                <w:szCs w:val="9"/>
                <w:color w:val="auto"/>
              </w:rPr>
              <w:t>December 31, 2020 for Preferred Units;</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w w:val="97"/>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January 15, 2021 for Common Units</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3,333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9"/>
                <w:szCs w:val="9"/>
                <w:color w:val="auto"/>
                <w:w w:val="98"/>
              </w:rPr>
              <w:t xml:space="preserve">— </w:t>
            </w:r>
            <w:r>
              <w:rPr>
                <w:rFonts w:ascii="Times New Roman" w:cs="Times New Roman" w:eastAsia="Times New Roman" w:hAnsi="Times New Roman"/>
                <w:sz w:val="6"/>
                <w:szCs w:val="6"/>
                <w:color w:val="auto"/>
                <w:w w:val="98"/>
              </w:rPr>
              <w:t>(6)</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2,625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3,071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4,485</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323,453</w:t>
            </w:r>
          </w:p>
        </w:tc>
        <w:tc>
          <w:tcPr>
            <w:tcW w:w="12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74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11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13,332</w:t>
            </w:r>
          </w:p>
        </w:tc>
        <w:tc>
          <w:tcPr>
            <w:tcW w:w="12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11,016</w:t>
            </w:r>
          </w:p>
        </w:tc>
        <w:tc>
          <w:tcPr>
            <w:tcW w:w="8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7,938</w:t>
            </w:r>
          </w:p>
        </w:tc>
        <w:tc>
          <w:tcPr>
            <w:tcW w:w="10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10,500</w:t>
            </w:r>
          </w:p>
        </w:tc>
        <w:tc>
          <w:tcPr>
            <w:tcW w:w="12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12,284</w:t>
            </w:r>
          </w:p>
        </w:tc>
        <w:tc>
          <w:tcPr>
            <w:tcW w:w="2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CCEEFF"/>
            </w:tcBorders>
            <w:gridSpan w:val="2"/>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17,940</w:t>
            </w:r>
          </w:p>
        </w:tc>
        <w:tc>
          <w:tcPr>
            <w:tcW w:w="2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9"/>
                <w:szCs w:val="9"/>
                <w:color w:val="auto"/>
              </w:rPr>
              <w:t>1,251,403</w:t>
            </w:r>
          </w:p>
        </w:tc>
        <w:tc>
          <w:tcPr>
            <w:tcW w:w="2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9"/>
                <w:szCs w:val="9"/>
                <w:color w:val="auto"/>
              </w:rPr>
              <w:t>Annual rate of distribution per unit</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1.65625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1.46875</w:t>
            </w:r>
          </w:p>
        </w:tc>
        <w:tc>
          <w:tcPr>
            <w:tcW w:w="80" w:type="dxa"/>
            <w:vAlign w:val="bottom"/>
          </w:tcPr>
          <w:p>
            <w:pPr>
              <w:spacing w:after="0"/>
              <w:rPr>
                <w:sz w:val="9"/>
                <w:szCs w:val="9"/>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1.84375</w:t>
            </w:r>
          </w:p>
        </w:tc>
        <w:tc>
          <w:tcPr>
            <w:tcW w:w="100" w:type="dxa"/>
            <w:vAlign w:val="bottom"/>
          </w:tcPr>
          <w:p>
            <w:pPr>
              <w:spacing w:after="0"/>
              <w:rPr>
                <w:sz w:val="9"/>
                <w:szCs w:val="9"/>
                <w:color w:val="auto"/>
              </w:rPr>
            </w:pPr>
          </w:p>
        </w:tc>
        <w:tc>
          <w:tcPr>
            <w:tcW w:w="10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1.58750</w:t>
            </w:r>
          </w:p>
        </w:tc>
        <w:tc>
          <w:tcPr>
            <w:tcW w:w="100" w:type="dxa"/>
            <w:vAlign w:val="bottom"/>
          </w:tcPr>
          <w:p>
            <w:pPr>
              <w:spacing w:after="0"/>
              <w:rPr>
                <w:sz w:val="9"/>
                <w:szCs w:val="9"/>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1.31250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1.46250</w:t>
            </w:r>
          </w:p>
        </w:tc>
        <w:tc>
          <w:tcPr>
            <w:tcW w:w="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1.30000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180" w:type="dxa"/>
            <w:vAlign w:val="bottom"/>
            <w:gridSpan w:val="4"/>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hanging="235"/>
        <w:spacing w:after="0"/>
        <w:tabs>
          <w:tab w:leader="none" w:pos="26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$4.040 annual rate of distribution per unit.</w:t>
      </w:r>
    </w:p>
    <w:p>
      <w:pPr>
        <w:spacing w:after="0" w:line="15" w:lineRule="exact"/>
        <w:rPr>
          <w:rFonts w:ascii="Times New Roman" w:cs="Times New Roman" w:eastAsia="Times New Roman" w:hAnsi="Times New Roman"/>
          <w:sz w:val="13"/>
          <w:szCs w:val="13"/>
          <w:color w:val="auto"/>
        </w:rPr>
      </w:pPr>
    </w:p>
    <w:p>
      <w:pPr>
        <w:ind w:left="260" w:right="99" w:hanging="235"/>
        <w:spacing w:after="0" w:line="243" w:lineRule="auto"/>
        <w:tabs>
          <w:tab w:leader="none" w:pos="26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Redeemed on April 1, 2019 for $25.00 per unit, or a redemption price of $25.00 per unit, plus accrued and unpaid distributions up to but not including the redemption date. In connection with the redemption, the previously incurred offering costs of approximately $11.8 million were recorded as a reduction to net income available to common unitholders.</w:t>
      </w:r>
    </w:p>
    <w:p>
      <w:pPr>
        <w:spacing w:after="0" w:line="1"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 pro rata distribution from and including the original issue date to and including June 30, 2019.</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$4.320 annual rate of distribution per unit.</w:t>
      </w:r>
    </w:p>
    <w:p>
      <w:pPr>
        <w:spacing w:after="0" w:line="2"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 pro rata distribution from and including the original issue date to and including December 31, 2019.</w:t>
      </w:r>
    </w:p>
    <w:p>
      <w:pPr>
        <w:spacing w:after="0" w:line="2" w:lineRule="exact"/>
        <w:rPr>
          <w:rFonts w:ascii="Times New Roman" w:cs="Times New Roman" w:eastAsia="Times New Roman" w:hAnsi="Times New Roman"/>
          <w:sz w:val="13"/>
          <w:szCs w:val="13"/>
          <w:color w:val="auto"/>
        </w:rPr>
      </w:pPr>
    </w:p>
    <w:p>
      <w:pPr>
        <w:ind w:left="260" w:right="519" w:hanging="235"/>
        <w:spacing w:after="0" w:line="247" w:lineRule="auto"/>
        <w:tabs>
          <w:tab w:leader="none" w:pos="26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Redeemed on October 15, 2020 for $25.057118 per unit, or a redemption price of $25.00 per unit, plus accrued and unpaid distributions up to but not including the redemption date. In connection with the redemption, the previously</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76" w:name="page177"/>
    <w:bookmarkEnd w:id="17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incurred offering costs of approximately $8.2 million were recorded as a reduction to net income available to common unitholders.</w:t>
      </w:r>
    </w:p>
    <w:p>
      <w:pPr>
        <w:spacing w:after="0" w:line="15" w:lineRule="exact"/>
        <w:rPr>
          <w:sz w:val="20"/>
          <w:szCs w:val="20"/>
          <w:color w:val="auto"/>
        </w:rPr>
      </w:pPr>
    </w:p>
    <w:p>
      <w:pPr>
        <w:ind w:left="260" w:right="419" w:hanging="235"/>
        <w:spacing w:after="0" w:line="243" w:lineRule="auto"/>
        <w:tabs>
          <w:tab w:leader="none" w:pos="26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Redeemed on September 8, 2020 for $25.29545 per unit, or a redemption price of $25.00 per unit, plus accrued and unpaid distributions up to but not including the redemption date. In connection with the redemption, the previously incurred offering costs of approximately $8.0 million were recorded as a reduction to net income available to common unitholders</w:t>
      </w:r>
    </w:p>
    <w:p>
      <w:pPr>
        <w:spacing w:after="0" w:line="1"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$4.480 annual rate of distribution per unit.</w:t>
      </w:r>
    </w:p>
    <w:p>
      <w:pPr>
        <w:spacing w:after="0" w:line="139"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(g) Accumulated Other Comprehensive Income (Loss)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accumulated balances for each item within other comprehensive income (loss) are as follows (in thousands):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Foreign currency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Accumulated other</w:t>
            </w: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translation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Cash flow hedge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investment hedge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comprehensive</w:t>
            </w:r>
          </w:p>
        </w:tc>
      </w:tr>
      <w:tr>
        <w:trPr>
          <w:trHeight w:val="149"/>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income (loss)</w:t>
            </w:r>
          </w:p>
        </w:tc>
      </w:tr>
      <w:tr>
        <w:trPr>
          <w:trHeight w:val="136"/>
        </w:trPr>
        <w:tc>
          <w:tcPr>
            <w:tcW w:w="20" w:type="dxa"/>
            <w:vAlign w:val="bottom"/>
          </w:tcPr>
          <w:p>
            <w:pPr>
              <w:spacing w:after="0"/>
              <w:rPr>
                <w:sz w:val="11"/>
                <w:szCs w:val="11"/>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2018</w:t>
            </w: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(163,531)</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16,986</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5"/>
                <w:szCs w:val="5"/>
                <w:color w:val="auto"/>
                <w:w w:val="7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26,152</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(120,393)</w:t>
            </w: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Net current period change</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14,743</w:t>
            </w:r>
          </w:p>
        </w:tc>
      </w:tr>
      <w:tr>
        <w:trPr>
          <w:trHeight w:val="133"/>
        </w:trPr>
        <w:tc>
          <w:tcPr>
            <w:tcW w:w="20" w:type="dxa"/>
            <w:vAlign w:val="bottom"/>
          </w:tcPr>
          <w:p>
            <w:pPr>
              <w:spacing w:after="0"/>
              <w:rPr>
                <w:sz w:val="11"/>
                <w:szCs w:val="11"/>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of foreign currency translation adjustment due to</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1"/>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deconsolidation of Ascenty</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21,687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21,687</w:t>
            </w: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Reclassification to interest expense from interest rate swaps</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(7,446)</w:t>
            </w:r>
          </w:p>
        </w:tc>
      </w:tr>
      <w:tr>
        <w:trPr>
          <w:trHeight w:val="132"/>
        </w:trPr>
        <w:tc>
          <w:tcPr>
            <w:tcW w:w="20" w:type="dxa"/>
            <w:vAlign w:val="bottom"/>
          </w:tcPr>
          <w:p>
            <w:pPr>
              <w:spacing w:after="0"/>
              <w:rPr>
                <w:sz w:val="11"/>
                <w:szCs w:val="11"/>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2019</w:t>
            </w: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(117,869)</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5"/>
                <w:szCs w:val="5"/>
                <w:color w:val="auto"/>
                <w:w w:val="7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26,152</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(91,409)</w:t>
            </w: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Net current period change</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216,815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(12,425)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13,525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217,915</w:t>
            </w:r>
          </w:p>
        </w:tc>
      </w:tr>
      <w:tr>
        <w:trPr>
          <w:trHeight w:val="133"/>
        </w:trPr>
        <w:tc>
          <w:tcPr>
            <w:tcW w:w="20" w:type="dxa"/>
            <w:vAlign w:val="bottom"/>
          </w:tcPr>
          <w:p>
            <w:pPr>
              <w:spacing w:after="0"/>
              <w:rPr>
                <w:sz w:val="11"/>
                <w:szCs w:val="11"/>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to interest expense from interest</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1"/>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rate swaps</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8,294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8,294</w:t>
            </w:r>
          </w:p>
        </w:tc>
      </w:tr>
      <w:tr>
        <w:trPr>
          <w:trHeight w:val="140"/>
        </w:trPr>
        <w:tc>
          <w:tcPr>
            <w:tcW w:w="2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2020</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98,946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(3,823)</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5"/>
                <w:szCs w:val="5"/>
                <w:color w:val="auto"/>
                <w:w w:val="7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39,677</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134,800</w:t>
            </w:r>
          </w:p>
        </w:tc>
      </w:tr>
    </w:tbl>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77" w:name="page178"/>
    <w:bookmarkEnd w:id="17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15. Incentive Plan</w:t>
      </w:r>
    </w:p>
    <w:p>
      <w:pPr>
        <w:spacing w:after="0" w:line="156" w:lineRule="exact"/>
        <w:rPr>
          <w:sz w:val="20"/>
          <w:szCs w:val="20"/>
          <w:color w:val="auto"/>
        </w:rPr>
      </w:pPr>
    </w:p>
    <w:p>
      <w:pPr>
        <w:ind w:left="20" w:right="39" w:firstLine="228"/>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On April 28, 2014, our stockholders approved the Digital Realty Trust, Inc., Digital Services, Inc., and Digital Realty Trust, L.P. 2014 Incentive Award Plan (as amended, the 2014 Incentive Award Plan). The 2014 Incentive Award Plan became effective and replaced the Amended and Restated 2004 Incentive Award Plan, as amended, as of the date of such stockholder approval. The material features of the 2014 Incentive Award Plan are described in our </w:t>
      </w:r>
      <w:hyperlink r:id="rId196">
        <w:r>
          <w:rPr>
            <w:rFonts w:ascii="Times New Roman" w:cs="Times New Roman" w:eastAsia="Times New Roman" w:hAnsi="Times New Roman"/>
            <w:sz w:val="13"/>
            <w:szCs w:val="13"/>
            <w:u w:val="single" w:color="auto"/>
            <w:color w:val="0000EE"/>
          </w:rPr>
          <w:t>definitive Proxy Statement filed on March 19, 2014</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in connection with the 2014 Annual Meeting of Stockholders, which description is incorporated herein by reference. Effective as of September 14, 2017, the 2014 Incentive Award Plan was amended to provide that shares which remained available for issuance under DFT’s Amended and Restated 2011 Equity Incentive Plan immediately prior to the closing of the DFT Merger (as adjusted and converted into shares of Digital Realty Trust, Inc.’s common stock) may be used for awards under the 2014 Incentive Award Plan and will not reduce the shares authorized for grant under the 2014 Incentive Award Plan, to the extent that using such shares is permitted without stockholder approval under applicable stock exchange rules. In connection with the amendment to the 2014 Incentive Award Plan, on September 22, 2017, Digital Realty Trust, Inc. registered an additional 3.7 million shares that may be issued pursuant to the 2014 Incentive Award Plan.</w:t>
      </w:r>
    </w:p>
    <w:p>
      <w:pPr>
        <w:spacing w:after="0" w:line="140" w:lineRule="exact"/>
        <w:rPr>
          <w:sz w:val="20"/>
          <w:szCs w:val="20"/>
          <w:color w:val="auto"/>
        </w:rPr>
      </w:pPr>
    </w:p>
    <w:p>
      <w:pPr>
        <w:ind w:left="20" w:right="39" w:firstLine="228"/>
        <w:spacing w:after="0" w:line="275" w:lineRule="auto"/>
        <w:rPr>
          <w:sz w:val="20"/>
          <w:szCs w:val="20"/>
          <w:color w:val="auto"/>
        </w:rPr>
      </w:pPr>
      <w:r>
        <w:rPr>
          <w:rFonts w:ascii="Times New Roman" w:cs="Times New Roman" w:eastAsia="Times New Roman" w:hAnsi="Times New Roman"/>
          <w:sz w:val="12"/>
          <w:szCs w:val="12"/>
          <w:color w:val="auto"/>
        </w:rPr>
        <w:t>On March 9, 2020, in connection with the Interxion Combination, certain outstanding awards granted under the InterXion Holding N.V. 2013 Amended International Equity Based Incentive Plan and the InterXion Holding N.V. 2017 Executive Director Long Term Incentive Plan (together, the “InterXion Equity Plans”) were assumed by Digital Realty Trust, Inc. and converted into adjusted equity-based awards of Digital Realty Trust, Inc. common stock in accordance with the terms of the Purchase Agreement for the Interxion Combination. All such awards will continue to be governed by the terms of the applicable Interxion Equity Plan and underlying award agreement evidencing such award. On March 9, 2020, Digital Realty Trust, Inc. registered the 0.6 million shares of Digital Realty Trust, Inc. common stock issuable pursuant to such awards.</w:t>
      </w:r>
    </w:p>
    <w:p>
      <w:pPr>
        <w:spacing w:after="0" w:line="121" w:lineRule="exact"/>
        <w:rPr>
          <w:sz w:val="20"/>
          <w:szCs w:val="20"/>
          <w:color w:val="auto"/>
        </w:rPr>
      </w:pPr>
    </w:p>
    <w:p>
      <w:pPr>
        <w:ind w:left="20" w:right="179" w:firstLine="228"/>
        <w:spacing w:after="0" w:line="252" w:lineRule="auto"/>
        <w:rPr>
          <w:sz w:val="20"/>
          <w:szCs w:val="20"/>
          <w:color w:val="auto"/>
        </w:rPr>
      </w:pPr>
      <w:r>
        <w:rPr>
          <w:rFonts w:ascii="Times New Roman" w:cs="Times New Roman" w:eastAsia="Times New Roman" w:hAnsi="Times New Roman"/>
          <w:sz w:val="13"/>
          <w:szCs w:val="13"/>
          <w:color w:val="auto"/>
        </w:rPr>
        <w:t>As of December 31, 2020, approximately 6.0 million shares of common stock, including awards convertible into or exchangeable for shares of common stock, remained available for future issuance under the 2014 Incentive Award Plan. Each long-term incentive unit and each Class D unit issued under the 2014 Incentive Award Plan counts as one share of common stock for purposes of calculating the limit on shares that may be issued under the 2014 Incentive Award Plan and the individual award limits set forth therein.</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78" w:name="page179"/>
    <w:bookmarkEnd w:id="17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719" w:firstLine="228"/>
        <w:spacing w:after="0" w:line="268" w:lineRule="auto"/>
        <w:rPr>
          <w:sz w:val="20"/>
          <w:szCs w:val="20"/>
          <w:color w:val="auto"/>
        </w:rPr>
      </w:pPr>
      <w:r>
        <w:rPr>
          <w:rFonts w:ascii="Times New Roman" w:cs="Times New Roman" w:eastAsia="Times New Roman" w:hAnsi="Times New Roman"/>
          <w:sz w:val="13"/>
          <w:szCs w:val="13"/>
          <w:color w:val="auto"/>
        </w:rPr>
        <w:t>Below is a summary of our compensation expense for the years ended December 31, 2020, 2019 and 2018 and our unearned compensation as of December 31, 2020 and December 31, 2019 (in millions):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Expected</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Deferred Compensation</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0"/>
                <w:szCs w:val="10"/>
                <w:b w:val="1"/>
                <w:bCs w:val="1"/>
                <w:color w:val="auto"/>
              </w:rPr>
              <w:t>Unearned Compensation</w:t>
            </w:r>
          </w:p>
        </w:tc>
        <w:tc>
          <w:tcPr>
            <w:tcW w:w="9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period to</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gridSpan w:val="5"/>
            <w:vMerge w:val="continue"/>
          </w:tcPr>
          <w:p>
            <w:pPr>
              <w:spacing w:after="0"/>
              <w:rPr>
                <w:sz w:val="10"/>
                <w:szCs w:val="1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recognize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gridSpan w:val="2"/>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Expensed</w:t>
            </w:r>
          </w:p>
        </w:tc>
        <w:tc>
          <w:tcPr>
            <w:tcW w:w="1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gridSpan w:val="2"/>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Capitalized</w:t>
            </w:r>
          </w:p>
        </w:tc>
        <w:tc>
          <w:tcPr>
            <w:tcW w:w="14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center"/>
              <w:ind w:right="63"/>
              <w:spacing w:after="0" w:line="94" w:lineRule="exact"/>
              <w:rPr>
                <w:sz w:val="20"/>
                <w:szCs w:val="20"/>
                <w:color w:val="auto"/>
              </w:rPr>
            </w:pPr>
            <w:r>
              <w:rPr>
                <w:rFonts w:ascii="Times New Roman" w:cs="Times New Roman" w:eastAsia="Times New Roman" w:hAnsi="Times New Roman"/>
                <w:sz w:val="10"/>
                <w:szCs w:val="10"/>
                <w:b w:val="1"/>
                <w:bCs w:val="1"/>
                <w:color w:val="auto"/>
              </w:rPr>
              <w:t>As of</w:t>
            </w: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center"/>
              <w:ind w:right="62"/>
              <w:spacing w:after="0" w:line="94" w:lineRule="exact"/>
              <w:rPr>
                <w:sz w:val="20"/>
                <w:szCs w:val="20"/>
                <w:color w:val="auto"/>
              </w:rPr>
            </w:pPr>
            <w:r>
              <w:rPr>
                <w:rFonts w:ascii="Times New Roman" w:cs="Times New Roman" w:eastAsia="Times New Roman" w:hAnsi="Times New Roman"/>
                <w:sz w:val="10"/>
                <w:szCs w:val="10"/>
                <w:b w:val="1"/>
                <w:bCs w:val="1"/>
                <w:color w:val="auto"/>
              </w:rPr>
              <w:t>As of</w:t>
            </w:r>
          </w:p>
        </w:tc>
        <w:tc>
          <w:tcPr>
            <w:tcW w:w="140" w:type="dxa"/>
            <w:vAlign w:val="bottom"/>
          </w:tcPr>
          <w:p>
            <w:pPr>
              <w:spacing w:after="0"/>
              <w:rPr>
                <w:sz w:val="8"/>
                <w:szCs w:val="8"/>
                <w:color w:val="auto"/>
              </w:rPr>
            </w:pPr>
          </w:p>
        </w:tc>
        <w:tc>
          <w:tcPr>
            <w:tcW w:w="90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8"/>
              </w:rPr>
              <w:t>unearned</w:t>
            </w:r>
          </w:p>
        </w:tc>
        <w:tc>
          <w:tcPr>
            <w:tcW w:w="0" w:type="dxa"/>
            <w:vAlign w:val="bottom"/>
          </w:tcPr>
          <w:p>
            <w:pPr>
              <w:spacing w:after="0"/>
              <w:rPr>
                <w:sz w:val="1"/>
                <w:szCs w:val="1"/>
                <w:color w:val="auto"/>
              </w:rPr>
            </w:pPr>
          </w:p>
        </w:tc>
      </w:tr>
      <w:tr>
        <w:trPr>
          <w:trHeight w:val="94"/>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Type of incentive award</w:t>
            </w: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7"/>
          </w:tcPr>
          <w:p>
            <w:pPr>
              <w:jc w:val="center"/>
              <w:ind w:right="201"/>
              <w:spacing w:after="0" w:line="94" w:lineRule="exact"/>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gridSpan w:val="6"/>
          </w:tcPr>
          <w:p>
            <w:pPr>
              <w:jc w:val="center"/>
              <w:ind w:left="181"/>
              <w:spacing w:after="0" w:line="94" w:lineRule="exact"/>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ind w:right="63"/>
              <w:spacing w:after="0" w:line="94"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tcPr>
          <w:p>
            <w:pPr>
              <w:jc w:val="center"/>
              <w:ind w:right="300"/>
              <w:spacing w:after="0" w:line="94"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90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0" w:type="dxa"/>
            <w:vAlign w:val="bottom"/>
          </w:tcPr>
          <w:p>
            <w:pPr>
              <w:spacing w:after="0"/>
              <w:rPr>
                <w:sz w:val="1"/>
                <w:szCs w:val="1"/>
                <w:color w:val="auto"/>
              </w:rPr>
            </w:pPr>
          </w:p>
        </w:tc>
      </w:tr>
      <w:tr>
        <w:trPr>
          <w:trHeight w:val="94"/>
        </w:trPr>
        <w:tc>
          <w:tcPr>
            <w:tcW w:w="18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tcPr>
          <w:p>
            <w:pPr>
              <w:jc w:val="right"/>
              <w:ind w:right="109"/>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center"/>
              <w:ind w:right="59"/>
              <w:spacing w:after="0" w:line="94"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jc w:val="right"/>
              <w:ind w:right="101"/>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101"/>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jc w:val="center"/>
              <w:ind w:right="59"/>
              <w:spacing w:after="0" w:line="94"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w w:val="89"/>
              </w:rPr>
              <w:t>2018</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ind w:right="43"/>
              <w:spacing w:after="0" w:line="94" w:lineRule="exact"/>
              <w:rPr>
                <w:sz w:val="20"/>
                <w:szCs w:val="20"/>
                <w:color w:val="auto"/>
              </w:rPr>
            </w:pPr>
            <w:r>
              <w:rPr>
                <w:rFonts w:ascii="Times New Roman" w:cs="Times New Roman" w:eastAsia="Times New Roman" w:hAnsi="Times New Roman"/>
                <w:sz w:val="10"/>
                <w:szCs w:val="10"/>
                <w:b w:val="1"/>
                <w:bCs w:val="1"/>
                <w:color w:val="auto"/>
                <w:w w:val="99"/>
              </w:rPr>
              <w:t>2020</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ind w:right="82"/>
              <w:spacing w:after="0" w:line="94"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140" w:type="dxa"/>
            <w:vAlign w:val="bottom"/>
          </w:tcPr>
          <w:p>
            <w:pPr>
              <w:spacing w:after="0"/>
              <w:rPr>
                <w:sz w:val="8"/>
                <w:szCs w:val="8"/>
                <w:color w:val="auto"/>
              </w:rPr>
            </w:pPr>
          </w:p>
        </w:tc>
        <w:tc>
          <w:tcPr>
            <w:tcW w:w="90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9"/>
              </w:rPr>
              <w:t>(in years)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6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Long-term incentive units</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ind w:right="1"/>
              <w:spacing w:after="0" w:line="141" w:lineRule="exact"/>
              <w:rPr>
                <w:sz w:val="20"/>
                <w:szCs w:val="20"/>
                <w:color w:val="auto"/>
              </w:rPr>
            </w:pPr>
            <w:r>
              <w:rPr>
                <w:rFonts w:ascii="Times New Roman" w:cs="Times New Roman" w:eastAsia="Times New Roman" w:hAnsi="Times New Roman"/>
                <w:sz w:val="13"/>
                <w:szCs w:val="13"/>
                <w:color w:val="auto"/>
              </w:rPr>
              <w:t>6.8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0.2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0.2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0.2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top w:val="single" w:sz="8" w:color="auto"/>
            </w:tcBorders>
            <w:shd w:val="clear" w:color="auto" w:fill="CCEEFF"/>
          </w:tcPr>
          <w:p>
            <w:pPr>
              <w:jc w:val="right"/>
              <w:ind w:right="2"/>
              <w:spacing w:after="0" w:line="141" w:lineRule="exact"/>
              <w:rPr>
                <w:sz w:val="20"/>
                <w:szCs w:val="20"/>
                <w:color w:val="auto"/>
              </w:rPr>
            </w:pPr>
            <w:r>
              <w:rPr>
                <w:rFonts w:ascii="Times New Roman" w:cs="Times New Roman" w:eastAsia="Times New Roman" w:hAnsi="Times New Roman"/>
                <w:sz w:val="13"/>
                <w:szCs w:val="13"/>
                <w:color w:val="auto"/>
              </w:rPr>
              <w:t>15.4</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6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 xml:space="preserve">Performance-based awards </w:t>
            </w:r>
            <w:r>
              <w:rPr>
                <w:rFonts w:ascii="Times New Roman" w:cs="Times New Roman" w:eastAsia="Times New Roman" w:hAnsi="Times New Roman"/>
                <w:sz w:val="17"/>
                <w:szCs w:val="17"/>
                <w:color w:val="auto"/>
                <w:vertAlign w:val="superscript"/>
              </w:rPr>
              <w:t>(1)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12.7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28.4</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stock</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6.1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29.1</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Interxion awards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73"/>
        </w:trPr>
        <w:tc>
          <w:tcPr>
            <w:tcW w:w="2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60" w:hanging="235"/>
        <w:spacing w:after="0"/>
        <w:tabs>
          <w:tab w:leader="none" w:pos="26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the market performance-based awards and long-term incentive awards described in Notes 15(a) and 15(b), this also includes one-time grants</w:t>
      </w:r>
    </w:p>
    <w:p>
      <w:pPr>
        <w:spacing w:after="0" w:line="15" w:lineRule="exact"/>
        <w:rPr>
          <w:rFonts w:ascii="Times New Roman" w:cs="Times New Roman" w:eastAsia="Times New Roman" w:hAnsi="Times New Roman"/>
          <w:sz w:val="13"/>
          <w:szCs w:val="13"/>
          <w:color w:val="auto"/>
        </w:rPr>
      </w:pPr>
    </w:p>
    <w:p>
      <w:pPr>
        <w:ind w:left="260" w:right="59"/>
        <w:spacing w:after="0" w:line="24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58,561 performance-based Class D units and 6,148 performance-based restricted stock units, subject to attainment of performance metrics related to successful integration of the Interxion Combination, and one-time grants of 22,426 time-based profits interest units and 3,209 time-based restricted stock units subject to the closing of the Interxion Combination and continued service to certain of the Company’s executive officers and other employees. The grant date fair values, which equal the market price of Digital Realty Trust, Inc. common stock on the applicable grant date(s), are being expensed between two and three years, the current vesting period of these awards.</w:t>
      </w:r>
    </w:p>
    <w:p>
      <w:pPr>
        <w:spacing w:after="0" w:line="139" w:lineRule="exact"/>
        <w:rPr>
          <w:sz w:val="20"/>
          <w:szCs w:val="20"/>
          <w:color w:val="auto"/>
        </w:rPr>
      </w:pPr>
    </w:p>
    <w:p>
      <w:pPr>
        <w:ind w:left="20" w:right="299" w:firstLine="228"/>
        <w:spacing w:after="0" w:line="268" w:lineRule="auto"/>
        <w:rPr>
          <w:sz w:val="20"/>
          <w:szCs w:val="20"/>
          <w:color w:val="auto"/>
        </w:rPr>
      </w:pPr>
      <w:r>
        <w:rPr>
          <w:rFonts w:ascii="Times New Roman" w:cs="Times New Roman" w:eastAsia="Times New Roman" w:hAnsi="Times New Roman"/>
          <w:sz w:val="13"/>
          <w:szCs w:val="13"/>
          <w:color w:val="auto"/>
        </w:rPr>
        <w:t>The following table sets forth the weighted-average fair value of for each type of incentive award at the date of grant for the years ended December 31, 2020, 2019 and 2018:</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8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Type of incentive award</w:t>
            </w:r>
          </w:p>
        </w:tc>
        <w:tc>
          <w:tcPr>
            <w:tcW w:w="2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0"/>
                <w:szCs w:val="10"/>
                <w:b w:val="1"/>
                <w:bCs w:val="1"/>
                <w:color w:val="auto"/>
              </w:rPr>
              <w:t>Weighted-Average Fair Value at Date of Grant</w:t>
            </w:r>
          </w:p>
        </w:tc>
        <w:tc>
          <w:tcPr>
            <w:tcW w:w="0" w:type="dxa"/>
            <w:vAlign w:val="bottom"/>
          </w:tcPr>
          <w:p>
            <w:pPr>
              <w:spacing w:after="0"/>
              <w:rPr>
                <w:sz w:val="1"/>
                <w:szCs w:val="1"/>
                <w:color w:val="auto"/>
              </w:rPr>
            </w:pPr>
          </w:p>
        </w:tc>
      </w:tr>
      <w:tr>
        <w:trPr>
          <w:trHeight w:val="94"/>
        </w:trPr>
        <w:tc>
          <w:tcPr>
            <w:tcW w:w="2880" w:type="dxa"/>
            <w:vAlign w:val="bottom"/>
            <w:tcBorders>
              <w:bottom w:val="single" w:sz="8" w:color="auto"/>
            </w:tcBorders>
            <w:vMerge w:val="continue"/>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ind w:left="140"/>
              <w:spacing w:after="0" w:line="94" w:lineRule="exact"/>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9"/>
              <w:spacing w:after="0" w:line="94" w:lineRule="exact"/>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9"/>
              <w:spacing w:after="0" w:line="94" w:lineRule="exact"/>
              <w:rPr>
                <w:sz w:val="20"/>
                <w:szCs w:val="20"/>
                <w:color w:val="auto"/>
              </w:rPr>
            </w:pPr>
            <w:r>
              <w:rPr>
                <w:rFonts w:ascii="Times New Roman" w:cs="Times New Roman" w:eastAsia="Times New Roman" w:hAnsi="Times New Roman"/>
                <w:sz w:val="10"/>
                <w:szCs w:val="10"/>
                <w:b w:val="1"/>
                <w:bCs w:val="1"/>
                <w:color w:val="auto"/>
              </w:rPr>
              <w:t>2018</w:t>
            </w:r>
          </w:p>
        </w:tc>
        <w:tc>
          <w:tcPr>
            <w:tcW w:w="0" w:type="dxa"/>
            <w:vAlign w:val="bottom"/>
          </w:tcPr>
          <w:p>
            <w:pPr>
              <w:spacing w:after="0"/>
              <w:rPr>
                <w:sz w:val="1"/>
                <w:szCs w:val="1"/>
                <w:color w:val="auto"/>
              </w:rPr>
            </w:pPr>
          </w:p>
        </w:tc>
      </w:tr>
      <w:tr>
        <w:trPr>
          <w:trHeight w:val="141"/>
        </w:trPr>
        <w:tc>
          <w:tcPr>
            <w:tcW w:w="28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Long-term incentive units</w:t>
            </w:r>
          </w:p>
        </w:tc>
        <w:tc>
          <w:tcPr>
            <w:tcW w:w="2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ind w:left="280"/>
              <w:spacing w:after="0" w:line="141" w:lineRule="exact"/>
              <w:rPr>
                <w:sz w:val="20"/>
                <w:szCs w:val="20"/>
                <w:color w:val="auto"/>
              </w:rPr>
            </w:pPr>
            <w:r>
              <w:rPr>
                <w:rFonts w:ascii="Times New Roman" w:cs="Times New Roman" w:eastAsia="Times New Roman" w:hAnsi="Times New Roman"/>
                <w:sz w:val="13"/>
                <w:szCs w:val="13"/>
                <w:color w:val="auto"/>
              </w:rPr>
              <w:t>134.55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116.22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101.86</w:t>
            </w:r>
          </w:p>
        </w:tc>
        <w:tc>
          <w:tcPr>
            <w:tcW w:w="0" w:type="dxa"/>
            <w:vAlign w:val="bottom"/>
          </w:tcPr>
          <w:p>
            <w:pPr>
              <w:spacing w:after="0"/>
              <w:rPr>
                <w:sz w:val="1"/>
                <w:szCs w:val="1"/>
                <w:color w:val="auto"/>
              </w:rPr>
            </w:pPr>
          </w:p>
        </w:tc>
      </w:tr>
      <w:tr>
        <w:trPr>
          <w:trHeight w:val="152"/>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Performance-based awards</w:t>
            </w:r>
          </w:p>
        </w:tc>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159.34</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114.97</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119.29</w:t>
            </w:r>
          </w:p>
        </w:tc>
        <w:tc>
          <w:tcPr>
            <w:tcW w:w="0" w:type="dxa"/>
            <w:vAlign w:val="bottom"/>
          </w:tcPr>
          <w:p>
            <w:pPr>
              <w:spacing w:after="0"/>
              <w:rPr>
                <w:sz w:val="1"/>
                <w:szCs w:val="1"/>
                <w:color w:val="auto"/>
              </w:rPr>
            </w:pPr>
          </w:p>
        </w:tc>
      </w:tr>
      <w:tr>
        <w:trPr>
          <w:trHeight w:val="152"/>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stock</w:t>
            </w:r>
          </w:p>
        </w:tc>
        <w:tc>
          <w:tcPr>
            <w:tcW w:w="2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138.82</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115.25</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100.33</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Interxion awards</w:t>
            </w:r>
          </w:p>
        </w:tc>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120.67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95"/>
        </w:trPr>
        <w:tc>
          <w:tcPr>
            <w:tcW w:w="2880" w:type="dxa"/>
            <w:vAlign w:val="bottom"/>
          </w:tcPr>
          <w:p>
            <w:pPr>
              <w:spacing w:after="0"/>
              <w:rPr>
                <w:sz w:val="24"/>
                <w:szCs w:val="24"/>
                <w:color w:val="auto"/>
              </w:rPr>
            </w:pPr>
          </w:p>
        </w:tc>
        <w:tc>
          <w:tcPr>
            <w:tcW w:w="2980" w:type="dxa"/>
            <w:vAlign w:val="bottom"/>
          </w:tcPr>
          <w:p>
            <w:pPr>
              <w:jc w:val="right"/>
              <w:ind w:right="1217"/>
              <w:spacing w:after="0"/>
              <w:rPr>
                <w:sz w:val="20"/>
                <w:szCs w:val="20"/>
                <w:color w:val="auto"/>
              </w:rPr>
            </w:pPr>
            <w:r>
              <w:rPr>
                <w:rFonts w:ascii="Times New Roman" w:cs="Times New Roman" w:eastAsia="Times New Roman" w:hAnsi="Times New Roman"/>
                <w:sz w:val="13"/>
                <w:szCs w:val="13"/>
                <w:color w:val="auto"/>
              </w:rPr>
              <w:t>174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8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02" w:right="1440" w:bottom="1440" w:gutter="0" w:footer="0" w:header="0"/>
        </w:sectPr>
      </w:pPr>
    </w:p>
    <w:bookmarkStart w:id="179" w:name="page180"/>
    <w:bookmarkEnd w:id="17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(a) Long-Term Incentive Units</w:t>
      </w:r>
    </w:p>
    <w:p>
      <w:pPr>
        <w:spacing w:after="0" w:line="156" w:lineRule="exact"/>
        <w:rPr>
          <w:sz w:val="20"/>
          <w:szCs w:val="20"/>
          <w:color w:val="auto"/>
        </w:rPr>
      </w:pPr>
    </w:p>
    <w:p>
      <w:pPr>
        <w:ind w:left="20" w:right="39" w:firstLine="228"/>
        <w:spacing w:after="0" w:line="249" w:lineRule="auto"/>
        <w:rPr>
          <w:sz w:val="20"/>
          <w:szCs w:val="20"/>
          <w:color w:val="auto"/>
        </w:rPr>
      </w:pPr>
      <w:r>
        <w:rPr>
          <w:rFonts w:ascii="Times New Roman" w:cs="Times New Roman" w:eastAsia="Times New Roman" w:hAnsi="Times New Roman"/>
          <w:sz w:val="13"/>
          <w:szCs w:val="13"/>
          <w:color w:val="auto"/>
        </w:rPr>
        <w:t>Long-term incentive units, which are also referred to as profits interest units, may be issued to eligible participants for the performance of services to or for the benefit of the Operating Partnership. Long-term incentive units (other than Class D units), whether vested or not, will receive the same quarterly per unit distributions as Operating Partnership common units, which equal the per share distributions on Digital Realty Trust, Inc. common stock. Initially, long-term incentive units do not have full parity with common units with respect to liquidating distributions. If such parity is reached, vested long-term incentive units may be converted into an equal number of common units of the Operating Partnership at any time, and thereafter enjoy all the rights and privileges of common units of the Operating Partnership, including redemption rights.</w:t>
      </w:r>
    </w:p>
    <w:p>
      <w:pPr>
        <w:spacing w:after="0" w:line="136" w:lineRule="exact"/>
        <w:rPr>
          <w:sz w:val="20"/>
          <w:szCs w:val="20"/>
          <w:color w:val="auto"/>
        </w:rPr>
      </w:pPr>
    </w:p>
    <w:p>
      <w:pPr>
        <w:ind w:left="20" w:right="39" w:firstLine="228"/>
        <w:spacing w:after="0" w:line="273" w:lineRule="auto"/>
        <w:rPr>
          <w:sz w:val="20"/>
          <w:szCs w:val="20"/>
          <w:color w:val="auto"/>
        </w:rPr>
      </w:pPr>
      <w:r>
        <w:rPr>
          <w:rFonts w:ascii="Times New Roman" w:cs="Times New Roman" w:eastAsia="Times New Roman" w:hAnsi="Times New Roman"/>
          <w:sz w:val="12"/>
          <w:szCs w:val="12"/>
          <w:color w:val="auto"/>
        </w:rPr>
        <w:t>In order to achieve full parity with common units, long-term incentive units must be fully vested and the holder’s capital account balance in respect of such long-term incentive units must be equal to the capital account balance of a holder of an equivalent number of common units. The capital account balance attributable to each common unit is generally expected to be the same, in part because of the amount credited to a partner’s capital account upon the partner’s contribution of property to the Operating Partnership, and in part because the partnership agreement provides, in most cases, that allocations of income, gain, loss and deduction (which will adjust the partner’s capital accounts) are to be made to the common units on a proportionate basis. As a result, with respect to a number of long-term incentive units, it is possible to determine the capital account balance of an equivalent number of common units by multiplying the number of long-term incentive units by the capital account balance with respect to a common unit.</w:t>
      </w:r>
    </w:p>
    <w:p>
      <w:pPr>
        <w:spacing w:after="0" w:line="121" w:lineRule="exact"/>
        <w:rPr>
          <w:sz w:val="20"/>
          <w:szCs w:val="20"/>
          <w:color w:val="auto"/>
        </w:rPr>
      </w:pPr>
    </w:p>
    <w:p>
      <w:pPr>
        <w:ind w:left="20" w:right="59" w:firstLine="228"/>
        <w:spacing w:after="0" w:line="246" w:lineRule="auto"/>
        <w:rPr>
          <w:sz w:val="20"/>
          <w:szCs w:val="20"/>
          <w:color w:val="auto"/>
        </w:rPr>
      </w:pPr>
      <w:r>
        <w:rPr>
          <w:rFonts w:ascii="Times New Roman" w:cs="Times New Roman" w:eastAsia="Times New Roman" w:hAnsi="Times New Roman"/>
          <w:sz w:val="13"/>
          <w:szCs w:val="13"/>
          <w:color w:val="auto"/>
        </w:rPr>
        <w:t>A partner’s initial capital account balance is equal to the amount the partner paid (or contributed to the Operating Partnership) for the partner’s units and is subject to subsequent adjustments, including with respect to the partner’s share of income, gain or loss of the Operating Partnership. Because a holder of long-term incentive units generally will not pay for the long-term incentive units, the initial capital account balance attributable to such long-term incentive units will be zero. However, the Operating Partnership is required to allocate income, gain, loss and deduction to the partner’s capital accounts in accordance with the terms of the partnership agreement, subject to applicable Treasury Regulations. The partnership agreement provides that holders of long-term incentive units will receive special allocations of gain in the event of a sale or “hypothetical sale” of assets of the Operating Partnership prior to the allocation of gain to Digital Realty Trust, Inc. or other limited partners with respect to their common units. The amount of any such allocation will, to the extent of any such gain, be equal to the difference between the capital account balance of a holder of long-term incentive units attributable to such units and the capital account balance attributable to an equivalent number of common units. If and when such gain allocation is fully made, a holder of long-term incentive units will have achieved full parity with holders of common units. To the extent that, upon an actual sale or a “hypothetical sale” of the Operating Partnership’s assets as described above, there is not sufficient gain to allocate to a holder’s capital account with respect to long-term incentive units, or if such sale or “hypothetical sale” does not occur, such units will not achieve parity with common units.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80" w:name="page181"/>
    <w:bookmarkEnd w:id="18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39" w:firstLine="228"/>
        <w:spacing w:after="0" w:line="246" w:lineRule="auto"/>
        <w:rPr>
          <w:sz w:val="20"/>
          <w:szCs w:val="20"/>
          <w:color w:val="auto"/>
        </w:rPr>
      </w:pPr>
      <w:r>
        <w:rPr>
          <w:rFonts w:ascii="Times New Roman" w:cs="Times New Roman" w:eastAsia="Times New Roman" w:hAnsi="Times New Roman"/>
          <w:sz w:val="13"/>
          <w:szCs w:val="13"/>
          <w:color w:val="auto"/>
        </w:rPr>
        <w:t>The term “hypothetical sale” refers to circumstances that are not actual sales of the Operating Partnership’s assets but that require certain adjustments to the value of the Operating Partnership’s assets and the partners’ capital account balances. Specifically, the partnership agreement provides that, from time to time, in accordance with applicable Treasury Regulations, the Operating Partnership will adjust the value of its assets to equal their respective fair market values, and adjust the partners’ capital accounts, in accordance with the terms of the partnership agreement, as if the Operating Partnership sold its assets for an amount equal to their value. Such adjustments will generally be made upon the liquidation of the Operating Partnership, the acquisition of an additional interest in the Operating Partnership by a new or existing partner in exchange for more than a de minimis capital contribution, the distribution by the Operating Partnership to a partner of more than a de minimis amount of partnership property as consideration for an interest in the Operating Partnership, the grant of an interest in the Operating Partnership (other than a de minimis interest) as consideration for the performance of services to or for the benefit of the Operating Partnership (including the grant of a long-term incentive unit), and at such other times as may be desirable or required to comply with the Treasury Regulations.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Below is a summary of our long-term incentive unit activity for the year ended December 31, 2020.</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161"/>
              <w:spacing w:after="0"/>
              <w:rPr>
                <w:sz w:val="20"/>
                <w:szCs w:val="20"/>
                <w:color w:val="auto"/>
              </w:rPr>
            </w:pPr>
            <w:r>
              <w:rPr>
                <w:rFonts w:ascii="Times New Roman" w:cs="Times New Roman" w:eastAsia="Times New Roman" w:hAnsi="Times New Roman"/>
                <w:sz w:val="10"/>
                <w:szCs w:val="10"/>
                <w:b w:val="1"/>
                <w:bCs w:val="1"/>
                <w:color w:val="auto"/>
                <w:w w:val="99"/>
              </w:rPr>
              <w:t>Weighted-Average</w:t>
            </w:r>
          </w:p>
        </w:tc>
        <w:tc>
          <w:tcPr>
            <w:tcW w:w="1400" w:type="dxa"/>
            <w:vAlign w:val="bottom"/>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99"/>
              </w:rPr>
              <w:t>Weighted-Average</w:t>
            </w:r>
          </w:p>
        </w:tc>
        <w:tc>
          <w:tcPr>
            <w:tcW w:w="8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Aggregate</w:t>
            </w:r>
          </w:p>
        </w:tc>
        <w:tc>
          <w:tcPr>
            <w:tcW w:w="0" w:type="dxa"/>
            <w:vAlign w:val="bottom"/>
          </w:tcPr>
          <w:p>
            <w:pPr>
              <w:spacing w:after="0"/>
              <w:rPr>
                <w:sz w:val="1"/>
                <w:szCs w:val="1"/>
                <w:color w:val="auto"/>
              </w:rPr>
            </w:pPr>
          </w:p>
        </w:tc>
      </w:tr>
      <w:tr>
        <w:trPr>
          <w:trHeight w:val="107"/>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Unvested Long-term Incentive Units</w:t>
            </w: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120" w:type="dxa"/>
            <w:vAlign w:val="bottom"/>
          </w:tcPr>
          <w:p>
            <w:pPr>
              <w:spacing w:after="0"/>
              <w:rPr>
                <w:sz w:val="9"/>
                <w:szCs w:val="9"/>
                <w:color w:val="auto"/>
              </w:rPr>
            </w:pPr>
          </w:p>
        </w:tc>
        <w:tc>
          <w:tcPr>
            <w:tcW w:w="1140" w:type="dxa"/>
            <w:vAlign w:val="bottom"/>
          </w:tcPr>
          <w:p>
            <w:pPr>
              <w:jc w:val="center"/>
              <w:ind w:right="161"/>
              <w:spacing w:after="0" w:line="107" w:lineRule="exact"/>
              <w:rPr>
                <w:sz w:val="20"/>
                <w:szCs w:val="20"/>
                <w:color w:val="auto"/>
              </w:rPr>
            </w:pPr>
            <w:r>
              <w:rPr>
                <w:rFonts w:ascii="Times New Roman" w:cs="Times New Roman" w:eastAsia="Times New Roman" w:hAnsi="Times New Roman"/>
                <w:sz w:val="10"/>
                <w:szCs w:val="10"/>
                <w:b w:val="1"/>
                <w:bCs w:val="1"/>
                <w:color w:val="auto"/>
              </w:rPr>
              <w:t>Grant Date Fair</w:t>
            </w:r>
          </w:p>
        </w:tc>
        <w:tc>
          <w:tcPr>
            <w:tcW w:w="1400" w:type="dxa"/>
            <w:vAlign w:val="bottom"/>
          </w:tcPr>
          <w:p>
            <w:pPr>
              <w:jc w:val="center"/>
              <w:ind w:right="46"/>
              <w:spacing w:after="0" w:line="107" w:lineRule="exact"/>
              <w:rPr>
                <w:sz w:val="20"/>
                <w:szCs w:val="20"/>
                <w:color w:val="auto"/>
              </w:rPr>
            </w:pPr>
            <w:r>
              <w:rPr>
                <w:rFonts w:ascii="Times New Roman" w:cs="Times New Roman" w:eastAsia="Times New Roman" w:hAnsi="Times New Roman"/>
                <w:sz w:val="10"/>
                <w:szCs w:val="10"/>
                <w:b w:val="1"/>
                <w:bCs w:val="1"/>
                <w:color w:val="auto"/>
              </w:rPr>
              <w:t>Remaining Contractual</w:t>
            </w:r>
          </w:p>
        </w:tc>
        <w:tc>
          <w:tcPr>
            <w:tcW w:w="80" w:type="dxa"/>
            <w:vAlign w:val="bottom"/>
          </w:tcPr>
          <w:p>
            <w:pPr>
              <w:spacing w:after="0"/>
              <w:rPr>
                <w:sz w:val="9"/>
                <w:szCs w:val="9"/>
                <w:color w:val="auto"/>
              </w:rPr>
            </w:pPr>
          </w:p>
        </w:tc>
        <w:tc>
          <w:tcPr>
            <w:tcW w:w="1100" w:type="dxa"/>
            <w:vAlign w:val="bottom"/>
          </w:tcPr>
          <w:p>
            <w:pPr>
              <w:jc w:val="center"/>
              <w:spacing w:after="0" w:line="107" w:lineRule="exact"/>
              <w:rPr>
                <w:sz w:val="20"/>
                <w:szCs w:val="20"/>
                <w:color w:val="auto"/>
              </w:rPr>
            </w:pPr>
            <w:r>
              <w:rPr>
                <w:rFonts w:ascii="Times New Roman" w:cs="Times New Roman" w:eastAsia="Times New Roman" w:hAnsi="Times New Roman"/>
                <w:sz w:val="8"/>
                <w:szCs w:val="8"/>
                <w:b w:val="1"/>
                <w:bCs w:val="1"/>
                <w:color w:val="auto"/>
              </w:rPr>
              <w:t xml:space="preserve">Intrinsic Value </w:t>
            </w:r>
            <w:r>
              <w:rPr>
                <w:rFonts w:ascii="Times New Roman" w:cs="Times New Roman" w:eastAsia="Times New Roman" w:hAnsi="Times New Roman"/>
                <w:sz w:val="12"/>
                <w:szCs w:val="12"/>
                <w:b w:val="1"/>
                <w:bCs w:val="1"/>
                <w:color w:val="auto"/>
                <w:vertAlign w:val="superscript"/>
              </w:rPr>
              <w:t>(1)</w:t>
            </w:r>
          </w:p>
        </w:tc>
        <w:tc>
          <w:tcPr>
            <w:tcW w:w="0" w:type="dxa"/>
            <w:vAlign w:val="bottom"/>
          </w:tcPr>
          <w:p>
            <w:pPr>
              <w:spacing w:after="0"/>
              <w:rPr>
                <w:sz w:val="1"/>
                <w:szCs w:val="1"/>
                <w:color w:val="auto"/>
              </w:rPr>
            </w:pPr>
          </w:p>
        </w:tc>
      </w:tr>
      <w:tr>
        <w:trPr>
          <w:trHeight w:val="121"/>
        </w:trPr>
        <w:tc>
          <w:tcPr>
            <w:tcW w:w="4280" w:type="dxa"/>
            <w:vAlign w:val="bottom"/>
            <w:gridSpan w:val="3"/>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161"/>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1400" w:type="dxa"/>
            <w:vAlign w:val="bottom"/>
          </w:tcPr>
          <w:p>
            <w:pPr>
              <w:jc w:val="center"/>
              <w:ind w:right="46"/>
              <w:spacing w:after="0"/>
              <w:rPr>
                <w:sz w:val="20"/>
                <w:szCs w:val="20"/>
                <w:color w:val="auto"/>
              </w:rPr>
            </w:pPr>
            <w:r>
              <w:rPr>
                <w:rFonts w:ascii="Times New Roman" w:cs="Times New Roman" w:eastAsia="Times New Roman" w:hAnsi="Times New Roman"/>
                <w:sz w:val="10"/>
                <w:szCs w:val="10"/>
                <w:b w:val="1"/>
                <w:bCs w:val="1"/>
                <w:color w:val="auto"/>
                <w:w w:val="97"/>
              </w:rPr>
              <w:t>Life (Years)</w:t>
            </w:r>
          </w:p>
        </w:tc>
        <w:tc>
          <w:tcPr>
            <w:tcW w:w="8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0" w:type="dxa"/>
            <w:vAlign w:val="bottom"/>
          </w:tcPr>
          <w:p>
            <w:pPr>
              <w:spacing w:after="0"/>
              <w:rPr>
                <w:sz w:val="1"/>
                <w:szCs w:val="1"/>
                <w:color w:val="auto"/>
              </w:rPr>
            </w:pPr>
          </w:p>
        </w:tc>
      </w:tr>
      <w:tr>
        <w:trPr>
          <w:trHeight w:val="141"/>
        </w:trPr>
        <w:tc>
          <w:tcPr>
            <w:tcW w:w="4140" w:type="dxa"/>
            <w:vAlign w:val="bottom"/>
            <w:tcBorders>
              <w:top w:val="single" w:sz="8" w:color="auto"/>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Unvested, beginning of period</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208,287</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ind w:right="61"/>
              <w:spacing w:after="0" w:line="141" w:lineRule="exact"/>
              <w:rPr>
                <w:sz w:val="20"/>
                <w:szCs w:val="20"/>
                <w:color w:val="auto"/>
              </w:rPr>
            </w:pPr>
            <w:r>
              <w:rPr>
                <w:rFonts w:ascii="Times New Roman" w:cs="Times New Roman" w:eastAsia="Times New Roman" w:hAnsi="Times New Roman"/>
                <w:sz w:val="13"/>
                <w:szCs w:val="13"/>
                <w:color w:val="auto"/>
              </w:rPr>
              <w:t>110.00</w:t>
            </w:r>
          </w:p>
        </w:tc>
        <w:tc>
          <w:tcPr>
            <w:tcW w:w="1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2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128,049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auto"/>
              </w:rPr>
              <w:t>134.55</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(98,038)</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3"/>
                <w:szCs w:val="13"/>
                <w:color w:val="auto"/>
              </w:rPr>
              <w:t>98.22</w:t>
            </w: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Cancelled or expired</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(2,763)</w:t>
            </w:r>
          </w:p>
        </w:tc>
        <w:tc>
          <w:tcPr>
            <w:tcW w:w="120" w:type="dxa"/>
            <w:vAlign w:val="bottom"/>
          </w:tcPr>
          <w:p>
            <w:pPr>
              <w:spacing w:after="0"/>
              <w:rPr>
                <w:sz w:val="13"/>
                <w:szCs w:val="13"/>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auto"/>
              </w:rPr>
              <w:t>112.82</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280" w:type="dxa"/>
            <w:vAlign w:val="bottom"/>
            <w:tcBorders>
              <w:top w:val="single" w:sz="8" w:color="CCEEFF"/>
              <w:bottom w:val="single" w:sz="8" w:color="CCEEFF"/>
            </w:tcBorders>
            <w:gridSpan w:val="3"/>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Unvested, end of period</w:t>
            </w:r>
          </w:p>
        </w:tc>
        <w:tc>
          <w:tcPr>
            <w:tcW w:w="6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235,535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CCEEFF"/>
              <w:bottom w:val="single" w:sz="8" w:color="CCEEFF"/>
            </w:tcBorders>
            <w:shd w:val="clear" w:color="auto" w:fill="CCEEFF"/>
          </w:tcPr>
          <w:p>
            <w:pPr>
              <w:jc w:val="right"/>
              <w:ind w:right="61"/>
              <w:spacing w:after="0" w:line="141" w:lineRule="exact"/>
              <w:rPr>
                <w:sz w:val="20"/>
                <w:szCs w:val="20"/>
                <w:color w:val="auto"/>
              </w:rPr>
            </w:pPr>
            <w:r>
              <w:rPr>
                <w:rFonts w:ascii="Times New Roman" w:cs="Times New Roman" w:eastAsia="Times New Roman" w:hAnsi="Times New Roman"/>
                <w:sz w:val="13"/>
                <w:szCs w:val="13"/>
                <w:color w:val="auto"/>
              </w:rPr>
              <w:t>122.22</w:t>
            </w:r>
          </w:p>
        </w:tc>
        <w:tc>
          <w:tcPr>
            <w:tcW w:w="1400" w:type="dxa"/>
            <w:vAlign w:val="bottom"/>
            <w:tcBorders>
              <w:top w:val="single" w:sz="8" w:color="CCEEFF"/>
              <w:bottom w:val="single" w:sz="8" w:color="CCEEFF"/>
            </w:tcBorders>
            <w:shd w:val="clear" w:color="auto" w:fill="CCEEFF"/>
          </w:tcPr>
          <w:p>
            <w:pPr>
              <w:jc w:val="right"/>
              <w:ind w:right="506"/>
              <w:spacing w:after="0" w:line="141" w:lineRule="exact"/>
              <w:rPr>
                <w:sz w:val="20"/>
                <w:szCs w:val="20"/>
                <w:color w:val="auto"/>
              </w:rPr>
            </w:pPr>
            <w:r>
              <w:rPr>
                <w:rFonts w:ascii="Times New Roman" w:cs="Times New Roman" w:eastAsia="Times New Roman" w:hAnsi="Times New Roman"/>
                <w:sz w:val="13"/>
                <w:szCs w:val="13"/>
                <w:color w:val="auto"/>
              </w:rPr>
              <w:t>2.09</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CCEEFF"/>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32,859</w:t>
            </w:r>
          </w:p>
        </w:tc>
        <w:tc>
          <w:tcPr>
            <w:tcW w:w="0" w:type="dxa"/>
            <w:vAlign w:val="bottom"/>
          </w:tcPr>
          <w:p>
            <w:pPr>
              <w:spacing w:after="0"/>
              <w:rPr>
                <w:sz w:val="1"/>
                <w:szCs w:val="1"/>
                <w:color w:val="auto"/>
              </w:rPr>
            </w:pPr>
          </w:p>
        </w:tc>
      </w:tr>
      <w:tr>
        <w:trPr>
          <w:trHeight w:val="76"/>
        </w:trPr>
        <w:tc>
          <w:tcPr>
            <w:tcW w:w="2240" w:type="dxa"/>
            <w:vAlign w:val="bottom"/>
            <w:tcBorders>
              <w:bottom w:val="single" w:sz="8" w:color="auto"/>
            </w:tcBorders>
          </w:tcPr>
          <w:p>
            <w:pPr>
              <w:spacing w:after="0"/>
              <w:rPr>
                <w:sz w:val="6"/>
                <w:szCs w:val="6"/>
                <w:color w:val="auto"/>
              </w:rPr>
            </w:pPr>
          </w:p>
        </w:tc>
        <w:tc>
          <w:tcPr>
            <w:tcW w:w="1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 The intrinsic value is calculated based on the market value of our common stock as of December 31, 2020.</w:t>
      </w:r>
    </w:p>
    <w:p>
      <w:pPr>
        <w:spacing w:after="0" w:line="154" w:lineRule="exact"/>
        <w:rPr>
          <w:sz w:val="20"/>
          <w:szCs w:val="20"/>
          <w:color w:val="auto"/>
        </w:rPr>
      </w:pPr>
    </w:p>
    <w:p>
      <w:pPr>
        <w:ind w:left="20" w:right="259" w:firstLine="228"/>
        <w:spacing w:after="0" w:line="268" w:lineRule="auto"/>
        <w:rPr>
          <w:sz w:val="20"/>
          <w:szCs w:val="20"/>
          <w:color w:val="auto"/>
        </w:rPr>
      </w:pPr>
      <w:r>
        <w:rPr>
          <w:rFonts w:ascii="Times New Roman" w:cs="Times New Roman" w:eastAsia="Times New Roman" w:hAnsi="Times New Roman"/>
          <w:sz w:val="13"/>
          <w:szCs w:val="13"/>
          <w:color w:val="auto"/>
        </w:rPr>
        <w:t>The grant date fair values, which equal the market price of Digital Realty Trust, Inc. common stock on the applicable grant date(s), are being expensed on a straight-line basis for service awards between two and four years, the current vesting periods of the long-term incentive units.</w:t>
      </w:r>
    </w:p>
    <w:p>
      <w:pPr>
        <w:spacing w:after="0" w:line="122" w:lineRule="exact"/>
        <w:rPr>
          <w:sz w:val="20"/>
          <w:szCs w:val="20"/>
          <w:color w:val="auto"/>
        </w:rPr>
      </w:pPr>
    </w:p>
    <w:p>
      <w:pPr>
        <w:ind w:left="20" w:right="399" w:firstLine="228"/>
        <w:spacing w:after="0" w:line="256" w:lineRule="auto"/>
        <w:rPr>
          <w:sz w:val="20"/>
          <w:szCs w:val="20"/>
          <w:color w:val="auto"/>
        </w:rPr>
      </w:pPr>
      <w:r>
        <w:rPr>
          <w:rFonts w:ascii="Times New Roman" w:cs="Times New Roman" w:eastAsia="Times New Roman" w:hAnsi="Times New Roman"/>
          <w:sz w:val="13"/>
          <w:szCs w:val="13"/>
          <w:color w:val="auto"/>
        </w:rPr>
        <w:t>The aggregate intrinsic value of long-term incentive units that vested in 2020, 2019 and 2018 was $11.6 million, $5.7 million and $4.2 million, respectively. As of December 31, 2020, we had approximately 0.9 million long-term incentive units that were outstanding and exercisable with an aggregate intrinsic value of approximately $122.0 million (based on the market price of our common stock as of December 31, 2020).</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81" w:name="page182"/>
    <w:bookmarkEnd w:id="18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(b) Market Performance-Based Awards</w:t>
      </w:r>
    </w:p>
    <w:p>
      <w:pPr>
        <w:spacing w:after="0" w:line="156" w:lineRule="exact"/>
        <w:rPr>
          <w:sz w:val="20"/>
          <w:szCs w:val="20"/>
          <w:color w:val="auto"/>
        </w:rPr>
      </w:pPr>
    </w:p>
    <w:p>
      <w:pPr>
        <w:ind w:left="20" w:right="319" w:firstLine="228"/>
        <w:spacing w:after="0" w:line="256" w:lineRule="auto"/>
        <w:rPr>
          <w:sz w:val="20"/>
          <w:szCs w:val="20"/>
          <w:color w:val="auto"/>
        </w:rPr>
      </w:pPr>
      <w:r>
        <w:rPr>
          <w:rFonts w:ascii="Times New Roman" w:cs="Times New Roman" w:eastAsia="Times New Roman" w:hAnsi="Times New Roman"/>
          <w:sz w:val="13"/>
          <w:szCs w:val="13"/>
          <w:color w:val="auto"/>
        </w:rPr>
        <w:t>During the years ended December 31, 2020, 2019 and 2018, the Compensation Committee of the Board of Directors of Digital Realty Trust, Inc. approved the grant of market performance-based Class D units of the Operating Partnership and market performance-based restricted stock units, or RSUs, covering shares of Digital Realty Trust, Inc.’s common stock (collectively, the “awards”), under the 2014 Incentive Award Plan to officers and employees of the Company.</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awards, which were determined to contain a market condition, utilize total shareholder return, or TSR, over a three-year measurement period as the market</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performance metric. Awards will vest based on the Company’s TSR relative to the MSCI US REIT Index, or RMS, over a three-year market performance period, or the Market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Performance Period, commencing in January 2018, January 2019 or January 2020, as applicable (or, if earlier, ending on the date on which a change in control of the Company</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occurs), subject to the applicable employee’s continued service. Vesting with respect to the market condition is measured based on the difference between Digital Realty</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Trust, Inc.’s TSR percentage and the TSR percentage of the RMS, or the RMS Relative Market Performance. In the event that the RMS Relative Market Performance during the</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applicable Market Performance Period is achieved at the “threshold,” “target” or “high” level as set forth below, the awards will become vested as to the market condition with</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respect to the percentage of Class D units or RSUs, as applicable, set forth below:</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2018 / 2019</w:t>
            </w:r>
          </w:p>
        </w:tc>
        <w:tc>
          <w:tcPr>
            <w:tcW w:w="2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140" w:type="dxa"/>
            <w:vAlign w:val="bottom"/>
          </w:tcPr>
          <w:p>
            <w:pPr>
              <w:spacing w:after="0"/>
              <w:rPr>
                <w:sz w:val="10"/>
                <w:szCs w:val="10"/>
                <w:color w:val="auto"/>
              </w:rPr>
            </w:pPr>
          </w:p>
        </w:tc>
        <w:tc>
          <w:tcPr>
            <w:tcW w:w="980" w:type="dxa"/>
            <w:vAlign w:val="bottom"/>
            <w:gridSpan w:val="2"/>
          </w:tcPr>
          <w:p>
            <w:pPr>
              <w:jc w:val="center"/>
              <w:ind w:right="77"/>
              <w:spacing w:after="0"/>
              <w:rPr>
                <w:sz w:val="20"/>
                <w:szCs w:val="20"/>
                <w:color w:val="auto"/>
              </w:rPr>
            </w:pPr>
            <w:r>
              <w:rPr>
                <w:rFonts w:ascii="Times New Roman" w:cs="Times New Roman" w:eastAsia="Times New Roman" w:hAnsi="Times New Roman"/>
                <w:sz w:val="10"/>
                <w:szCs w:val="10"/>
                <w:b w:val="1"/>
                <w:bCs w:val="1"/>
                <w:color w:val="auto"/>
                <w:w w:val="99"/>
              </w:rPr>
              <w:t>Market</w:t>
            </w:r>
          </w:p>
        </w:tc>
        <w:tc>
          <w:tcPr>
            <w:tcW w:w="0" w:type="dxa"/>
            <w:vAlign w:val="bottom"/>
          </w:tcPr>
          <w:p>
            <w:pPr>
              <w:spacing w:after="0"/>
              <w:rPr>
                <w:sz w:val="1"/>
                <w:szCs w:val="1"/>
                <w:color w:val="auto"/>
              </w:rPr>
            </w:pPr>
          </w:p>
        </w:tc>
      </w:tr>
      <w:tr>
        <w:trPr>
          <w:trHeight w:val="104"/>
        </w:trPr>
        <w:tc>
          <w:tcPr>
            <w:tcW w:w="4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77"/>
              <w:spacing w:after="0" w:line="104" w:lineRule="exact"/>
              <w:rPr>
                <w:sz w:val="20"/>
                <w:szCs w:val="20"/>
                <w:color w:val="auto"/>
              </w:rPr>
            </w:pPr>
            <w:r>
              <w:rPr>
                <w:rFonts w:ascii="Times New Roman" w:cs="Times New Roman" w:eastAsia="Times New Roman" w:hAnsi="Times New Roman"/>
                <w:sz w:val="10"/>
                <w:szCs w:val="10"/>
                <w:b w:val="1"/>
                <w:bCs w:val="1"/>
                <w:color w:val="auto"/>
              </w:rPr>
              <w:t>Performance</w:t>
            </w:r>
          </w:p>
        </w:tc>
        <w:tc>
          <w:tcPr>
            <w:tcW w:w="0" w:type="dxa"/>
            <w:vAlign w:val="bottom"/>
          </w:tcPr>
          <w:p>
            <w:pPr>
              <w:spacing w:after="0"/>
              <w:rPr>
                <w:sz w:val="1"/>
                <w:szCs w:val="1"/>
                <w:color w:val="auto"/>
              </w:rPr>
            </w:pPr>
          </w:p>
        </w:tc>
      </w:tr>
      <w:tr>
        <w:trPr>
          <w:trHeight w:val="104"/>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Level</w:t>
            </w:r>
          </w:p>
        </w:tc>
        <w:tc>
          <w:tcPr>
            <w:tcW w:w="1480" w:type="dxa"/>
            <w:vAlign w:val="bottom"/>
            <w:gridSpan w:val="2"/>
          </w:tcPr>
          <w:p>
            <w:pPr>
              <w:jc w:val="center"/>
              <w:ind w:right="40"/>
              <w:spacing w:after="0" w:line="104" w:lineRule="exact"/>
              <w:rPr>
                <w:sz w:val="20"/>
                <w:szCs w:val="20"/>
                <w:color w:val="auto"/>
              </w:rPr>
            </w:pPr>
            <w:r>
              <w:rPr>
                <w:rFonts w:ascii="Times New Roman" w:cs="Times New Roman" w:eastAsia="Times New Roman" w:hAnsi="Times New Roman"/>
                <w:sz w:val="10"/>
                <w:szCs w:val="10"/>
                <w:b w:val="1"/>
                <w:bCs w:val="1"/>
                <w:color w:val="auto"/>
              </w:rPr>
              <w:t>RMS Relative</w:t>
            </w:r>
          </w:p>
        </w:tc>
        <w:tc>
          <w:tcPr>
            <w:tcW w:w="1580" w:type="dxa"/>
            <w:vAlign w:val="bottom"/>
            <w:gridSpan w:val="2"/>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rPr>
              <w:t>RMS Relative</w:t>
            </w:r>
          </w:p>
        </w:tc>
        <w:tc>
          <w:tcPr>
            <w:tcW w:w="980" w:type="dxa"/>
            <w:vAlign w:val="bottom"/>
            <w:gridSpan w:val="2"/>
          </w:tcPr>
          <w:p>
            <w:pPr>
              <w:jc w:val="center"/>
              <w:ind w:right="77"/>
              <w:spacing w:after="0" w:line="104" w:lineRule="exact"/>
              <w:rPr>
                <w:sz w:val="20"/>
                <w:szCs w:val="20"/>
                <w:color w:val="auto"/>
              </w:rPr>
            </w:pPr>
            <w:r>
              <w:rPr>
                <w:rFonts w:ascii="Times New Roman" w:cs="Times New Roman" w:eastAsia="Times New Roman" w:hAnsi="Times New Roman"/>
                <w:sz w:val="10"/>
                <w:szCs w:val="10"/>
                <w:b w:val="1"/>
                <w:bCs w:val="1"/>
                <w:color w:val="auto"/>
                <w:w w:val="99"/>
              </w:rPr>
              <w:t>Vesting</w:t>
            </w:r>
          </w:p>
        </w:tc>
        <w:tc>
          <w:tcPr>
            <w:tcW w:w="0" w:type="dxa"/>
            <w:vAlign w:val="bottom"/>
          </w:tcPr>
          <w:p>
            <w:pPr>
              <w:spacing w:after="0"/>
              <w:rPr>
                <w:sz w:val="1"/>
                <w:szCs w:val="1"/>
                <w:color w:val="auto"/>
              </w:rPr>
            </w:pPr>
          </w:p>
        </w:tc>
      </w:tr>
      <w:tr>
        <w:trPr>
          <w:trHeight w:val="121"/>
        </w:trPr>
        <w:tc>
          <w:tcPr>
            <w:tcW w:w="4940" w:type="dxa"/>
            <w:vAlign w:val="bottom"/>
            <w:gridSpan w:val="2"/>
            <w:vMerge w:val="continue"/>
          </w:tcPr>
          <w:p>
            <w:pPr>
              <w:spacing w:after="0"/>
              <w:rPr>
                <w:sz w:val="10"/>
                <w:szCs w:val="10"/>
                <w:color w:val="auto"/>
              </w:rPr>
            </w:pP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9"/>
              </w:rPr>
              <w:t>Market Performance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Market Performance</w:t>
            </w:r>
          </w:p>
        </w:tc>
        <w:tc>
          <w:tcPr>
            <w:tcW w:w="980" w:type="dxa"/>
            <w:vAlign w:val="bottom"/>
            <w:gridSpan w:val="2"/>
          </w:tcPr>
          <w:p>
            <w:pPr>
              <w:jc w:val="center"/>
              <w:ind w:right="77"/>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0" w:type="dxa"/>
            <w:vAlign w:val="bottom"/>
          </w:tcPr>
          <w:p>
            <w:pPr>
              <w:spacing w:after="0"/>
              <w:rPr>
                <w:sz w:val="1"/>
                <w:szCs w:val="1"/>
                <w:color w:val="auto"/>
              </w:rPr>
            </w:pPr>
          </w:p>
        </w:tc>
      </w:tr>
      <w:tr>
        <w:trPr>
          <w:trHeight w:val="141"/>
        </w:trPr>
        <w:tc>
          <w:tcPr>
            <w:tcW w:w="48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Below Threshold Level</w:t>
            </w:r>
          </w:p>
        </w:tc>
        <w:tc>
          <w:tcPr>
            <w:tcW w:w="14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 -300 basis points</w:t>
            </w:r>
          </w:p>
        </w:tc>
        <w:tc>
          <w:tcPr>
            <w:tcW w:w="2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 -500 basis points</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0</w:t>
            </w:r>
          </w:p>
        </w:tc>
        <w:tc>
          <w:tcPr>
            <w:tcW w:w="160" w:type="dxa"/>
            <w:vAlign w:val="bottom"/>
            <w:tcBorders>
              <w:top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5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Threshold Level</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-300 basis points</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-500 basis points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0" w:type="dxa"/>
            <w:vAlign w:val="bottom"/>
          </w:tcPr>
          <w:p>
            <w:pPr>
              <w:spacing w:after="0"/>
              <w:rPr>
                <w:sz w:val="1"/>
                <w:szCs w:val="1"/>
                <w:color w:val="auto"/>
              </w:rPr>
            </w:pPr>
          </w:p>
        </w:tc>
      </w:tr>
      <w:tr>
        <w:trPr>
          <w:trHeight w:val="152"/>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Target Level</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100 basis points</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 basis points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0" w:type="dxa"/>
            <w:vAlign w:val="bottom"/>
          </w:tcPr>
          <w:p>
            <w:pPr>
              <w:spacing w:after="0"/>
              <w:rPr>
                <w:sz w:val="1"/>
                <w:szCs w:val="1"/>
                <w:color w:val="auto"/>
              </w:rPr>
            </w:pPr>
          </w:p>
        </w:tc>
      </w:tr>
      <w:tr>
        <w:trPr>
          <w:trHeight w:val="165"/>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High Level</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 500 basis points</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500 basis points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0" w:right="259" w:firstLine="228"/>
        <w:spacing w:after="0" w:line="268" w:lineRule="auto"/>
        <w:rPr>
          <w:sz w:val="20"/>
          <w:szCs w:val="20"/>
          <w:color w:val="auto"/>
        </w:rPr>
      </w:pPr>
      <w:r>
        <w:rPr>
          <w:rFonts w:ascii="Times New Roman" w:cs="Times New Roman" w:eastAsia="Times New Roman" w:hAnsi="Times New Roman"/>
          <w:sz w:val="13"/>
          <w:szCs w:val="13"/>
          <w:color w:val="auto"/>
        </w:rPr>
        <w:t>If the RMS Relative Market Performance falls between the levels specified above, the percentage of the award that will vest with respect to the market condition will be determined using straight-line linear interpolation between such levels.</w:t>
      </w:r>
    </w:p>
    <w:p>
      <w:pPr>
        <w:spacing w:after="0" w:line="122" w:lineRule="exact"/>
        <w:rPr>
          <w:sz w:val="20"/>
          <w:szCs w:val="20"/>
          <w:color w:val="auto"/>
        </w:rPr>
      </w:pPr>
    </w:p>
    <w:p>
      <w:pPr>
        <w:jc w:val="both"/>
        <w:ind w:left="20" w:right="159" w:firstLine="228"/>
        <w:spacing w:after="0" w:line="252" w:lineRule="auto"/>
        <w:rPr>
          <w:sz w:val="20"/>
          <w:szCs w:val="20"/>
          <w:color w:val="auto"/>
        </w:rPr>
      </w:pPr>
      <w:r>
        <w:rPr>
          <w:rFonts w:ascii="Times New Roman" w:cs="Times New Roman" w:eastAsia="Times New Roman" w:hAnsi="Times New Roman"/>
          <w:sz w:val="13"/>
          <w:szCs w:val="13"/>
          <w:color w:val="auto"/>
        </w:rPr>
        <w:t>In January 2021, following the completion of the applicable Market Performance Period, the Compensation Committee determined that the high level had been achieved for the 2018 awards and, accordingly, 240,377 Class D units (including 20,725 distribution equivalent units that immediately vested on December 31, 2020) and 63,498 RSUs performance vested, subject to service-based vesting. On February 27, 2021, 50% of the 2018 awards vested and the remaining 50% will vest on February 27, 2022, subject to continued employment through the applicable vesting date.</w:t>
      </w:r>
    </w:p>
    <w:p>
      <w:pPr>
        <w:spacing w:after="0" w:line="132" w:lineRule="exact"/>
        <w:rPr>
          <w:sz w:val="20"/>
          <w:szCs w:val="20"/>
          <w:color w:val="auto"/>
        </w:rPr>
      </w:pPr>
    </w:p>
    <w:p>
      <w:pPr>
        <w:ind w:left="20" w:right="59" w:firstLine="228"/>
        <w:spacing w:after="0" w:line="252" w:lineRule="auto"/>
        <w:rPr>
          <w:sz w:val="20"/>
          <w:szCs w:val="20"/>
          <w:color w:val="auto"/>
        </w:rPr>
      </w:pPr>
      <w:r>
        <w:rPr>
          <w:rFonts w:ascii="Times New Roman" w:cs="Times New Roman" w:eastAsia="Times New Roman" w:hAnsi="Times New Roman"/>
          <w:sz w:val="13"/>
          <w:szCs w:val="13"/>
          <w:color w:val="auto"/>
        </w:rPr>
        <w:t>In January 2020, following the completion of the applicable Market Performance Period, the Compensation Committee determined that the RMS Relative Market Performance fell between the target and high level for the 2017 awards and, accordingly, 137,816 Class D units (including 10,971 distribution equivalent units that immediately vested on December 31, 2019) and 29,141 RSUs performance vested, subject to service-based vesting. On February 27, 2020, 50% of the 2017 awards vested and the remaining 50% vested on February 27, 2021.</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82" w:name="page183"/>
    <w:bookmarkEnd w:id="18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jc w:val="both"/>
        <w:ind w:left="20" w:right="159" w:firstLine="228"/>
        <w:spacing w:after="0" w:line="287" w:lineRule="auto"/>
        <w:rPr>
          <w:sz w:val="20"/>
          <w:szCs w:val="20"/>
          <w:color w:val="auto"/>
        </w:rPr>
      </w:pPr>
      <w:r>
        <w:rPr>
          <w:rFonts w:ascii="Times New Roman" w:cs="Times New Roman" w:eastAsia="Times New Roman" w:hAnsi="Times New Roman"/>
          <w:sz w:val="12"/>
          <w:szCs w:val="12"/>
          <w:color w:val="auto"/>
        </w:rPr>
        <w:t>In January 2019, following the completion of the applicable Market Performance Period, the Compensation Committee determined that the high level had been achieved for the 2016 awards and, accordingly, 339,317 Class D units (including 31,009 distribution equivalent units that immediately vested on December 31, 2018) and 56,778 RSUs performance vested, subject to service-based vesting. On February 27, 2019, 50% of the 2016 awards vested and the remaining 50% vested on February 27, 2020.</w:t>
      </w:r>
    </w:p>
    <w:p>
      <w:pPr>
        <w:spacing w:after="0" w:line="112" w:lineRule="exact"/>
        <w:rPr>
          <w:sz w:val="20"/>
          <w:szCs w:val="20"/>
          <w:color w:val="auto"/>
        </w:rPr>
      </w:pPr>
    </w:p>
    <w:p>
      <w:pPr>
        <w:ind w:left="20" w:right="99" w:firstLine="228"/>
        <w:spacing w:after="0" w:line="249" w:lineRule="auto"/>
        <w:rPr>
          <w:sz w:val="20"/>
          <w:szCs w:val="20"/>
          <w:color w:val="auto"/>
        </w:rPr>
      </w:pPr>
      <w:r>
        <w:rPr>
          <w:rFonts w:ascii="Times New Roman" w:cs="Times New Roman" w:eastAsia="Times New Roman" w:hAnsi="Times New Roman"/>
          <w:sz w:val="13"/>
          <w:szCs w:val="13"/>
          <w:color w:val="auto"/>
        </w:rPr>
        <w:t>Following the completion of the applicable Market Performance Period, the 2018 awards that have satisfied the market condition, vested 50% on February 27, 2021 and will vest 50% on February 27, 2022, subject to continued employment through each applicable vesting date. Following the completion of the applicable Market Performance Period, the 2019 awards that satisfy the market condition, if any, will vest 50% on February 27, 2022 and 50% on February 27, 2023, subject to continued employment through each applicable vesting date. Following the completion of the applicable Market Performance Period, the 2020 awards that satisfy the market condition, if any, will vest 50% on February 27, 2023 and 50% on February 27, 2024, subject to continued employment through the applicable vesting date.</w:t>
      </w:r>
    </w:p>
    <w:p>
      <w:pPr>
        <w:spacing w:after="0" w:line="136" w:lineRule="exact"/>
        <w:rPr>
          <w:sz w:val="20"/>
          <w:szCs w:val="20"/>
          <w:color w:val="auto"/>
        </w:rPr>
      </w:pPr>
    </w:p>
    <w:p>
      <w:pPr>
        <w:ind w:left="20" w:right="39" w:firstLine="228"/>
        <w:spacing w:after="0" w:line="252" w:lineRule="auto"/>
        <w:rPr>
          <w:sz w:val="20"/>
          <w:szCs w:val="20"/>
          <w:color w:val="auto"/>
        </w:rPr>
      </w:pPr>
      <w:r>
        <w:rPr>
          <w:rFonts w:ascii="Times New Roman" w:cs="Times New Roman" w:eastAsia="Times New Roman" w:hAnsi="Times New Roman"/>
          <w:sz w:val="13"/>
          <w:szCs w:val="13"/>
          <w:color w:val="auto"/>
        </w:rPr>
        <w:t>Service-based vesting will be accelerated, in full or on a pro rata basis, as applicable, in the event of a change in control, termination of employment by the Company without cause, or termination of employment by the award recipient for good reason, death, disability or retirement, in any case, prior to the completion of the applicable Market Performance Period. However, vesting with respect to the market condition will continue to be measured based on RMS Relative Market Performance during the applicable three-year Market Performance Period (or, in the case of a change in control, shortened Market Performance Period).</w:t>
      </w:r>
    </w:p>
    <w:p>
      <w:pPr>
        <w:spacing w:after="0" w:line="132" w:lineRule="exact"/>
        <w:rPr>
          <w:sz w:val="20"/>
          <w:szCs w:val="20"/>
          <w:color w:val="auto"/>
        </w:rPr>
      </w:pPr>
    </w:p>
    <w:p>
      <w:pPr>
        <w:ind w:left="20" w:right="39" w:firstLine="228"/>
        <w:spacing w:after="0" w:line="248" w:lineRule="auto"/>
        <w:rPr>
          <w:sz w:val="20"/>
          <w:szCs w:val="20"/>
          <w:color w:val="auto"/>
        </w:rPr>
      </w:pPr>
      <w:r>
        <w:rPr>
          <w:rFonts w:ascii="Times New Roman" w:cs="Times New Roman" w:eastAsia="Times New Roman" w:hAnsi="Times New Roman"/>
          <w:sz w:val="13"/>
          <w:szCs w:val="13"/>
          <w:color w:val="auto"/>
        </w:rPr>
        <w:t>The fair values of the awards were measured using a Monte Carlo simulation to estimate the probability of the market vesting condition being satisfied. The Company’s achievement of the market vesting condition is contingent on its TSR over a three-year market performance period, relative to the TSR of the RMS. The Monte Carlo simulation is a probabilistic technique based on the underlying theory of the Black-Scholes formula, which was run for 100,000 trials to determine the fair value of the awards. For each trial, the payoff to an award is calculated at the settlement date and is then discounted to the grant date at a risk-free interest rate. The total expected value of the awards on the grant date was determined by multiplying the average value per award over all trials by the number of awards granted. Assumptions used in the valuations are summarized as follows: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Award Date</w:t>
            </w:r>
          </w:p>
        </w:tc>
        <w:tc>
          <w:tcPr>
            <w:tcW w:w="1140" w:type="dxa"/>
            <w:vAlign w:val="bottom"/>
          </w:tcPr>
          <w:p>
            <w:pPr>
              <w:jc w:val="center"/>
              <w:ind w:left="129"/>
              <w:spacing w:after="0"/>
              <w:rPr>
                <w:sz w:val="20"/>
                <w:szCs w:val="20"/>
                <w:color w:val="auto"/>
              </w:rPr>
            </w:pPr>
            <w:r>
              <w:rPr>
                <w:rFonts w:ascii="Times New Roman" w:cs="Times New Roman" w:eastAsia="Times New Roman" w:hAnsi="Times New Roman"/>
                <w:sz w:val="10"/>
                <w:szCs w:val="10"/>
                <w:b w:val="1"/>
                <w:bCs w:val="1"/>
                <w:color w:val="auto"/>
              </w:rPr>
              <w:t>Expected Stock Price</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right"/>
              <w:ind w:right="277"/>
              <w:spacing w:after="0"/>
              <w:rPr>
                <w:sz w:val="20"/>
                <w:szCs w:val="20"/>
                <w:color w:val="auto"/>
              </w:rPr>
            </w:pPr>
            <w:r>
              <w:rPr>
                <w:rFonts w:ascii="Times New Roman" w:cs="Times New Roman" w:eastAsia="Times New Roman" w:hAnsi="Times New Roman"/>
                <w:sz w:val="10"/>
                <w:szCs w:val="10"/>
                <w:b w:val="1"/>
                <w:bCs w:val="1"/>
                <w:color w:val="auto"/>
              </w:rPr>
              <w:t>Risk-Free Interest</w:t>
            </w:r>
          </w:p>
        </w:tc>
        <w:tc>
          <w:tcPr>
            <w:tcW w:w="0" w:type="dxa"/>
            <w:vAlign w:val="bottom"/>
          </w:tcPr>
          <w:p>
            <w:pPr>
              <w:spacing w:after="0"/>
              <w:rPr>
                <w:sz w:val="1"/>
                <w:szCs w:val="1"/>
                <w:color w:val="auto"/>
              </w:rPr>
            </w:pPr>
          </w:p>
        </w:tc>
      </w:tr>
      <w:tr>
        <w:trPr>
          <w:trHeight w:val="121"/>
        </w:trPr>
        <w:tc>
          <w:tcPr>
            <w:tcW w:w="6080" w:type="dxa"/>
            <w:vAlign w:val="bottom"/>
            <w:gridSpan w:val="2"/>
            <w:vMerge w:val="continue"/>
          </w:tcPr>
          <w:p>
            <w:pPr>
              <w:spacing w:after="0"/>
              <w:rPr>
                <w:sz w:val="10"/>
                <w:szCs w:val="10"/>
                <w:color w:val="auto"/>
              </w:rPr>
            </w:pPr>
          </w:p>
        </w:tc>
        <w:tc>
          <w:tcPr>
            <w:tcW w:w="1140" w:type="dxa"/>
            <w:vAlign w:val="bottom"/>
          </w:tcPr>
          <w:p>
            <w:pPr>
              <w:jc w:val="center"/>
              <w:ind w:left="129"/>
              <w:spacing w:after="0"/>
              <w:rPr>
                <w:sz w:val="20"/>
                <w:szCs w:val="20"/>
                <w:color w:val="auto"/>
              </w:rPr>
            </w:pPr>
            <w:r>
              <w:rPr>
                <w:rFonts w:ascii="Times New Roman" w:cs="Times New Roman" w:eastAsia="Times New Roman" w:hAnsi="Times New Roman"/>
                <w:sz w:val="10"/>
                <w:szCs w:val="10"/>
                <w:b w:val="1"/>
                <w:bCs w:val="1"/>
                <w:color w:val="auto"/>
                <w:w w:val="99"/>
              </w:rPr>
              <w:t>Volatility</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right"/>
              <w:ind w:right="577"/>
              <w:spacing w:after="0"/>
              <w:rPr>
                <w:sz w:val="20"/>
                <w:szCs w:val="20"/>
                <w:color w:val="auto"/>
              </w:rPr>
            </w:pPr>
            <w:r>
              <w:rPr>
                <w:rFonts w:ascii="Times New Roman" w:cs="Times New Roman" w:eastAsia="Times New Roman" w:hAnsi="Times New Roman"/>
                <w:sz w:val="10"/>
                <w:szCs w:val="10"/>
                <w:b w:val="1"/>
                <w:bCs w:val="1"/>
                <w:color w:val="auto"/>
              </w:rPr>
              <w:t>rate</w:t>
            </w:r>
          </w:p>
        </w:tc>
        <w:tc>
          <w:tcPr>
            <w:tcW w:w="0" w:type="dxa"/>
            <w:vAlign w:val="bottom"/>
          </w:tcPr>
          <w:p>
            <w:pPr>
              <w:spacing w:after="0"/>
              <w:rPr>
                <w:sz w:val="1"/>
                <w:szCs w:val="1"/>
                <w:color w:val="auto"/>
              </w:rPr>
            </w:pPr>
          </w:p>
        </w:tc>
      </w:tr>
      <w:tr>
        <w:trPr>
          <w:trHeight w:val="141"/>
        </w:trPr>
        <w:tc>
          <w:tcPr>
            <w:tcW w:w="59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January 1, 2018</w:t>
            </w:r>
          </w:p>
        </w:tc>
        <w:tc>
          <w:tcPr>
            <w:tcW w:w="14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w:t>
            </w:r>
          </w:p>
        </w:tc>
        <w:tc>
          <w:tcPr>
            <w:tcW w:w="240" w:type="dxa"/>
            <w:vAlign w:val="bottom"/>
            <w:tcBorders>
              <w:top w:val="single" w:sz="8" w:color="CCEEFF"/>
            </w:tcBorders>
            <w:shd w:val="clear" w:color="auto" w:fill="CCEEFF"/>
          </w:tcPr>
          <w:p>
            <w:pPr>
              <w:jc w:val="right"/>
              <w:ind w:right="5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1.98</w:t>
            </w:r>
          </w:p>
        </w:tc>
        <w:tc>
          <w:tcPr>
            <w:tcW w:w="160" w:type="dxa"/>
            <w:vAlign w:val="bottom"/>
            <w:tcBorders>
              <w:top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2"/>
        </w:trPr>
        <w:tc>
          <w:tcPr>
            <w:tcW w:w="6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March 1, 2018</w:t>
            </w:r>
          </w:p>
        </w:tc>
        <w:tc>
          <w:tcPr>
            <w:tcW w:w="1140" w:type="dxa"/>
            <w:vAlign w:val="bottom"/>
          </w:tcPr>
          <w:p>
            <w:pPr>
              <w:spacing w:after="0"/>
              <w:rPr>
                <w:sz w:val="13"/>
                <w:szCs w:val="13"/>
                <w:color w:val="auto"/>
              </w:rPr>
            </w:pPr>
          </w:p>
        </w:tc>
        <w:tc>
          <w:tcPr>
            <w:tcW w:w="4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22 %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2.34 %</w:t>
            </w:r>
          </w:p>
        </w:tc>
        <w:tc>
          <w:tcPr>
            <w:tcW w:w="0" w:type="dxa"/>
            <w:vAlign w:val="bottom"/>
          </w:tcPr>
          <w:p>
            <w:pPr>
              <w:spacing w:after="0"/>
              <w:rPr>
                <w:sz w:val="1"/>
                <w:szCs w:val="1"/>
                <w:color w:val="auto"/>
              </w:rPr>
            </w:pPr>
          </w:p>
        </w:tc>
      </w:tr>
      <w:tr>
        <w:trPr>
          <w:trHeight w:val="152"/>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March 9, 2018</w:t>
            </w:r>
          </w:p>
        </w:tc>
        <w:tc>
          <w:tcPr>
            <w:tcW w:w="1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22 %</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2.42 %</w:t>
            </w:r>
          </w:p>
        </w:tc>
        <w:tc>
          <w:tcPr>
            <w:tcW w:w="0" w:type="dxa"/>
            <w:vAlign w:val="bottom"/>
          </w:tcPr>
          <w:p>
            <w:pPr>
              <w:spacing w:after="0"/>
              <w:rPr>
                <w:sz w:val="1"/>
                <w:szCs w:val="1"/>
                <w:color w:val="auto"/>
              </w:rPr>
            </w:pPr>
          </w:p>
        </w:tc>
      </w:tr>
      <w:tr>
        <w:trPr>
          <w:trHeight w:val="152"/>
        </w:trPr>
        <w:tc>
          <w:tcPr>
            <w:tcW w:w="6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January 1, 2019</w:t>
            </w:r>
          </w:p>
        </w:tc>
        <w:tc>
          <w:tcPr>
            <w:tcW w:w="1140" w:type="dxa"/>
            <w:vAlign w:val="bottom"/>
          </w:tcPr>
          <w:p>
            <w:pPr>
              <w:spacing w:after="0"/>
              <w:rPr>
                <w:sz w:val="13"/>
                <w:szCs w:val="13"/>
                <w:color w:val="auto"/>
              </w:rPr>
            </w:pPr>
          </w:p>
        </w:tc>
        <w:tc>
          <w:tcPr>
            <w:tcW w:w="4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23 %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2.44 %</w:t>
            </w:r>
          </w:p>
        </w:tc>
        <w:tc>
          <w:tcPr>
            <w:tcW w:w="0" w:type="dxa"/>
            <w:vAlign w:val="bottom"/>
          </w:tcPr>
          <w:p>
            <w:pPr>
              <w:spacing w:after="0"/>
              <w:rPr>
                <w:sz w:val="1"/>
                <w:szCs w:val="1"/>
                <w:color w:val="auto"/>
              </w:rPr>
            </w:pPr>
          </w:p>
        </w:tc>
      </w:tr>
      <w:tr>
        <w:trPr>
          <w:trHeight w:val="152"/>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February 21, 2019</w:t>
            </w:r>
          </w:p>
        </w:tc>
        <w:tc>
          <w:tcPr>
            <w:tcW w:w="1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23 %</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2.48 %</w:t>
            </w:r>
          </w:p>
        </w:tc>
        <w:tc>
          <w:tcPr>
            <w:tcW w:w="0" w:type="dxa"/>
            <w:vAlign w:val="bottom"/>
          </w:tcPr>
          <w:p>
            <w:pPr>
              <w:spacing w:after="0"/>
              <w:rPr>
                <w:sz w:val="1"/>
                <w:szCs w:val="1"/>
                <w:color w:val="auto"/>
              </w:rPr>
            </w:pPr>
          </w:p>
        </w:tc>
      </w:tr>
      <w:tr>
        <w:trPr>
          <w:trHeight w:val="152"/>
        </w:trPr>
        <w:tc>
          <w:tcPr>
            <w:tcW w:w="6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February 19, 2020</w:t>
            </w:r>
          </w:p>
        </w:tc>
        <w:tc>
          <w:tcPr>
            <w:tcW w:w="1140" w:type="dxa"/>
            <w:vAlign w:val="bottom"/>
          </w:tcPr>
          <w:p>
            <w:pPr>
              <w:spacing w:after="0"/>
              <w:rPr>
                <w:sz w:val="13"/>
                <w:szCs w:val="13"/>
                <w:color w:val="auto"/>
              </w:rPr>
            </w:pPr>
          </w:p>
        </w:tc>
        <w:tc>
          <w:tcPr>
            <w:tcW w:w="4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22 %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1.39 %</w:t>
            </w:r>
          </w:p>
        </w:tc>
        <w:tc>
          <w:tcPr>
            <w:tcW w:w="0" w:type="dxa"/>
            <w:vAlign w:val="bottom"/>
          </w:tcPr>
          <w:p>
            <w:pPr>
              <w:spacing w:after="0"/>
              <w:rPr>
                <w:sz w:val="1"/>
                <w:szCs w:val="1"/>
                <w:color w:val="auto"/>
              </w:rPr>
            </w:pPr>
          </w:p>
        </w:tc>
      </w:tr>
      <w:tr>
        <w:trPr>
          <w:trHeight w:val="152"/>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February 20, 2020</w:t>
            </w:r>
          </w:p>
        </w:tc>
        <w:tc>
          <w:tcPr>
            <w:tcW w:w="1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22 %</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1.35 %</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0" w:right="179" w:firstLine="228"/>
        <w:spacing w:after="0" w:line="252" w:lineRule="auto"/>
        <w:rPr>
          <w:sz w:val="20"/>
          <w:szCs w:val="20"/>
          <w:color w:val="auto"/>
        </w:rPr>
      </w:pPr>
      <w:r>
        <w:rPr>
          <w:rFonts w:ascii="Times New Roman" w:cs="Times New Roman" w:eastAsia="Times New Roman" w:hAnsi="Times New Roman"/>
          <w:sz w:val="13"/>
          <w:szCs w:val="13"/>
          <w:color w:val="auto"/>
        </w:rPr>
        <w:t>The expected stock price volatility assumption is calculated based on our historical volatility, which is calculated over a period of time commensurate with the expected term of the awards being valued. The expected dividend yield assumption used in the Monte Carlo simulation represents the percent of return to a stock that is available to the holder of an award. Because the holders of the awards receive dividend equivalents, an expected dividend yield assumption of 0.00% was used in the valuation. These valuations were performed in a risk-neutral framework, and no assumption was made with respect to an equity risk premium.</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83" w:name="page184"/>
    <w:bookmarkEnd w:id="18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199" w:firstLine="228"/>
        <w:spacing w:after="0" w:line="268" w:lineRule="auto"/>
        <w:rPr>
          <w:sz w:val="20"/>
          <w:szCs w:val="20"/>
          <w:color w:val="auto"/>
        </w:rPr>
      </w:pPr>
      <w:r>
        <w:rPr>
          <w:rFonts w:ascii="Times New Roman" w:cs="Times New Roman" w:eastAsia="Times New Roman" w:hAnsi="Times New Roman"/>
          <w:sz w:val="13"/>
          <w:szCs w:val="13"/>
          <w:color w:val="auto"/>
        </w:rPr>
        <w:t>The grant date fair value of the Class D unit and RSU awards was approximately $17.2. million, $22.3 million and $21.8 million for the years ended December 31, 2020, 2019 and 2018, respectively. We will recognize compensation expense on a straight-line basis over the expected service period of approximately four years.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aggregate intrinsic value of the Class D unit and RSU awards that vested in 2020, 2019 and 2018 was $24.3 million, $32.7 million and $29.3 million, respectively.</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(c) Restricted Stock</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Below is a summary of our restricted stock activity for the year ended December 31, 2020.</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34"/>
        </w:trPr>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8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Aggregate</w:t>
            </w:r>
          </w:p>
        </w:tc>
      </w:tr>
      <w:tr>
        <w:trPr>
          <w:trHeight w:val="151"/>
        </w:trPr>
        <w:tc>
          <w:tcPr>
            <w:tcW w:w="2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Grant Date Fair</w:t>
            </w: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 Contractual</w:t>
            </w:r>
          </w:p>
        </w:tc>
        <w:tc>
          <w:tcPr>
            <w:tcW w:w="8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w w:val="99"/>
              </w:rPr>
              <w:t xml:space="preserve">Intrinsic Value </w:t>
            </w:r>
            <w:r>
              <w:rPr>
                <w:rFonts w:ascii="Times New Roman" w:cs="Times New Roman" w:eastAsia="Times New Roman" w:hAnsi="Times New Roman"/>
                <w:sz w:val="17"/>
                <w:szCs w:val="17"/>
                <w:b w:val="1"/>
                <w:bCs w:val="1"/>
                <w:color w:val="auto"/>
                <w:w w:val="99"/>
                <w:vertAlign w:val="superscript"/>
              </w:rPr>
              <w:t>(2)</w:t>
            </w:r>
          </w:p>
        </w:tc>
      </w:tr>
      <w:tr>
        <w:trPr>
          <w:trHeight w:val="151"/>
        </w:trPr>
        <w:tc>
          <w:tcPr>
            <w:tcW w:w="38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Unvested Restricted Stock</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Life (Years)</w:t>
            </w: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134"/>
        </w:trPr>
        <w:tc>
          <w:tcPr>
            <w:tcW w:w="36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Unvested, beginning of period</w:t>
            </w: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372,792</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108.47</w:t>
            </w:r>
          </w:p>
        </w:tc>
        <w:tc>
          <w:tcPr>
            <w:tcW w:w="20" w:type="dxa"/>
            <w:vAlign w:val="bottom"/>
            <w:tcBorders>
              <w:top w:val="single" w:sz="8" w:color="CCEEFF"/>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r>
      <w:tr>
        <w:trPr>
          <w:trHeight w:val="142"/>
        </w:trPr>
        <w:tc>
          <w:tcPr>
            <w:tcW w:w="3800" w:type="dxa"/>
            <w:vAlign w:val="bottom"/>
            <w:gridSpan w:val="3"/>
          </w:tcPr>
          <w:p>
            <w:pPr>
              <w:spacing w:after="0" w:line="142" w:lineRule="exact"/>
              <w:rPr>
                <w:sz w:val="20"/>
                <w:szCs w:val="20"/>
                <w:color w:val="auto"/>
              </w:rPr>
            </w:pPr>
            <w:r>
              <w:rPr>
                <w:rFonts w:ascii="Times New Roman" w:cs="Times New Roman" w:eastAsia="Times New Roman" w:hAnsi="Times New Roman"/>
                <w:sz w:val="11"/>
                <w:szCs w:val="11"/>
                <w:color w:val="auto"/>
              </w:rPr>
              <w:t xml:space="preserve">Granted </w:t>
            </w:r>
            <w:r>
              <w:rPr>
                <w:rFonts w:ascii="Times New Roman" w:cs="Times New Roman" w:eastAsia="Times New Roman" w:hAnsi="Times New Roman"/>
                <w:sz w:val="16"/>
                <w:szCs w:val="16"/>
                <w:color w:val="auto"/>
                <w:vertAlign w:val="superscript"/>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831,606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126.43</w:t>
            </w:r>
          </w:p>
        </w:tc>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2"/>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Vested</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(385,905)</w:t>
            </w: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116.19</w:t>
            </w:r>
          </w:p>
        </w:tc>
        <w:tc>
          <w:tcPr>
            <w:tcW w:w="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42"/>
        </w:trPr>
        <w:tc>
          <w:tcPr>
            <w:tcW w:w="38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Cancelled or expired</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(35,274)</w:t>
            </w:r>
          </w:p>
        </w:tc>
        <w:tc>
          <w:tcPr>
            <w:tcW w:w="1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120.31</w:t>
            </w:r>
          </w:p>
        </w:tc>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0"/>
        </w:trPr>
        <w:tc>
          <w:tcPr>
            <w:tcW w:w="38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Unvested, end of period</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783,219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123.04</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80" w:type="dxa"/>
            <w:vAlign w:val="bottom"/>
            <w:tcBorders>
              <w:top w:val="single" w:sz="8" w:color="CCEEFF"/>
              <w:bottom w:val="single" w:sz="8" w:color="CCEEFF"/>
            </w:tcBorders>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rPr>
              <w:t>2.28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108,797</w:t>
            </w:r>
          </w:p>
        </w:tc>
      </w:tr>
      <w:tr>
        <w:trPr>
          <w:trHeight w:val="76"/>
        </w:trPr>
        <w:tc>
          <w:tcPr>
            <w:tcW w:w="2240" w:type="dxa"/>
            <w:vAlign w:val="bottom"/>
            <w:tcBorders>
              <w:bottom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r>
    </w:tbl>
    <w:p>
      <w:pPr>
        <w:spacing w:after="0" w:line="44" w:lineRule="exact"/>
        <w:rPr>
          <w:sz w:val="20"/>
          <w:szCs w:val="20"/>
          <w:color w:val="auto"/>
        </w:rPr>
      </w:pPr>
    </w:p>
    <w:p>
      <w:pPr>
        <w:ind w:left="260" w:hanging="235"/>
        <w:spacing w:after="0"/>
        <w:tabs>
          <w:tab w:leader="none" w:pos="26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567,810 shares issued pursuant to the converted and adjusted Interxion equity awards as part of the Interxion Combination.</w:t>
      </w:r>
    </w:p>
    <w:p>
      <w:pPr>
        <w:spacing w:after="0" w:line="15" w:lineRule="exact"/>
        <w:rPr>
          <w:rFonts w:ascii="Times New Roman" w:cs="Times New Roman" w:eastAsia="Times New Roman" w:hAnsi="Times New Roman"/>
          <w:sz w:val="13"/>
          <w:szCs w:val="13"/>
          <w:color w:val="auto"/>
        </w:rPr>
      </w:pPr>
    </w:p>
    <w:p>
      <w:pPr>
        <w:ind w:left="260" w:hanging="235"/>
        <w:spacing w:after="0"/>
        <w:tabs>
          <w:tab w:leader="none" w:pos="26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intrinsic value is calculated based on the market value of our common stock as of December 31, 2020.</w:t>
      </w:r>
    </w:p>
    <w:p>
      <w:pPr>
        <w:spacing w:after="0" w:line="141" w:lineRule="exact"/>
        <w:rPr>
          <w:sz w:val="20"/>
          <w:szCs w:val="20"/>
          <w:color w:val="auto"/>
        </w:rPr>
      </w:pPr>
    </w:p>
    <w:p>
      <w:pPr>
        <w:ind w:left="20" w:right="399" w:firstLine="228"/>
        <w:spacing w:after="0" w:line="268" w:lineRule="auto"/>
        <w:rPr>
          <w:sz w:val="20"/>
          <w:szCs w:val="20"/>
          <w:color w:val="auto"/>
        </w:rPr>
      </w:pPr>
      <w:r>
        <w:rPr>
          <w:rFonts w:ascii="Times New Roman" w:cs="Times New Roman" w:eastAsia="Times New Roman" w:hAnsi="Times New Roman"/>
          <w:sz w:val="13"/>
          <w:szCs w:val="13"/>
          <w:color w:val="auto"/>
        </w:rPr>
        <w:t>The grant date fair values, which equal the market price of Digital Realty Trust, Inc. common stock on the grant date, are expensed on a straight-line basis for service awards over the vesting period of the restricted stock, which is generally four years.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aggregate intrinsic value of restricted stock that vested in 2020, 2019 and 2018 was $53.4 million, $14.0 million and $10.0 million, respectively.</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(d) Defined Contribution Plans</w:t>
      </w:r>
    </w:p>
    <w:p>
      <w:pPr>
        <w:spacing w:after="0" w:line="156" w:lineRule="exact"/>
        <w:rPr>
          <w:sz w:val="20"/>
          <w:szCs w:val="20"/>
          <w:color w:val="auto"/>
        </w:rPr>
      </w:pPr>
    </w:p>
    <w:p>
      <w:pPr>
        <w:ind w:left="20" w:right="39" w:firstLine="228"/>
        <w:spacing w:after="0" w:line="249" w:lineRule="auto"/>
        <w:rPr>
          <w:sz w:val="20"/>
          <w:szCs w:val="20"/>
          <w:color w:val="auto"/>
        </w:rPr>
      </w:pPr>
      <w:r>
        <w:rPr>
          <w:rFonts w:ascii="Times New Roman" w:cs="Times New Roman" w:eastAsia="Times New Roman" w:hAnsi="Times New Roman"/>
          <w:sz w:val="13"/>
          <w:szCs w:val="13"/>
          <w:color w:val="auto"/>
        </w:rPr>
        <w:t>We have a 401(k) plan whereby our U.S. employees may contribute a portion of their compensation to their respective retirement accounts, in an amount not to exceed the maximum allowed under the Code. The 401(k) plan complies with Internal Revenue Service requirements as a 401(k) safe harbor plan whereby matching contributions made by us are 100% vested. The aggregate cost of our contributions to the 401(k) plan was approximately $5.5 million, $5.2 million, and $4.8 million for the years ended December 31, 2020, 2019 and 2018, respectively. Interxion has a defined contribution pension plan for most of its employees. Contributions are made in accordance with the defined contribution pension plan and are expensed as incurred.</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16. Derivative Instruments</w:t>
      </w:r>
    </w:p>
    <w:p>
      <w:pPr>
        <w:spacing w:after="0" w:line="156" w:lineRule="exact"/>
        <w:rPr>
          <w:sz w:val="20"/>
          <w:szCs w:val="20"/>
          <w:color w:val="auto"/>
        </w:rPr>
      </w:pPr>
    </w:p>
    <w:p>
      <w:pPr>
        <w:ind w:left="20" w:right="39" w:firstLine="228"/>
        <w:spacing w:after="0" w:line="310" w:lineRule="auto"/>
        <w:rPr>
          <w:sz w:val="20"/>
          <w:szCs w:val="20"/>
          <w:color w:val="auto"/>
        </w:rPr>
      </w:pPr>
      <w:r>
        <w:rPr>
          <w:rFonts w:ascii="Times New Roman" w:cs="Times New Roman" w:eastAsia="Times New Roman" w:hAnsi="Times New Roman"/>
          <w:sz w:val="12"/>
          <w:szCs w:val="12"/>
          <w:color w:val="auto"/>
        </w:rPr>
        <w:t>Currently, we use interest rate swaps to manage our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84" w:name="page185"/>
    <w:bookmarkEnd w:id="18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jc w:val="both"/>
        <w:ind w:left="20" w:right="119"/>
        <w:spacing w:after="0" w:line="256" w:lineRule="auto"/>
        <w:rPr>
          <w:sz w:val="20"/>
          <w:szCs w:val="20"/>
          <w:color w:val="auto"/>
        </w:rPr>
      </w:pPr>
      <w:r>
        <w:rPr>
          <w:rFonts w:ascii="Times New Roman" w:cs="Times New Roman" w:eastAsia="Times New Roman" w:hAnsi="Times New Roman"/>
          <w:sz w:val="13"/>
          <w:szCs w:val="13"/>
          <w:color w:val="auto"/>
        </w:rPr>
        <w:t>and uses observable market-based inputs, including interest rate curves. The fair values of interest rate swaps are determined using the market standard methodology of netting the discounted future fixed cash receipts (or payments) and the discounted expected variable cash payments (or receipts). The variable cash payments (or receipts) are based on an expectation of future interest rates (forward curves) derived from observable market interest rate curves.</w:t>
      </w:r>
    </w:p>
    <w:p>
      <w:pPr>
        <w:spacing w:after="0" w:line="129" w:lineRule="exact"/>
        <w:rPr>
          <w:sz w:val="20"/>
          <w:szCs w:val="20"/>
          <w:color w:val="auto"/>
        </w:rPr>
      </w:pPr>
    </w:p>
    <w:p>
      <w:pPr>
        <w:jc w:val="both"/>
        <w:ind w:left="20" w:right="239" w:firstLine="228"/>
        <w:spacing w:after="0" w:line="287" w:lineRule="auto"/>
        <w:rPr>
          <w:sz w:val="20"/>
          <w:szCs w:val="20"/>
          <w:color w:val="auto"/>
        </w:rPr>
      </w:pPr>
      <w:r>
        <w:rPr>
          <w:rFonts w:ascii="Times New Roman" w:cs="Times New Roman" w:eastAsia="Times New Roman" w:hAnsi="Times New Roman"/>
          <w:sz w:val="12"/>
          <w:szCs w:val="12"/>
          <w:color w:val="auto"/>
        </w:rPr>
        <w:t>To comply with the provisions of fair value accounting guidance, we incorporate credit valuation adjustments to appropriately reflect both our own nonperformance risk and the respective counterparty’s nonperformance risk in the fair value measurements. In adjusting the fair value of our derivative contracts for the effect of nonperformance risk, we have considered the impact of netting and any applicable credit enhancements, such as collateral postings, thresholds, mutual puts, and guarantees.</w:t>
      </w:r>
    </w:p>
    <w:p>
      <w:pPr>
        <w:spacing w:after="0" w:line="112" w:lineRule="exact"/>
        <w:rPr>
          <w:sz w:val="20"/>
          <w:szCs w:val="20"/>
          <w:color w:val="auto"/>
        </w:rPr>
      </w:pPr>
    </w:p>
    <w:p>
      <w:pPr>
        <w:ind w:left="20" w:right="119" w:firstLine="228"/>
        <w:spacing w:after="0" w:line="248" w:lineRule="auto"/>
        <w:rPr>
          <w:sz w:val="20"/>
          <w:szCs w:val="20"/>
          <w:color w:val="auto"/>
        </w:rPr>
      </w:pPr>
      <w:r>
        <w:rPr>
          <w:rFonts w:ascii="Times New Roman" w:cs="Times New Roman" w:eastAsia="Times New Roman" w:hAnsi="Times New Roman"/>
          <w:sz w:val="13"/>
          <w:szCs w:val="13"/>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evaluate the likelihood of default by us and our counterparties. However, as of December 31, 2020,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of the fair value hierarchy. We do not have any fair value measurements on a recurring basis using significant unobservable inputs (Level 3) as of December 31, 2020 or December 31, 2019.</w:t>
      </w:r>
    </w:p>
    <w:p>
      <w:pPr>
        <w:spacing w:after="0" w:line="136" w:lineRule="exact"/>
        <w:rPr>
          <w:sz w:val="20"/>
          <w:szCs w:val="20"/>
          <w:color w:val="auto"/>
        </w:rPr>
      </w:pPr>
    </w:p>
    <w:p>
      <w:pPr>
        <w:jc w:val="both"/>
        <w:ind w:left="20" w:right="159" w:firstLine="228"/>
        <w:spacing w:after="0" w:line="256" w:lineRule="auto"/>
        <w:rPr>
          <w:sz w:val="20"/>
          <w:szCs w:val="20"/>
          <w:color w:val="auto"/>
        </w:rPr>
      </w:pPr>
      <w:r>
        <w:rPr>
          <w:rFonts w:ascii="Times New Roman" w:cs="Times New Roman" w:eastAsia="Times New Roman" w:hAnsi="Times New Roman"/>
          <w:sz w:val="13"/>
          <w:szCs w:val="13"/>
          <w:color w:val="auto"/>
        </w:rPr>
        <w:t>The Company presents its interest rate derivatives in its consolidated balance sheets on a gross basis as interest rate swap assets (recorded in other assets) and interest rate swap liabilities (recorded in accounts payable and other accrued liabilities). As of December 31, 2020, there was no impact from netting arrangements as the Company did not have any derivatives in liability positions.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Cash Flow Hedges of Interest Rate Risk</w:t>
      </w:r>
    </w:p>
    <w:p>
      <w:pPr>
        <w:spacing w:after="0" w:line="156" w:lineRule="exact"/>
        <w:rPr>
          <w:sz w:val="20"/>
          <w:szCs w:val="20"/>
          <w:color w:val="auto"/>
        </w:rPr>
      </w:pPr>
    </w:p>
    <w:p>
      <w:pPr>
        <w:ind w:left="20" w:right="79" w:firstLine="228"/>
        <w:spacing w:after="0" w:line="252" w:lineRule="auto"/>
        <w:rPr>
          <w:sz w:val="20"/>
          <w:szCs w:val="20"/>
          <w:color w:val="auto"/>
        </w:rPr>
      </w:pPr>
      <w:r>
        <w:rPr>
          <w:rFonts w:ascii="Times New Roman" w:cs="Times New Roman" w:eastAsia="Times New Roman" w:hAnsi="Times New Roman"/>
          <w:sz w:val="13"/>
          <w:szCs w:val="13"/>
          <w:color w:val="auto"/>
        </w:rPr>
        <w:t>Our objectives in using interest rate derivatives are to add stability to interest expense and to manage our exposure to interest rate movements related to certain floating rate debt obligations. To accomplish this objective, we primarily use interest rate swaps as part of our interest rate risk management strategy. Interest rate swaps designated as cash flow hedges involve the receipt of variable-rate amounts from a counterparty in exchange for making fixed-rate payments over the life of the agreements without exchange of the underlying notional amount.</w:t>
      </w:r>
    </w:p>
    <w:p>
      <w:pPr>
        <w:spacing w:after="0" w:line="132" w:lineRule="exact"/>
        <w:rPr>
          <w:sz w:val="20"/>
          <w:szCs w:val="20"/>
          <w:color w:val="auto"/>
        </w:rPr>
      </w:pPr>
    </w:p>
    <w:p>
      <w:pPr>
        <w:ind w:left="20" w:right="59" w:firstLine="228"/>
        <w:spacing w:after="0" w:line="252" w:lineRule="auto"/>
        <w:rPr>
          <w:sz w:val="20"/>
          <w:szCs w:val="20"/>
          <w:color w:val="auto"/>
        </w:rPr>
      </w:pPr>
      <w:r>
        <w:rPr>
          <w:rFonts w:ascii="Times New Roman" w:cs="Times New Roman" w:eastAsia="Times New Roman" w:hAnsi="Times New Roman"/>
          <w:sz w:val="13"/>
          <w:szCs w:val="13"/>
          <w:color w:val="auto"/>
        </w:rPr>
        <w:t>We record all our interest rate swaps on the consolidated balance sheets at fair value. In determining the fair value of our interest rate swaps, we consider the credit risk of our counterparties. These counterparties are generally larger financial institutions engaged in providing a variety of financial services. These institutions generally face similar risks regarding adverse changes in market and economic conditions, including, but not limited to, fluctuations in interest rates, exchange rates, equity and commodity prices and credit spreads. The recent and pervasive disruptions in the financial markets have heightened the risks to these institutions.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85" w:name="page186"/>
    <w:bookmarkEnd w:id="18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159" w:firstLine="228"/>
        <w:spacing w:after="0" w:line="268" w:lineRule="auto"/>
        <w:rPr>
          <w:sz w:val="20"/>
          <w:szCs w:val="20"/>
          <w:color w:val="auto"/>
        </w:rPr>
      </w:pPr>
      <w:r>
        <w:rPr>
          <w:rFonts w:ascii="Times New Roman" w:cs="Times New Roman" w:eastAsia="Times New Roman" w:hAnsi="Times New Roman"/>
          <w:sz w:val="13"/>
          <w:szCs w:val="13"/>
          <w:color w:val="auto"/>
        </w:rPr>
        <w:t>As of December 31, 2020 and December 31, 2019, we had the following outstanding interest rate derivatives that were designated as cash flow hedges of interest rate risk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Notional Amount</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gridSpan w:val="5"/>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Fair Value at Significant Other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5"/>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5"/>
          </w:tcPr>
          <w:p>
            <w:pPr>
              <w:jc w:val="right"/>
              <w:ind w:right="363"/>
              <w:spacing w:after="0"/>
              <w:rPr>
                <w:sz w:val="20"/>
                <w:szCs w:val="20"/>
                <w:color w:val="auto"/>
              </w:rPr>
            </w:pPr>
            <w:r>
              <w:rPr>
                <w:rFonts w:ascii="Times New Roman" w:cs="Times New Roman" w:eastAsia="Times New Roman" w:hAnsi="Times New Roman"/>
                <w:sz w:val="10"/>
                <w:szCs w:val="10"/>
                <w:b w:val="1"/>
                <w:bCs w:val="1"/>
                <w:color w:val="auto"/>
              </w:rPr>
              <w:t>Observable Inputs (Level 2)</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jc w:val="center"/>
              <w:ind w:right="123"/>
              <w:spacing w:after="0" w:line="78" w:lineRule="exact"/>
              <w:rPr>
                <w:sz w:val="20"/>
                <w:szCs w:val="20"/>
                <w:color w:val="auto"/>
              </w:rPr>
            </w:pPr>
            <w:r>
              <w:rPr>
                <w:rFonts w:ascii="Times New Roman" w:cs="Times New Roman" w:eastAsia="Times New Roman" w:hAnsi="Times New Roman"/>
                <w:sz w:val="8"/>
                <w:szCs w:val="8"/>
                <w:b w:val="1"/>
                <w:bCs w:val="1"/>
                <w:color w:val="auto"/>
              </w:rPr>
              <w:t>As of</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tcPr>
          <w:p>
            <w:pPr>
              <w:jc w:val="center"/>
              <w:ind w:right="120"/>
              <w:spacing w:after="0" w:line="78" w:lineRule="exact"/>
              <w:rPr>
                <w:sz w:val="20"/>
                <w:szCs w:val="20"/>
                <w:color w:val="auto"/>
              </w:rPr>
            </w:pPr>
            <w:r>
              <w:rPr>
                <w:rFonts w:ascii="Times New Roman" w:cs="Times New Roman" w:eastAsia="Times New Roman" w:hAnsi="Times New Roman"/>
                <w:sz w:val="8"/>
                <w:szCs w:val="8"/>
                <w:b w:val="1"/>
                <w:bCs w:val="1"/>
                <w:color w:val="auto"/>
              </w:rPr>
              <w:t>As of</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Type of</w:t>
            </w: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Strike</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Effective</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Expiration</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tcPr>
          <w:p>
            <w:pPr>
              <w:jc w:val="center"/>
              <w:ind w:right="280"/>
              <w:spacing w:after="0" w:line="78" w:lineRule="exact"/>
              <w:rPr>
                <w:sz w:val="20"/>
                <w:szCs w:val="20"/>
                <w:color w:val="auto"/>
              </w:rPr>
            </w:pPr>
            <w:r>
              <w:rPr>
                <w:rFonts w:ascii="Times New Roman" w:cs="Times New Roman" w:eastAsia="Times New Roman" w:hAnsi="Times New Roman"/>
                <w:sz w:val="8"/>
                <w:szCs w:val="8"/>
                <w:b w:val="1"/>
                <w:bCs w:val="1"/>
                <w:color w:val="auto"/>
              </w:rPr>
              <w:t>As of</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jc w:val="center"/>
              <w:ind w:right="43"/>
              <w:spacing w:after="0" w:line="78" w:lineRule="exact"/>
              <w:rPr>
                <w:sz w:val="20"/>
                <w:szCs w:val="20"/>
                <w:color w:val="auto"/>
              </w:rPr>
            </w:pPr>
            <w:r>
              <w:rPr>
                <w:rFonts w:ascii="Times New Roman" w:cs="Times New Roman" w:eastAsia="Times New Roman" w:hAnsi="Times New Roman"/>
                <w:sz w:val="8"/>
                <w:szCs w:val="8"/>
                <w:b w:val="1"/>
                <w:bCs w:val="1"/>
                <w:color w:val="auto"/>
              </w:rPr>
              <w:t>As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jc w:val="center"/>
              <w:ind w:right="163"/>
              <w:spacing w:after="0" w:line="103"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jc w:val="center"/>
              <w:ind w:right="160"/>
              <w:spacing w:after="0" w:line="103"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30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center"/>
              <w:ind w:right="83"/>
              <w:spacing w:after="0" w:line="103"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center"/>
              <w:ind w:right="143"/>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Derivative</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Rate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44"/>
              <w:spacing w:after="0" w:line="123" w:lineRule="exact"/>
              <w:rPr>
                <w:sz w:val="20"/>
                <w:szCs w:val="20"/>
                <w:color w:val="auto"/>
              </w:rPr>
            </w:pPr>
            <w:r>
              <w:rPr>
                <w:rFonts w:ascii="Times New Roman" w:cs="Times New Roman" w:eastAsia="Times New Roman" w:hAnsi="Times New Roman"/>
                <w:sz w:val="10"/>
                <w:szCs w:val="10"/>
                <w:b w:val="1"/>
                <w:bCs w:val="1"/>
                <w:color w:val="auto"/>
                <w:w w:val="95"/>
              </w:rPr>
              <w:t xml:space="preserve">2020 </w:t>
            </w:r>
            <w:r>
              <w:rPr>
                <w:rFonts w:ascii="Times New Roman" w:cs="Times New Roman" w:eastAsia="Times New Roman" w:hAnsi="Times New Roman"/>
                <w:sz w:val="14"/>
                <w:szCs w:val="14"/>
                <w:b w:val="1"/>
                <w:bCs w:val="1"/>
                <w:color w:val="auto"/>
                <w:w w:val="95"/>
                <w:vertAlign w:val="superscript"/>
              </w:rPr>
              <w:t>(3)</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63"/>
              <w:spacing w:after="0" w:line="123" w:lineRule="exact"/>
              <w:rPr>
                <w:sz w:val="20"/>
                <w:szCs w:val="20"/>
                <w:color w:val="auto"/>
              </w:rPr>
            </w:pPr>
            <w:r>
              <w:rPr>
                <w:rFonts w:ascii="Times New Roman" w:cs="Times New Roman" w:eastAsia="Times New Roman" w:hAnsi="Times New Roman"/>
                <w:sz w:val="10"/>
                <w:szCs w:val="10"/>
                <w:b w:val="1"/>
                <w:bCs w:val="1"/>
                <w:color w:val="auto"/>
                <w:w w:val="95"/>
              </w:rPr>
              <w:t xml:space="preserve">2019 </w:t>
            </w:r>
            <w:r>
              <w:rPr>
                <w:rFonts w:ascii="Times New Roman" w:cs="Times New Roman" w:eastAsia="Times New Roman" w:hAnsi="Times New Roman"/>
                <w:sz w:val="14"/>
                <w:szCs w:val="14"/>
                <w:b w:val="1"/>
                <w:bCs w:val="1"/>
                <w:color w:val="auto"/>
                <w:w w:val="95"/>
                <w:vertAlign w:val="superscript"/>
              </w:rPr>
              <w:t>(3)</w:t>
            </w:r>
          </w:p>
        </w:tc>
        <w:tc>
          <w:tcPr>
            <w:tcW w:w="0" w:type="dxa"/>
            <w:vAlign w:val="bottom"/>
          </w:tcPr>
          <w:p>
            <w:pPr>
              <w:spacing w:after="0"/>
              <w:rPr>
                <w:sz w:val="1"/>
                <w:szCs w:val="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gridSpan w:val="4"/>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i w:val="1"/>
                <w:iCs w:val="1"/>
                <w:color w:val="auto"/>
                <w:w w:val="95"/>
              </w:rPr>
              <w:t>Currently-paying contracts</w:t>
            </w:r>
          </w:p>
        </w:tc>
        <w:tc>
          <w:tcPr>
            <w:tcW w:w="22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600" w:type="dxa"/>
            <w:vAlign w:val="bottom"/>
            <w:tcBorders>
              <w:top w:val="single" w:sz="8" w:color="auto"/>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94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940" w:type="dxa"/>
            <w:vAlign w:val="bottom"/>
            <w:tcBorders>
              <w:top w:val="single" w:sz="8" w:color="auto"/>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4"/>
          </w:tcPr>
          <w:p>
            <w:pPr>
              <w:jc w:val="right"/>
              <w:ind w:right="27"/>
              <w:spacing w:after="0" w:line="141"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auto"/>
              </w:rPr>
              <w:t>29,000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w:t>
            </w:r>
          </w:p>
        </w:tc>
        <w:tc>
          <w:tcPr>
            <w:tcW w:w="104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3"/>
                <w:szCs w:val="13"/>
                <w:color w:val="auto"/>
                <w:w w:val="96"/>
              </w:rPr>
              <w:t>Swap</w:t>
            </w:r>
          </w:p>
        </w:tc>
        <w:tc>
          <w:tcPr>
            <w:tcW w:w="86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1.016</w:t>
            </w:r>
          </w:p>
        </w:tc>
        <w:tc>
          <w:tcPr>
            <w:tcW w:w="180" w:type="dxa"/>
            <w:vAlign w:val="bottom"/>
          </w:tcPr>
          <w:p>
            <w:pPr>
              <w:spacing w:after="0"/>
              <w:rPr>
                <w:sz w:val="12"/>
                <w:szCs w:val="12"/>
                <w:color w:val="auto"/>
              </w:rPr>
            </w:pPr>
          </w:p>
        </w:tc>
        <w:tc>
          <w:tcPr>
            <w:tcW w:w="11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3"/>
                <w:szCs w:val="13"/>
                <w:color w:val="auto"/>
                <w:w w:val="95"/>
              </w:rPr>
              <w:t>Apr 6, 2016</w:t>
            </w: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w w:val="97"/>
              </w:rPr>
              <w:t>Jan 6, 2021</w:t>
            </w:r>
          </w:p>
        </w:tc>
        <w:tc>
          <w:tcPr>
            <w:tcW w:w="2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(1)</w:t>
            </w:r>
          </w:p>
        </w:tc>
        <w:tc>
          <w:tcPr>
            <w:tcW w:w="10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6"/>
              </w:rPr>
              <w:t>Swap</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6"/>
              </w:rPr>
              <w:t>Jan 15, 2016</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Jan 15, 2021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104,000</w:t>
            </w:r>
          </w:p>
        </w:tc>
        <w:tc>
          <w:tcPr>
            <w:tcW w:w="20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color w:val="auto"/>
                <w:w w:val="94"/>
              </w:rPr>
              <w:t>(1)</w:t>
            </w:r>
          </w:p>
        </w:tc>
        <w:tc>
          <w:tcPr>
            <w:tcW w:w="1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6"/>
              </w:rPr>
              <w:t>Swap</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w:t>
            </w:r>
          </w:p>
        </w:tc>
        <w:tc>
          <w:tcPr>
            <w:tcW w:w="18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6"/>
              </w:rPr>
              <w:t>Jan 15, 2016</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Jan 15, 2023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77,352</w:t>
            </w:r>
          </w:p>
        </w:tc>
        <w:tc>
          <w:tcPr>
            <w:tcW w:w="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w w:val="94"/>
              </w:rPr>
              <w:t>(2)</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75,825</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(2)</w:t>
            </w:r>
          </w:p>
        </w:tc>
        <w:tc>
          <w:tcPr>
            <w:tcW w:w="10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6"/>
              </w:rPr>
              <w:t>Swap</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0.779</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6"/>
              </w:rPr>
              <w:t>Jan 15, 2016</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Jan 15, 2021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181,352</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auto"/>
              </w:rPr>
              <w:t>479,825</w:t>
            </w: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(2,782)</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2,396</w:t>
            </w:r>
          </w:p>
        </w:tc>
        <w:tc>
          <w:tcPr>
            <w:tcW w:w="0" w:type="dxa"/>
            <w:vAlign w:val="bottom"/>
          </w:tcPr>
          <w:p>
            <w:pPr>
              <w:spacing w:after="0"/>
              <w:rPr>
                <w:sz w:val="1"/>
                <w:szCs w:val="1"/>
                <w:color w:val="auto"/>
              </w:rPr>
            </w:pPr>
          </w:p>
        </w:tc>
      </w:tr>
      <w:tr>
        <w:trPr>
          <w:trHeight w:val="76"/>
        </w:trPr>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hanging="235"/>
        <w:spacing w:after="0"/>
        <w:tabs>
          <w:tab w:leader="none" w:pos="26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debt which bears interest based on one-month U.S. LIBOR.</w:t>
      </w:r>
    </w:p>
    <w:p>
      <w:pPr>
        <w:spacing w:after="0" w:line="15" w:lineRule="exact"/>
        <w:rPr>
          <w:rFonts w:ascii="Times New Roman" w:cs="Times New Roman" w:eastAsia="Times New Roman" w:hAnsi="Times New Roman"/>
          <w:sz w:val="13"/>
          <w:szCs w:val="13"/>
          <w:color w:val="auto"/>
        </w:rPr>
      </w:pPr>
    </w:p>
    <w:p>
      <w:pPr>
        <w:ind w:left="260" w:right="59" w:hanging="235"/>
        <w:spacing w:after="0" w:line="243" w:lineRule="auto"/>
        <w:tabs>
          <w:tab w:leader="none" w:pos="26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debt which bears interest based on one-month CDOR. Translation to U.S. dollars is based on exchange rates of $0.79 to 1.00 CAD as of December 31, 2020 and $0.77 to 1.00 CAD as of December 31, 2019.</w:t>
      </w:r>
    </w:p>
    <w:p>
      <w:pPr>
        <w:spacing w:after="0" w:line="1" w:lineRule="exact"/>
        <w:rPr>
          <w:rFonts w:ascii="Times New Roman" w:cs="Times New Roman" w:eastAsia="Times New Roman" w:hAnsi="Times New Roman"/>
          <w:sz w:val="13"/>
          <w:szCs w:val="13"/>
          <w:color w:val="auto"/>
        </w:rPr>
      </w:pPr>
    </w:p>
    <w:p>
      <w:pPr>
        <w:ind w:left="260" w:right="299" w:hanging="235"/>
        <w:spacing w:after="0" w:line="247" w:lineRule="auto"/>
        <w:tabs>
          <w:tab w:leader="none" w:pos="26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Balance recorded in other assets in the consolidated balance sheets if positive and recorded in accounts payable and other accrued liabilities in the consolidated balance sheets if negative.</w:t>
      </w:r>
    </w:p>
    <w:p>
      <w:pPr>
        <w:spacing w:after="0" w:line="135" w:lineRule="exact"/>
        <w:rPr>
          <w:sz w:val="20"/>
          <w:szCs w:val="20"/>
          <w:color w:val="auto"/>
        </w:rPr>
      </w:pPr>
    </w:p>
    <w:p>
      <w:pPr>
        <w:jc w:val="both"/>
        <w:ind w:left="20" w:right="199" w:firstLine="228"/>
        <w:spacing w:after="0" w:line="256" w:lineRule="auto"/>
        <w:rPr>
          <w:sz w:val="20"/>
          <w:szCs w:val="20"/>
          <w:color w:val="auto"/>
        </w:rPr>
      </w:pPr>
      <w:r>
        <w:rPr>
          <w:rFonts w:ascii="Times New Roman" w:cs="Times New Roman" w:eastAsia="Times New Roman" w:hAnsi="Times New Roman"/>
          <w:sz w:val="13"/>
          <w:szCs w:val="13"/>
          <w:color w:val="auto"/>
        </w:rPr>
        <w:t>On September 24, 2020, in connection with the paydown of our 2023 Term Loan, we terminated interest rate swap agreements with notional amounts in the aggregate of $300.0 million. As a result of the termination, the accumulated fair value of the interest rate swaps was reclassified from accumulated other comprehensive income to interest expense on the accompanying consolidated income statements, which resulted in a realized loss of approximately $6.4 million.</w:t>
      </w:r>
    </w:p>
    <w:p>
      <w:pPr>
        <w:spacing w:after="0" w:line="129" w:lineRule="exact"/>
        <w:rPr>
          <w:sz w:val="20"/>
          <w:szCs w:val="20"/>
          <w:color w:val="auto"/>
        </w:rPr>
      </w:pPr>
    </w:p>
    <w:p>
      <w:pPr>
        <w:jc w:val="both"/>
        <w:ind w:left="20" w:right="59" w:firstLine="228"/>
        <w:spacing w:after="0" w:line="256" w:lineRule="auto"/>
        <w:rPr>
          <w:sz w:val="20"/>
          <w:szCs w:val="20"/>
          <w:color w:val="auto"/>
        </w:rPr>
      </w:pPr>
      <w:r>
        <w:rPr>
          <w:rFonts w:ascii="Times New Roman" w:cs="Times New Roman" w:eastAsia="Times New Roman" w:hAnsi="Times New Roman"/>
          <w:sz w:val="13"/>
          <w:szCs w:val="13"/>
          <w:color w:val="auto"/>
        </w:rPr>
        <w:t>Amounts reported in accumulated other comprehensive loss related to interest rate swaps will be reclassified to interest expense as interest payments are made on our debt. As of December 31, 2020, we estimate that an additional $1.5 million will be reclassified as an increase to interest expense during the year ending December 31, 2021, when the hedged forecasted transactions impact earnings.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Net Investment Hedges</w:t>
      </w:r>
    </w:p>
    <w:p>
      <w:pPr>
        <w:spacing w:after="0" w:line="156" w:lineRule="exact"/>
        <w:rPr>
          <w:sz w:val="20"/>
          <w:szCs w:val="20"/>
          <w:color w:val="auto"/>
        </w:rPr>
      </w:pPr>
    </w:p>
    <w:p>
      <w:pPr>
        <w:ind w:left="20" w:right="59" w:firstLine="228"/>
        <w:spacing w:after="0" w:line="247" w:lineRule="auto"/>
        <w:rPr>
          <w:sz w:val="20"/>
          <w:szCs w:val="20"/>
          <w:color w:val="auto"/>
        </w:rPr>
      </w:pPr>
      <w:r>
        <w:rPr>
          <w:rFonts w:ascii="Times New Roman" w:cs="Times New Roman" w:eastAsia="Times New Roman" w:hAnsi="Times New Roman"/>
          <w:sz w:val="13"/>
          <w:szCs w:val="13"/>
          <w:color w:val="auto"/>
        </w:rPr>
        <w:t>During the three months ended June 30, 2016, we entered into a series of forward contracts pursuant to which we agreed to sell an amount of foreign currency for an agreed upon amount of U.S. dollars. These forward contracts were executed to manage foreign currency exposures associated with certain transactions. As of June 30, 2016, the forward contracts did not meet the criteria for hedge accounting under GAAP and had a fair value of approximately $37.8 million. On July 1, 2016, the four forward contracts still in place met the criteria for net investment hedge accounting. During the year ended December 31, 2017, we terminated the four forward contracts with a notional amount of GBP 357.3 million. In connection with the settlement, we received approximately $64.0 million in proceeds and the related amount of approximately $26.2 million of accumulated other comprehensive income (AOCI) will remain in AOCI until the Company sells or liquidates its GBP-denominated investments, which has not occurred as of December 31, 2020.</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i w:val="1"/>
          <w:iCs w:val="1"/>
          <w:color w:val="auto"/>
        </w:rPr>
        <w:t>Credit-risk-related Contingent Features</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86" w:name="page187"/>
    <w:bookmarkEnd w:id="18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0" w:right="99" w:firstLine="228"/>
        <w:spacing w:after="0" w:line="256" w:lineRule="auto"/>
        <w:rPr>
          <w:sz w:val="20"/>
          <w:szCs w:val="20"/>
          <w:color w:val="auto"/>
        </w:rPr>
      </w:pPr>
      <w:r>
        <w:rPr>
          <w:rFonts w:ascii="Times New Roman" w:cs="Times New Roman" w:eastAsia="Times New Roman" w:hAnsi="Times New Roman"/>
          <w:sz w:val="13"/>
          <w:szCs w:val="13"/>
          <w:color w:val="auto"/>
        </w:rPr>
        <w:t>We have agreements with each of our derivative counterparties that contain a provision where we could be declared in default on our derivative obligations if repayment of the underlying indebtedness is accelerated by the lender due to our default on the indebtedness. As of December 31, 2020, we did not have any derivatives in a net asset position, and have not posted any collateral related to these agreements.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17. Fair Value of Instruments</w:t>
      </w:r>
    </w:p>
    <w:p>
      <w:pPr>
        <w:spacing w:after="0" w:line="156" w:lineRule="exact"/>
        <w:rPr>
          <w:sz w:val="20"/>
          <w:szCs w:val="20"/>
          <w:color w:val="auto"/>
        </w:rPr>
      </w:pPr>
    </w:p>
    <w:p>
      <w:pPr>
        <w:ind w:left="20" w:right="99" w:firstLine="228"/>
        <w:spacing w:after="0" w:line="256" w:lineRule="auto"/>
        <w:rPr>
          <w:sz w:val="20"/>
          <w:szCs w:val="20"/>
          <w:color w:val="auto"/>
        </w:rPr>
      </w:pPr>
      <w:r>
        <w:rPr>
          <w:rFonts w:ascii="Times New Roman" w:cs="Times New Roman" w:eastAsia="Times New Roman" w:hAnsi="Times New Roman"/>
          <w:sz w:val="13"/>
          <w:szCs w:val="13"/>
          <w:color w:val="auto"/>
        </w:rPr>
        <w:t>We disclose fair value information about all financial instruments, whether or not recognized in the consolidated balance sheets, for which it is practicable to estimate fair value. Current accounting guidance requires the Company to disclose fair value information about all financial instruments, whether or not recognized in the balance sheets, for which it is practicable to estimate fair value.</w:t>
      </w:r>
    </w:p>
    <w:p>
      <w:pPr>
        <w:spacing w:after="0" w:line="129" w:lineRule="exact"/>
        <w:rPr>
          <w:sz w:val="20"/>
          <w:szCs w:val="20"/>
          <w:color w:val="auto"/>
        </w:rPr>
      </w:pPr>
    </w:p>
    <w:p>
      <w:pPr>
        <w:ind w:left="20" w:right="399" w:firstLine="228"/>
        <w:spacing w:after="0" w:line="256" w:lineRule="auto"/>
        <w:rPr>
          <w:sz w:val="20"/>
          <w:szCs w:val="20"/>
          <w:color w:val="auto"/>
        </w:rPr>
      </w:pPr>
      <w:r>
        <w:rPr>
          <w:rFonts w:ascii="Times New Roman" w:cs="Times New Roman" w:eastAsia="Times New Roman" w:hAnsi="Times New Roman"/>
          <w:sz w:val="13"/>
          <w:szCs w:val="13"/>
          <w:color w:val="auto"/>
        </w:rPr>
        <w:t>The Company’s disclosures of estimated fair value of financial instruments at December 31, 2020 and December 31, 2019 were determined using available market information and appropriate valuation methods. Considerable judgment is necessary to interpret market data and develop estimated fair value. The use of different market assumptions or estimation methods may have a material effect on the estimated fair value amounts.</w:t>
      </w:r>
    </w:p>
    <w:p>
      <w:pPr>
        <w:spacing w:after="0" w:line="129" w:lineRule="exact"/>
        <w:rPr>
          <w:sz w:val="20"/>
          <w:szCs w:val="20"/>
          <w:color w:val="auto"/>
        </w:rPr>
      </w:pPr>
    </w:p>
    <w:p>
      <w:pPr>
        <w:ind w:left="20" w:right="179" w:firstLine="228"/>
        <w:spacing w:after="0" w:line="256" w:lineRule="auto"/>
        <w:rPr>
          <w:sz w:val="20"/>
          <w:szCs w:val="20"/>
          <w:color w:val="auto"/>
        </w:rPr>
      </w:pPr>
      <w:r>
        <w:rPr>
          <w:rFonts w:ascii="Times New Roman" w:cs="Times New Roman" w:eastAsia="Times New Roman" w:hAnsi="Times New Roman"/>
          <w:sz w:val="13"/>
          <w:szCs w:val="13"/>
          <w:color w:val="auto"/>
        </w:rPr>
        <w:t>The carrying amounts for cash and cash equivalents, restricted cash, accounts and other receivables, accounts payable and other accrued liabilities, accrued dividends and distributions, security deposits and prepaid rents approximate fair value because of the short-term nature of these instruments. As described in Note 16. "Derivative Instruments", the interest rate swaps and foreign currency forward contracts are recorded at fair value.</w:t>
      </w:r>
    </w:p>
    <w:p>
      <w:pPr>
        <w:spacing w:after="0" w:line="129" w:lineRule="exact"/>
        <w:rPr>
          <w:sz w:val="20"/>
          <w:szCs w:val="20"/>
          <w:color w:val="auto"/>
        </w:rPr>
      </w:pPr>
    </w:p>
    <w:p>
      <w:pPr>
        <w:ind w:left="20" w:right="299" w:firstLine="228"/>
        <w:spacing w:after="0" w:line="252" w:lineRule="auto"/>
        <w:rPr>
          <w:sz w:val="20"/>
          <w:szCs w:val="20"/>
          <w:color w:val="auto"/>
        </w:rPr>
      </w:pPr>
      <w:r>
        <w:rPr>
          <w:rFonts w:ascii="Times New Roman" w:cs="Times New Roman" w:eastAsia="Times New Roman" w:hAnsi="Times New Roman"/>
          <w:sz w:val="13"/>
          <w:szCs w:val="13"/>
          <w:color w:val="auto"/>
        </w:rPr>
        <w:t>We calculate the fair value of our mortgage loans, unsecured term loans and unsecured senior notes based on currently available market rates assuming the loans are outstanding through maturity and considering the collateral and other loan terms. In determining the current market rate for fixed rate debt, a market spread is added to the quoted yields on federal government treasury securities with similar maturity dates to our debt. The carrying value of our global revolving credit facilities approximates fair value, due to the variability of interest rates.</w:t>
      </w:r>
    </w:p>
    <w:p>
      <w:pPr>
        <w:spacing w:after="0" w:line="132" w:lineRule="exact"/>
        <w:rPr>
          <w:sz w:val="20"/>
          <w:szCs w:val="20"/>
          <w:color w:val="auto"/>
        </w:rPr>
      </w:pPr>
    </w:p>
    <w:p>
      <w:pPr>
        <w:ind w:left="20" w:right="319" w:firstLine="228"/>
        <w:spacing w:after="0" w:line="268" w:lineRule="auto"/>
        <w:rPr>
          <w:sz w:val="20"/>
          <w:szCs w:val="20"/>
          <w:color w:val="auto"/>
        </w:rPr>
      </w:pPr>
      <w:r>
        <w:rPr>
          <w:rFonts w:ascii="Times New Roman" w:cs="Times New Roman" w:eastAsia="Times New Roman" w:hAnsi="Times New Roman"/>
          <w:sz w:val="13"/>
          <w:szCs w:val="13"/>
          <w:color w:val="auto"/>
        </w:rPr>
        <w:t>As of December 31, 2020 and December 31, 2019, the aggregate estimated fair value and carrying value of our global revolving credit facilities, unsecured term loans, unsecured senior notes and mortgage loans were as follows (in thousands):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Categorization</w:t>
            </w:r>
          </w:p>
        </w:tc>
        <w:tc>
          <w:tcPr>
            <w:tcW w:w="1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0"/>
                <w:szCs w:val="10"/>
                <w:b w:val="1"/>
                <w:bCs w:val="1"/>
                <w:color w:val="auto"/>
              </w:rPr>
              <w:t>As of December 31, 2020</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0"/>
                <w:szCs w:val="10"/>
                <w:b w:val="1"/>
                <w:bCs w:val="1"/>
                <w:color w:val="auto"/>
              </w:rPr>
              <w:t>As of December 31, 2019</w:t>
            </w:r>
          </w:p>
        </w:tc>
        <w:tc>
          <w:tcPr>
            <w:tcW w:w="0" w:type="dxa"/>
            <w:vAlign w:val="bottom"/>
          </w:tcPr>
          <w:p>
            <w:pPr>
              <w:spacing w:after="0"/>
              <w:rPr>
                <w:sz w:val="1"/>
                <w:szCs w:val="1"/>
                <w:color w:val="auto"/>
              </w:rPr>
            </w:pPr>
          </w:p>
        </w:tc>
      </w:tr>
      <w:tr>
        <w:trPr>
          <w:trHeight w:val="77"/>
        </w:trPr>
        <w:tc>
          <w:tcPr>
            <w:tcW w:w="2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0" w:type="dxa"/>
            <w:vAlign w:val="bottom"/>
            <w:gridSpan w:val="2"/>
          </w:tcPr>
          <w:p>
            <w:pPr>
              <w:jc w:val="center"/>
              <w:ind w:right="140"/>
              <w:spacing w:after="0" w:line="78" w:lineRule="exact"/>
              <w:rPr>
                <w:sz w:val="20"/>
                <w:szCs w:val="20"/>
                <w:color w:val="auto"/>
              </w:rPr>
            </w:pPr>
            <w:r>
              <w:rPr>
                <w:rFonts w:ascii="Times New Roman" w:cs="Times New Roman" w:eastAsia="Times New Roman" w:hAnsi="Times New Roman"/>
                <w:sz w:val="8"/>
                <w:szCs w:val="8"/>
                <w:b w:val="1"/>
                <w:bCs w:val="1"/>
                <w:color w:val="auto"/>
              </w:rPr>
              <w:t>under the fair value</w:t>
            </w:r>
          </w:p>
        </w:tc>
        <w:tc>
          <w:tcPr>
            <w:tcW w:w="120" w:type="dxa"/>
            <w:vAlign w:val="bottom"/>
          </w:tcPr>
          <w:p>
            <w:pPr>
              <w:spacing w:after="0"/>
              <w:rPr>
                <w:sz w:val="6"/>
                <w:szCs w:val="6"/>
                <w:color w:val="auto"/>
              </w:rPr>
            </w:pPr>
          </w:p>
        </w:tc>
        <w:tc>
          <w:tcPr>
            <w:tcW w:w="1040" w:type="dxa"/>
            <w:vAlign w:val="bottom"/>
            <w:gridSpan w:val="2"/>
          </w:tcPr>
          <w:p>
            <w:pPr>
              <w:jc w:val="center"/>
              <w:ind w:right="260"/>
              <w:spacing w:after="0" w:line="78" w:lineRule="exact"/>
              <w:rPr>
                <w:sz w:val="20"/>
                <w:szCs w:val="20"/>
                <w:color w:val="auto"/>
              </w:rPr>
            </w:pPr>
            <w:r>
              <w:rPr>
                <w:rFonts w:ascii="Times New Roman" w:cs="Times New Roman" w:eastAsia="Times New Roman" w:hAnsi="Times New Roman"/>
                <w:sz w:val="8"/>
                <w:szCs w:val="8"/>
                <w:b w:val="1"/>
                <w:bCs w:val="1"/>
                <w:color w:val="auto"/>
              </w:rPr>
              <w:t>Estimated Fair</w:t>
            </w:r>
          </w:p>
        </w:tc>
        <w:tc>
          <w:tcPr>
            <w:tcW w:w="120" w:type="dxa"/>
            <w:vAlign w:val="bottom"/>
          </w:tcPr>
          <w:p>
            <w:pPr>
              <w:spacing w:after="0"/>
              <w:rPr>
                <w:sz w:val="6"/>
                <w:szCs w:val="6"/>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Carrying Value</w:t>
            </w:r>
          </w:p>
        </w:tc>
        <w:tc>
          <w:tcPr>
            <w:tcW w:w="120" w:type="dxa"/>
            <w:vAlign w:val="bottom"/>
          </w:tcPr>
          <w:p>
            <w:pPr>
              <w:spacing w:after="0"/>
              <w:rPr>
                <w:sz w:val="6"/>
                <w:szCs w:val="6"/>
                <w:color w:val="auto"/>
              </w:rPr>
            </w:pPr>
          </w:p>
        </w:tc>
        <w:tc>
          <w:tcPr>
            <w:tcW w:w="1040" w:type="dxa"/>
            <w:vAlign w:val="bottom"/>
            <w:gridSpan w:val="2"/>
          </w:tcPr>
          <w:p>
            <w:pPr>
              <w:jc w:val="center"/>
              <w:ind w:right="240"/>
              <w:spacing w:after="0" w:line="78" w:lineRule="exact"/>
              <w:rPr>
                <w:sz w:val="20"/>
                <w:szCs w:val="20"/>
                <w:color w:val="auto"/>
              </w:rPr>
            </w:pPr>
            <w:r>
              <w:rPr>
                <w:rFonts w:ascii="Times New Roman" w:cs="Times New Roman" w:eastAsia="Times New Roman" w:hAnsi="Times New Roman"/>
                <w:sz w:val="8"/>
                <w:szCs w:val="8"/>
                <w:b w:val="1"/>
                <w:bCs w:val="1"/>
                <w:color w:val="auto"/>
              </w:rPr>
              <w:t>Estimated Fair</w:t>
            </w:r>
          </w:p>
        </w:tc>
        <w:tc>
          <w:tcPr>
            <w:tcW w:w="140" w:type="dxa"/>
            <w:vAlign w:val="bottom"/>
          </w:tcPr>
          <w:p>
            <w:pPr>
              <w:spacing w:after="0"/>
              <w:rPr>
                <w:sz w:val="6"/>
                <w:szCs w:val="6"/>
                <w:color w:val="auto"/>
              </w:rPr>
            </w:pPr>
          </w:p>
        </w:tc>
        <w:tc>
          <w:tcPr>
            <w:tcW w:w="900" w:type="dxa"/>
            <w:vAlign w:val="bottom"/>
            <w:vMerge w:val="restart"/>
          </w:tcPr>
          <w:p>
            <w:pPr>
              <w:jc w:val="right"/>
              <w:ind w:right="119"/>
              <w:spacing w:after="0"/>
              <w:rPr>
                <w:sz w:val="20"/>
                <w:szCs w:val="20"/>
                <w:color w:val="auto"/>
              </w:rPr>
            </w:pPr>
            <w:r>
              <w:rPr>
                <w:rFonts w:ascii="Times New Roman" w:cs="Times New Roman" w:eastAsia="Times New Roman" w:hAnsi="Times New Roman"/>
                <w:sz w:val="10"/>
                <w:szCs w:val="10"/>
                <w:b w:val="1"/>
                <w:bCs w:val="1"/>
                <w:color w:val="auto"/>
              </w:rPr>
              <w:t>Carrying Value</w:t>
            </w:r>
          </w:p>
        </w:tc>
        <w:tc>
          <w:tcPr>
            <w:tcW w:w="0" w:type="dxa"/>
            <w:vAlign w:val="bottom"/>
          </w:tcPr>
          <w:p>
            <w:pPr>
              <w:spacing w:after="0"/>
              <w:rPr>
                <w:sz w:val="1"/>
                <w:szCs w:val="1"/>
                <w:color w:val="auto"/>
              </w:rPr>
            </w:pPr>
          </w:p>
        </w:tc>
      </w:tr>
      <w:tr>
        <w:trPr>
          <w:trHeight w:val="121"/>
        </w:trPr>
        <w:tc>
          <w:tcPr>
            <w:tcW w:w="2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hierarchy</w:t>
            </w:r>
          </w:p>
        </w:tc>
        <w:tc>
          <w:tcPr>
            <w:tcW w:w="120" w:type="dxa"/>
            <w:vAlign w:val="bottom"/>
          </w:tcPr>
          <w:p>
            <w:pPr>
              <w:spacing w:after="0"/>
              <w:rPr>
                <w:sz w:val="10"/>
                <w:szCs w:val="1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0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 xml:space="preserve">Global revolving credit facilities </w:t>
            </w:r>
            <w:r>
              <w:rPr>
                <w:rFonts w:ascii="Times New Roman" w:cs="Times New Roman" w:eastAsia="Times New Roman" w:hAnsi="Times New Roman"/>
                <w:sz w:val="16"/>
                <w:szCs w:val="16"/>
                <w:color w:val="auto"/>
                <w:vertAlign w:val="superscript"/>
              </w:rPr>
              <w:t>(1)(4)</w:t>
            </w:r>
          </w:p>
        </w:tc>
        <w:tc>
          <w:tcPr>
            <w:tcW w:w="126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6"/>
              </w:rPr>
              <w:t>Level 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540,184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540,184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245,766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245,766</w:t>
            </w:r>
          </w:p>
        </w:tc>
        <w:tc>
          <w:tcPr>
            <w:tcW w:w="0" w:type="dxa"/>
            <w:vAlign w:val="bottom"/>
          </w:tcPr>
          <w:p>
            <w:pPr>
              <w:spacing w:after="0"/>
              <w:rPr>
                <w:sz w:val="1"/>
                <w:szCs w:val="1"/>
                <w:color w:val="auto"/>
              </w:rPr>
            </w:pPr>
          </w:p>
        </w:tc>
      </w:tr>
      <w:tr>
        <w:trPr>
          <w:trHeight w:val="152"/>
        </w:trPr>
        <w:tc>
          <w:tcPr>
            <w:tcW w:w="3040" w:type="dxa"/>
            <w:vAlign w:val="bottom"/>
            <w:gridSpan w:val="2"/>
          </w:tcPr>
          <w:p>
            <w:pPr>
              <w:spacing w:after="0" w:line="152" w:lineRule="exact"/>
              <w:rPr>
                <w:sz w:val="20"/>
                <w:szCs w:val="20"/>
                <w:color w:val="auto"/>
              </w:rPr>
            </w:pPr>
            <w:r>
              <w:rPr>
                <w:rFonts w:ascii="Times New Roman" w:cs="Times New Roman" w:eastAsia="Times New Roman" w:hAnsi="Times New Roman"/>
                <w:sz w:val="12"/>
                <w:szCs w:val="12"/>
                <w:color w:val="auto"/>
              </w:rPr>
              <w:t xml:space="preserve">Unsecured term loans </w:t>
            </w:r>
            <w:r>
              <w:rPr>
                <w:rFonts w:ascii="Times New Roman" w:cs="Times New Roman" w:eastAsia="Times New Roman" w:hAnsi="Times New Roman"/>
                <w:sz w:val="17"/>
                <w:szCs w:val="17"/>
                <w:color w:val="auto"/>
                <w:vertAlign w:val="superscript"/>
              </w:rPr>
              <w:t>(2)(4)</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6"/>
              </w:rPr>
              <w:t>Level 2</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537,470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537,470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813,205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813,205</w:t>
            </w:r>
          </w:p>
        </w:tc>
        <w:tc>
          <w:tcPr>
            <w:tcW w:w="0" w:type="dxa"/>
            <w:vAlign w:val="bottom"/>
          </w:tcPr>
          <w:p>
            <w:pPr>
              <w:spacing w:after="0"/>
              <w:rPr>
                <w:sz w:val="1"/>
                <w:szCs w:val="1"/>
                <w:color w:val="auto"/>
              </w:rPr>
            </w:pPr>
          </w:p>
        </w:tc>
      </w:tr>
      <w:tr>
        <w:trPr>
          <w:trHeight w:val="152"/>
        </w:trPr>
        <w:tc>
          <w:tcPr>
            <w:tcW w:w="304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 xml:space="preserve">Unsecured senior notes </w:t>
            </w:r>
            <w:r>
              <w:rPr>
                <w:rFonts w:ascii="Times New Roman" w:cs="Times New Roman" w:eastAsia="Times New Roman" w:hAnsi="Times New Roman"/>
                <w:sz w:val="17"/>
                <w:szCs w:val="17"/>
                <w:color w:val="auto"/>
                <w:vertAlign w:val="superscript"/>
              </w:rPr>
              <w:t>(3)(4)</w:t>
            </w:r>
          </w:p>
        </w:tc>
        <w:tc>
          <w:tcPr>
            <w:tcW w:w="14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6"/>
              </w:rPr>
              <w:t>Level 2</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13,359,960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12,096,029</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9,697,166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9,025,229</w:t>
            </w:r>
          </w:p>
        </w:tc>
        <w:tc>
          <w:tcPr>
            <w:tcW w:w="0" w:type="dxa"/>
            <w:vAlign w:val="bottom"/>
          </w:tcPr>
          <w:p>
            <w:pPr>
              <w:spacing w:after="0"/>
              <w:rPr>
                <w:sz w:val="1"/>
                <w:szCs w:val="1"/>
                <w:color w:val="auto"/>
              </w:rPr>
            </w:pPr>
          </w:p>
        </w:tc>
      </w:tr>
      <w:tr>
        <w:trPr>
          <w:trHeight w:val="152"/>
        </w:trPr>
        <w:tc>
          <w:tcPr>
            <w:tcW w:w="3040" w:type="dxa"/>
            <w:vAlign w:val="bottom"/>
            <w:tcBorders>
              <w:bottom w:val="single" w:sz="8" w:color="CCEEFF"/>
            </w:tcBorders>
            <w:gridSpan w:val="2"/>
          </w:tcPr>
          <w:p>
            <w:pPr>
              <w:spacing w:after="0" w:line="152" w:lineRule="exact"/>
              <w:rPr>
                <w:sz w:val="20"/>
                <w:szCs w:val="20"/>
                <w:color w:val="auto"/>
              </w:rPr>
            </w:pPr>
            <w:r>
              <w:rPr>
                <w:rFonts w:ascii="Times New Roman" w:cs="Times New Roman" w:eastAsia="Times New Roman" w:hAnsi="Times New Roman"/>
                <w:sz w:val="12"/>
                <w:szCs w:val="12"/>
                <w:color w:val="auto"/>
              </w:rPr>
              <w:t xml:space="preserve">Secured debt </w:t>
            </w:r>
            <w:r>
              <w:rPr>
                <w:rFonts w:ascii="Times New Roman" w:cs="Times New Roman" w:eastAsia="Times New Roman" w:hAnsi="Times New Roman"/>
                <w:sz w:val="17"/>
                <w:szCs w:val="17"/>
                <w:color w:val="auto"/>
                <w:vertAlign w:val="superscript"/>
              </w:rPr>
              <w:t>(3)(4)</w:t>
            </w:r>
          </w:p>
        </w:tc>
        <w:tc>
          <w:tcPr>
            <w:tcW w:w="140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6"/>
              </w:rPr>
              <w:t>Level 2</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242,051</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239,326</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105,245</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105,143</w:t>
            </w:r>
          </w:p>
        </w:tc>
        <w:tc>
          <w:tcPr>
            <w:tcW w:w="0" w:type="dxa"/>
            <w:vAlign w:val="bottom"/>
          </w:tcPr>
          <w:p>
            <w:pPr>
              <w:spacing w:after="0"/>
              <w:rPr>
                <w:sz w:val="1"/>
                <w:szCs w:val="1"/>
                <w:color w:val="auto"/>
              </w:rPr>
            </w:pPr>
          </w:p>
        </w:tc>
      </w:tr>
      <w:tr>
        <w:trPr>
          <w:trHeight w:val="150"/>
        </w:trPr>
        <w:tc>
          <w:tcPr>
            <w:tcW w:w="22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14,679,665</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13,413,009</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10,861,382</w:t>
            </w: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10,189,343</w:t>
            </w:r>
          </w:p>
        </w:tc>
        <w:tc>
          <w:tcPr>
            <w:tcW w:w="0" w:type="dxa"/>
            <w:vAlign w:val="bottom"/>
          </w:tcPr>
          <w:p>
            <w:pPr>
              <w:spacing w:after="0"/>
              <w:rPr>
                <w:sz w:val="1"/>
                <w:szCs w:val="1"/>
                <w:color w:val="auto"/>
              </w:rPr>
            </w:pPr>
          </w:p>
        </w:tc>
      </w:tr>
      <w:tr>
        <w:trPr>
          <w:trHeight w:val="76"/>
        </w:trPr>
        <w:tc>
          <w:tcPr>
            <w:tcW w:w="224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hanging="235"/>
        <w:spacing w:after="0"/>
        <w:tabs>
          <w:tab w:leader="none" w:pos="26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carrying value of our global revolving credit facilities approximates estimated fair value, due to the variability of interest rates and the stability of our credit ratings.</w:t>
      </w:r>
    </w:p>
    <w:p>
      <w:pPr>
        <w:spacing w:after="0" w:line="26" w:lineRule="exact"/>
        <w:rPr>
          <w:rFonts w:ascii="Times New Roman" w:cs="Times New Roman" w:eastAsia="Times New Roman" w:hAnsi="Times New Roman"/>
          <w:sz w:val="12"/>
          <w:szCs w:val="12"/>
          <w:color w:val="auto"/>
        </w:rPr>
      </w:pPr>
    </w:p>
    <w:p>
      <w:pPr>
        <w:ind w:left="260" w:hanging="235"/>
        <w:spacing w:after="0"/>
        <w:tabs>
          <w:tab w:leader="none" w:pos="26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carrying value of our unsecured term loans approximates estimated fair value, due to the variability of interest rates and the stability of our credit ratings.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87" w:name="page188"/>
    <w:bookmarkEnd w:id="18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6" w:lineRule="exact"/>
        <w:rPr>
          <w:sz w:val="20"/>
          <w:szCs w:val="20"/>
          <w:color w:val="auto"/>
        </w:rPr>
      </w:pPr>
    </w:p>
    <w:p>
      <w:pPr>
        <w:ind w:left="260" w:right="379" w:hanging="235"/>
        <w:spacing w:after="0" w:line="254" w:lineRule="auto"/>
        <w:tabs>
          <w:tab w:leader="none" w:pos="26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Valuations for our unsecured senior notes and secured debt are determined based on the expected future payments discounted at risk-adjusted rates and quoted market prices.</w:t>
      </w:r>
    </w:p>
    <w:p>
      <w:pPr>
        <w:ind w:left="260" w:hanging="235"/>
        <w:spacing w:after="0"/>
        <w:tabs>
          <w:tab w:leader="none" w:pos="26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carrying value excludes unamortized premiums (discounts) and deferred financing costs (see Note 9).</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18. Commitments and Contingencies</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(a) Construction Commitments</w:t>
      </w:r>
    </w:p>
    <w:p>
      <w:pPr>
        <w:spacing w:after="0" w:line="156" w:lineRule="exact"/>
        <w:rPr>
          <w:sz w:val="20"/>
          <w:szCs w:val="20"/>
          <w:color w:val="auto"/>
        </w:rPr>
      </w:pPr>
    </w:p>
    <w:p>
      <w:pPr>
        <w:ind w:left="20" w:right="339" w:firstLine="228"/>
        <w:spacing w:after="0" w:line="256" w:lineRule="auto"/>
        <w:rPr>
          <w:sz w:val="20"/>
          <w:szCs w:val="20"/>
          <w:color w:val="auto"/>
        </w:rPr>
      </w:pPr>
      <w:r>
        <w:rPr>
          <w:rFonts w:ascii="Times New Roman" w:cs="Times New Roman" w:eastAsia="Times New Roman" w:hAnsi="Times New Roman"/>
          <w:sz w:val="13"/>
          <w:szCs w:val="13"/>
          <w:color w:val="auto"/>
        </w:rPr>
        <w:t>Our properties require periodic investments of capital for tenant-related capital expenditures and for general capital improvements and from time to time in the normal course of our business, we enter into various construction contracts with third parties that may obligate us to make payments. At December 31, 2020, we had open commitments, including amounts reimbursable of approximately $37.6 million, related to construction contracts of approximately $1.1 billion.</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(b) Legal Proceedings</w:t>
      </w:r>
    </w:p>
    <w:p>
      <w:pPr>
        <w:spacing w:after="0" w:line="156" w:lineRule="exact"/>
        <w:rPr>
          <w:sz w:val="20"/>
          <w:szCs w:val="20"/>
          <w:color w:val="auto"/>
        </w:rPr>
      </w:pPr>
    </w:p>
    <w:p>
      <w:pPr>
        <w:ind w:left="20" w:right="239" w:firstLine="228"/>
        <w:spacing w:after="0" w:line="256" w:lineRule="auto"/>
        <w:rPr>
          <w:sz w:val="20"/>
          <w:szCs w:val="20"/>
          <w:color w:val="auto"/>
        </w:rPr>
      </w:pPr>
      <w:r>
        <w:rPr>
          <w:rFonts w:ascii="Times New Roman" w:cs="Times New Roman" w:eastAsia="Times New Roman" w:hAnsi="Times New Roman"/>
          <w:sz w:val="13"/>
          <w:szCs w:val="13"/>
          <w:color w:val="auto"/>
        </w:rPr>
        <w:t>Although the Company is involved in legal proceedings arising in the ordinary course of business, as of December 31, 2020, the Company is not currently a party to any legal proceedings nor, to its knowledge, is any legal proceeding threatened against it that it believes would have a material adverse effect on its financial position, results of operations or liquidity.</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88" w:name="page189"/>
    <w:bookmarkEnd w:id="18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19. Quarterly Financial Information (Digital Realty Trust, Inc.) (unaudited)</w:t>
      </w:r>
    </w:p>
    <w:p>
      <w:pPr>
        <w:spacing w:after="0" w:line="156" w:lineRule="exact"/>
        <w:rPr>
          <w:sz w:val="20"/>
          <w:szCs w:val="20"/>
          <w:color w:val="auto"/>
        </w:rPr>
      </w:pPr>
    </w:p>
    <w:p>
      <w:pPr>
        <w:ind w:left="20" w:right="519" w:firstLine="228"/>
        <w:spacing w:after="0" w:line="268" w:lineRule="auto"/>
        <w:rPr>
          <w:sz w:val="20"/>
          <w:szCs w:val="20"/>
          <w:color w:val="auto"/>
        </w:rPr>
      </w:pPr>
      <w:r>
        <w:rPr>
          <w:rFonts w:ascii="Times New Roman" w:cs="Times New Roman" w:eastAsia="Times New Roman" w:hAnsi="Times New Roman"/>
          <w:sz w:val="13"/>
          <w:szCs w:val="13"/>
          <w:color w:val="auto"/>
        </w:rPr>
        <w:t>The tables below reflect selected quarterly information for the years ended December 31, 2020 and 2019. Certain amounts have been reclassified to conform to the current year presentation (in thousands, except per share amounts).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23"/>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123"/>
              <w:spacing w:after="0" w:line="12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143"/>
              <w:spacing w:after="0" w:line="123"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 w:type="dxa"/>
            <w:vAlign w:val="bottom"/>
          </w:tcPr>
          <w:p>
            <w:pPr>
              <w:spacing w:after="0"/>
              <w:rPr>
                <w:sz w:val="13"/>
                <w:szCs w:val="13"/>
                <w:color w:val="auto"/>
              </w:rPr>
            </w:pPr>
          </w:p>
        </w:tc>
        <w:tc>
          <w:tcPr>
            <w:tcW w:w="41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March 31, 2020</w:t>
            </w:r>
          </w:p>
        </w:tc>
      </w:tr>
      <w:tr>
        <w:trPr>
          <w:trHeight w:val="136"/>
        </w:trPr>
        <w:tc>
          <w:tcPr>
            <w:tcW w:w="20" w:type="dxa"/>
            <w:vAlign w:val="bottom"/>
          </w:tcPr>
          <w:p>
            <w:pPr>
              <w:spacing w:after="0"/>
              <w:rPr>
                <w:sz w:val="11"/>
                <w:szCs w:val="11"/>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revenues</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1,062,609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1,024,668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992,995</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823,337</w:t>
            </w: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228,698</w:t>
            </w:r>
          </w:p>
        </w:tc>
      </w:tr>
      <w:tr>
        <w:trPr>
          <w:trHeight w:val="142"/>
        </w:trPr>
        <w:tc>
          <w:tcPr>
            <w:tcW w:w="20" w:type="dxa"/>
            <w:vAlign w:val="bottom"/>
          </w:tcPr>
          <w:p>
            <w:pPr>
              <w:spacing w:after="0"/>
              <w:rPr>
                <w:sz w:val="12"/>
                <w:szCs w:val="12"/>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 attributable to Digital Realty Trust, Inc.</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57,691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74,831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224,014</w:t>
            </w: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Preferred stock dividends and issuance costs associated with redeemed preferred 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(37,232)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(21,155)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(21,155)</w:t>
            </w:r>
          </w:p>
        </w:tc>
      </w:tr>
      <w:tr>
        <w:trPr>
          <w:trHeight w:val="142"/>
        </w:trPr>
        <w:tc>
          <w:tcPr>
            <w:tcW w:w="20" w:type="dxa"/>
            <w:vAlign w:val="bottom"/>
          </w:tcPr>
          <w:p>
            <w:pPr>
              <w:spacing w:after="0"/>
              <w:rPr>
                <w:sz w:val="12"/>
                <w:szCs w:val="12"/>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 available to common stockholders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44,177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(37,370)</w:t>
            </w:r>
          </w:p>
        </w:tc>
        <w:tc>
          <w:tcPr>
            <w:tcW w:w="2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53,676</w:t>
            </w:r>
          </w:p>
        </w:tc>
        <w:tc>
          <w:tcPr>
            <w:tcW w:w="2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202,859</w:t>
            </w: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Basic net income (loss) per share available to common stockholders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60" w:type="dxa"/>
            <w:vAlign w:val="bottom"/>
            <w:gridSpan w:val="2"/>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28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0.91</w:t>
            </w:r>
          </w:p>
        </w:tc>
      </w:tr>
      <w:tr>
        <w:trPr>
          <w:trHeight w:val="142"/>
        </w:trPr>
        <w:tc>
          <w:tcPr>
            <w:tcW w:w="20" w:type="dxa"/>
            <w:vAlign w:val="bottom"/>
          </w:tcPr>
          <w:p>
            <w:pPr>
              <w:spacing w:after="0"/>
              <w:rPr>
                <w:sz w:val="12"/>
                <w:szCs w:val="12"/>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Diluted net income (loss) per share available to common stockholders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2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0.90</w:t>
            </w:r>
          </w:p>
        </w:tc>
      </w:tr>
      <w:tr>
        <w:trPr>
          <w:trHeight w:val="28"/>
        </w:trPr>
        <w:tc>
          <w:tcPr>
            <w:tcW w:w="20" w:type="dxa"/>
            <w:vAlign w:val="bottom"/>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4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23"/>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360"/>
              <w:spacing w:after="0" w:line="12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10"/>
                <w:szCs w:val="10"/>
                <w:color w:val="auto"/>
              </w:rPr>
            </w:pPr>
          </w:p>
        </w:tc>
        <w:tc>
          <w:tcPr>
            <w:tcW w:w="1100" w:type="dxa"/>
            <w:vAlign w:val="bottom"/>
            <w:gridSpan w:val="2"/>
          </w:tcPr>
          <w:p>
            <w:pPr>
              <w:jc w:val="right"/>
              <w:ind w:right="340"/>
              <w:spacing w:after="0" w:line="123"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1"/>
        </w:trPr>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120" w:type="dxa"/>
            <w:vAlign w:val="bottom"/>
          </w:tcPr>
          <w:p>
            <w:pPr>
              <w:spacing w:after="0"/>
              <w:rPr>
                <w:sz w:val="13"/>
                <w:szCs w:val="13"/>
                <w:color w:val="auto"/>
              </w:rPr>
            </w:pP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March 31, 2019</w:t>
            </w:r>
          </w:p>
        </w:tc>
      </w:tr>
      <w:tr>
        <w:trPr>
          <w:trHeight w:val="134"/>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787,463</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806,466</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800,797</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814,515</w:t>
            </w:r>
          </w:p>
        </w:tc>
      </w:tr>
      <w:tr>
        <w:trPr>
          <w:trHeight w:val="142"/>
        </w:trPr>
        <w:tc>
          <w:tcPr>
            <w:tcW w:w="434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349,326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67,574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120,997</w:t>
            </w:r>
          </w:p>
        </w:tc>
      </w:tr>
      <w:tr>
        <w:trPr>
          <w:trHeight w:val="14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attributable to Digital Realty Trust, Inc.</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336,284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66,497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60,168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116,812</w:t>
            </w:r>
          </w:p>
        </w:tc>
      </w:tr>
      <w:tr>
        <w:trPr>
          <w:trHeight w:val="142"/>
        </w:trPr>
        <w:tc>
          <w:tcPr>
            <w:tcW w:w="4340" w:type="dxa"/>
            <w:vAlign w:val="bottom"/>
          </w:tcPr>
          <w:p>
            <w:pPr>
              <w:spacing w:after="0"/>
              <w:rPr>
                <w:sz w:val="20"/>
                <w:szCs w:val="20"/>
                <w:color w:val="auto"/>
              </w:rPr>
            </w:pPr>
            <w:r>
              <w:rPr>
                <w:rFonts w:ascii="Times New Roman" w:cs="Times New Roman" w:eastAsia="Times New Roman" w:hAnsi="Times New Roman"/>
                <w:sz w:val="11"/>
                <w:szCs w:val="11"/>
                <w:color w:val="auto"/>
              </w:rPr>
              <w:t>Preferred stock dividends and issuance costs associated with redeemed preferred stock</w:t>
            </w:r>
          </w:p>
        </w:tc>
        <w:tc>
          <w:tcPr>
            <w:tcW w:w="10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(20,707)</w:t>
            </w:r>
          </w:p>
        </w:tc>
        <w:tc>
          <w:tcPr>
            <w:tcW w:w="10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(16,670)</w:t>
            </w:r>
          </w:p>
        </w:tc>
        <w:tc>
          <w:tcPr>
            <w:tcW w:w="12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(28,430)</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(20,943)</w:t>
            </w:r>
          </w:p>
        </w:tc>
      </w:tr>
      <w:tr>
        <w:trPr>
          <w:trHeight w:val="14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available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315,577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49,827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31,738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95,869</w:t>
            </w:r>
          </w:p>
        </w:tc>
      </w:tr>
      <w:tr>
        <w:trPr>
          <w:trHeight w:val="142"/>
        </w:trPr>
        <w:tc>
          <w:tcPr>
            <w:tcW w:w="4340" w:type="dxa"/>
            <w:vAlign w:val="bottom"/>
          </w:tcPr>
          <w:p>
            <w:pPr>
              <w:spacing w:after="0"/>
              <w:rPr>
                <w:sz w:val="20"/>
                <w:szCs w:val="20"/>
                <w:color w:val="auto"/>
              </w:rPr>
            </w:pPr>
            <w:r>
              <w:rPr>
                <w:rFonts w:ascii="Times New Roman" w:cs="Times New Roman" w:eastAsia="Times New Roman" w:hAnsi="Times New Roman"/>
                <w:sz w:val="11"/>
                <w:szCs w:val="11"/>
                <w:color w:val="auto"/>
              </w:rPr>
              <w:t>Basic net income per share available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180" w:type="dxa"/>
            <w:vAlign w:val="bottom"/>
          </w:tcPr>
          <w:p>
            <w:pPr>
              <w:spacing w:after="0"/>
              <w:rPr>
                <w:sz w:val="12"/>
                <w:szCs w:val="12"/>
                <w:color w:val="auto"/>
              </w:rPr>
            </w:pPr>
          </w:p>
        </w:tc>
        <w:tc>
          <w:tcPr>
            <w:tcW w:w="100" w:type="dxa"/>
            <w:vAlign w:val="bottom"/>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16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16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0.46</w:t>
            </w:r>
          </w:p>
        </w:tc>
      </w:tr>
      <w:tr>
        <w:trPr>
          <w:trHeight w:val="151"/>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Diluted net income per share available to common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0.46</w:t>
            </w:r>
          </w:p>
        </w:tc>
      </w:tr>
    </w:tbl>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89" w:name="page190"/>
    <w:bookmarkEnd w:id="18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20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DIGITAL REALTY TRUST, INC. AND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color w:val="auto"/>
        </w:rPr>
        <w:t>DIGITAL REALTY TRUST, L.P. AND SUBSIDIARIES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 and 2019</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20. Quarterly Financial Information (Digital Realty Trust, L.P.) (unaudited)</w:t>
      </w:r>
    </w:p>
    <w:p>
      <w:pPr>
        <w:spacing w:after="0" w:line="156" w:lineRule="exact"/>
        <w:rPr>
          <w:sz w:val="20"/>
          <w:szCs w:val="20"/>
          <w:color w:val="auto"/>
        </w:rPr>
      </w:pPr>
    </w:p>
    <w:p>
      <w:pPr>
        <w:ind w:left="20" w:right="519" w:firstLine="228"/>
        <w:spacing w:after="0" w:line="268" w:lineRule="auto"/>
        <w:rPr>
          <w:sz w:val="20"/>
          <w:szCs w:val="20"/>
          <w:color w:val="auto"/>
        </w:rPr>
      </w:pPr>
      <w:r>
        <w:rPr>
          <w:rFonts w:ascii="Times New Roman" w:cs="Times New Roman" w:eastAsia="Times New Roman" w:hAnsi="Times New Roman"/>
          <w:sz w:val="13"/>
          <w:szCs w:val="13"/>
          <w:color w:val="auto"/>
        </w:rPr>
        <w:t>The tables below reflect selected quarterly information for the years ended December 31, 2020 and 2019. Certain amounts have been reclassified to conform to the current year presentation (in thousands, except per unit amounts).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23"/>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123"/>
              <w:spacing w:after="0" w:line="12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right"/>
              <w:ind w:right="143"/>
              <w:spacing w:after="0" w:line="123"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 w:type="dxa"/>
            <w:vAlign w:val="bottom"/>
          </w:tcPr>
          <w:p>
            <w:pPr>
              <w:spacing w:after="0"/>
              <w:rPr>
                <w:sz w:val="13"/>
                <w:szCs w:val="13"/>
                <w:color w:val="auto"/>
              </w:rPr>
            </w:pPr>
          </w:p>
        </w:tc>
        <w:tc>
          <w:tcPr>
            <w:tcW w:w="41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June 30, 2020</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March 31, 2020</w:t>
            </w:r>
          </w:p>
        </w:tc>
      </w:tr>
      <w:tr>
        <w:trPr>
          <w:trHeight w:val="136"/>
        </w:trPr>
        <w:tc>
          <w:tcPr>
            <w:tcW w:w="20" w:type="dxa"/>
            <w:vAlign w:val="bottom"/>
          </w:tcPr>
          <w:p>
            <w:pPr>
              <w:spacing w:after="0"/>
              <w:rPr>
                <w:sz w:val="11"/>
                <w:szCs w:val="11"/>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revenues</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1,062,609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1,024,668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992,995</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823,337</w:t>
            </w: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228,698</w:t>
            </w:r>
          </w:p>
        </w:tc>
      </w:tr>
      <w:tr>
        <w:trPr>
          <w:trHeight w:val="142"/>
        </w:trPr>
        <w:tc>
          <w:tcPr>
            <w:tcW w:w="20" w:type="dxa"/>
            <w:vAlign w:val="bottom"/>
          </w:tcPr>
          <w:p>
            <w:pPr>
              <w:spacing w:after="0"/>
              <w:rPr>
                <w:sz w:val="12"/>
                <w:szCs w:val="12"/>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 attributable to Digital Realty Trust, L.P.</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58,991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76,231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231,814</w:t>
            </w: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1"/>
                <w:szCs w:val="11"/>
                <w:color w:val="auto"/>
              </w:rPr>
              <w:t>Preferred unit distributions and issuance costs associated with redeemed preferred units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(37,232)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(21,155)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(21,155)</w:t>
            </w:r>
          </w:p>
        </w:tc>
      </w:tr>
      <w:tr>
        <w:trPr>
          <w:trHeight w:val="142"/>
        </w:trPr>
        <w:tc>
          <w:tcPr>
            <w:tcW w:w="20" w:type="dxa"/>
            <w:vAlign w:val="bottom"/>
          </w:tcPr>
          <w:p>
            <w:pPr>
              <w:spacing w:after="0"/>
              <w:rPr>
                <w:sz w:val="12"/>
                <w:szCs w:val="12"/>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 available to common unitholders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45,477</w:t>
            </w:r>
          </w:p>
        </w:tc>
        <w:tc>
          <w:tcPr>
            <w:tcW w:w="2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(38,370)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55,076</w:t>
            </w:r>
          </w:p>
        </w:tc>
        <w:tc>
          <w:tcPr>
            <w:tcW w:w="2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210,659</w:t>
            </w: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1"/>
                <w:szCs w:val="11"/>
                <w:color w:val="auto"/>
              </w:rPr>
              <w:t>Basic net income (loss) per unit available to common unitholders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0.16</w:t>
            </w:r>
          </w:p>
        </w:tc>
        <w:tc>
          <w:tcPr>
            <w:tcW w:w="28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28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0.91</w:t>
            </w:r>
          </w:p>
        </w:tc>
      </w:tr>
      <w:tr>
        <w:trPr>
          <w:trHeight w:val="142"/>
        </w:trPr>
        <w:tc>
          <w:tcPr>
            <w:tcW w:w="20" w:type="dxa"/>
            <w:vAlign w:val="bottom"/>
          </w:tcPr>
          <w:p>
            <w:pPr>
              <w:spacing w:after="0"/>
              <w:rPr>
                <w:sz w:val="12"/>
                <w:szCs w:val="12"/>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Diluted net income (loss) per unit available to common unitholders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0.16</w:t>
            </w:r>
          </w:p>
        </w:tc>
        <w:tc>
          <w:tcPr>
            <w:tcW w:w="2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2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0.90</w:t>
            </w:r>
          </w:p>
        </w:tc>
      </w:tr>
      <w:tr>
        <w:trPr>
          <w:trHeight w:val="28"/>
        </w:trPr>
        <w:tc>
          <w:tcPr>
            <w:tcW w:w="20" w:type="dxa"/>
            <w:vAlign w:val="bottom"/>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23"/>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123"/>
              <w:spacing w:after="0" w:line="12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143"/>
              <w:spacing w:after="0" w:line="123"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9"/>
        </w:trPr>
        <w:tc>
          <w:tcPr>
            <w:tcW w:w="20" w:type="dxa"/>
            <w:vAlign w:val="bottom"/>
          </w:tcPr>
          <w:p>
            <w:pPr>
              <w:spacing w:after="0"/>
              <w:rPr>
                <w:sz w:val="13"/>
                <w:szCs w:val="13"/>
                <w:color w:val="auto"/>
              </w:rPr>
            </w:pPr>
          </w:p>
        </w:tc>
        <w:tc>
          <w:tcPr>
            <w:tcW w:w="41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June 30, 2019</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March 31, 2019</w:t>
            </w:r>
          </w:p>
        </w:tc>
      </w:tr>
      <w:tr>
        <w:trPr>
          <w:trHeight w:val="136"/>
        </w:trPr>
        <w:tc>
          <w:tcPr>
            <w:tcW w:w="20" w:type="dxa"/>
            <w:vAlign w:val="bottom"/>
          </w:tcPr>
          <w:p>
            <w:pPr>
              <w:spacing w:after="0"/>
              <w:rPr>
                <w:sz w:val="11"/>
                <w:szCs w:val="11"/>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revenues</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787,463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806,466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800,797</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814,515</w:t>
            </w: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349,326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67,574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61,324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120,997</w:t>
            </w:r>
          </w:p>
        </w:tc>
      </w:tr>
      <w:tr>
        <w:trPr>
          <w:trHeight w:val="142"/>
        </w:trPr>
        <w:tc>
          <w:tcPr>
            <w:tcW w:w="20" w:type="dxa"/>
            <w:vAlign w:val="bottom"/>
          </w:tcPr>
          <w:p>
            <w:pPr>
              <w:spacing w:after="0"/>
              <w:rPr>
                <w:sz w:val="12"/>
                <w:szCs w:val="12"/>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attributable to Digital Realty Trust, L.P.</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349,384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68,797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61,568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121,112</w:t>
            </w: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1"/>
                <w:szCs w:val="11"/>
                <w:color w:val="auto"/>
              </w:rPr>
              <w:t>Preferred unit distributions and issuance costs associated with redeemed preferred units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(16,670)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(20,943)</w:t>
            </w:r>
          </w:p>
        </w:tc>
      </w:tr>
      <w:tr>
        <w:trPr>
          <w:trHeight w:val="142"/>
        </w:trPr>
        <w:tc>
          <w:tcPr>
            <w:tcW w:w="20" w:type="dxa"/>
            <w:vAlign w:val="bottom"/>
          </w:tcPr>
          <w:p>
            <w:pPr>
              <w:spacing w:after="0"/>
              <w:rPr>
                <w:sz w:val="12"/>
                <w:szCs w:val="12"/>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available to common unitholders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328,677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52,127</w:t>
            </w:r>
          </w:p>
        </w:tc>
        <w:tc>
          <w:tcPr>
            <w:tcW w:w="2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33,138</w:t>
            </w:r>
          </w:p>
        </w:tc>
        <w:tc>
          <w:tcPr>
            <w:tcW w:w="2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100,169</w:t>
            </w: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1"/>
                <w:szCs w:val="11"/>
                <w:color w:val="auto"/>
              </w:rPr>
              <w:t>Basic net income per unit available to common unitholders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260" w:type="dxa"/>
            <w:vAlign w:val="bottom"/>
            <w:gridSpan w:val="2"/>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0.15</w:t>
            </w:r>
          </w:p>
        </w:tc>
        <w:tc>
          <w:tcPr>
            <w:tcW w:w="260" w:type="dxa"/>
            <w:vAlign w:val="bottom"/>
            <w:gridSpan w:val="2"/>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0.46</w:t>
            </w:r>
          </w:p>
        </w:tc>
      </w:tr>
      <w:tr>
        <w:trPr>
          <w:trHeight w:val="142"/>
        </w:trPr>
        <w:tc>
          <w:tcPr>
            <w:tcW w:w="20" w:type="dxa"/>
            <w:vAlign w:val="bottom"/>
          </w:tcPr>
          <w:p>
            <w:pPr>
              <w:spacing w:after="0"/>
              <w:rPr>
                <w:sz w:val="12"/>
                <w:szCs w:val="12"/>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Diluted net income per unit available to common unitholders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2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0.15</w:t>
            </w:r>
          </w:p>
        </w:tc>
        <w:tc>
          <w:tcPr>
            <w:tcW w:w="2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0.46</w:t>
            </w:r>
          </w:p>
        </w:tc>
      </w:tr>
      <w:tr>
        <w:trPr>
          <w:trHeight w:val="28"/>
        </w:trPr>
        <w:tc>
          <w:tcPr>
            <w:tcW w:w="20" w:type="dxa"/>
            <w:vAlign w:val="bottom"/>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21. Subsequent Events</w:t>
      </w:r>
    </w:p>
    <w:p>
      <w:pPr>
        <w:spacing w:after="0" w:line="156" w:lineRule="exact"/>
        <w:rPr>
          <w:sz w:val="20"/>
          <w:szCs w:val="20"/>
          <w:color w:val="auto"/>
        </w:rPr>
      </w:pPr>
    </w:p>
    <w:p>
      <w:pPr>
        <w:ind w:left="20" w:right="279" w:firstLine="228"/>
        <w:spacing w:after="0" w:line="250" w:lineRule="auto"/>
        <w:rPr>
          <w:sz w:val="20"/>
          <w:szCs w:val="20"/>
          <w:color w:val="auto"/>
        </w:rPr>
      </w:pPr>
      <w:r>
        <w:rPr>
          <w:rFonts w:ascii="Times New Roman" w:cs="Times New Roman" w:eastAsia="Times New Roman" w:hAnsi="Times New Roman"/>
          <w:sz w:val="13"/>
          <w:szCs w:val="13"/>
          <w:color w:val="auto"/>
        </w:rPr>
        <w:t>On February 4, 2021 (the “Redemption Date”), the Operating Partnership redeemed the $350.0 million aggregate principal amount outstanding of its 2.750% Notes due 2023 (the “2.750% Notes”). The redemption price for the 2.750% Notes was equal to the sum of (a) $1,047.09 per $1,000 principal amount of the 2.750% Notes, or 104.709% of the aggregate principal amount of the 2.750% Notes, plus (b) accrued and unpaid interest to, but excluding, the Redemption Date equal</w:t>
      </w:r>
    </w:p>
    <w:p>
      <w:pPr>
        <w:spacing w:after="0" w:line="1" w:lineRule="exact"/>
        <w:rPr>
          <w:sz w:val="20"/>
          <w:szCs w:val="20"/>
          <w:color w:val="auto"/>
        </w:rPr>
      </w:pPr>
    </w:p>
    <w:p>
      <w:pPr>
        <w:ind w:left="20" w:right="39"/>
        <w:spacing w:after="0" w:line="247" w:lineRule="auto"/>
        <w:rPr>
          <w:sz w:val="20"/>
          <w:szCs w:val="20"/>
          <w:color w:val="auto"/>
        </w:rPr>
      </w:pPr>
      <w:r>
        <w:rPr>
          <w:rFonts w:ascii="Times New Roman" w:cs="Times New Roman" w:eastAsia="Times New Roman" w:hAnsi="Times New Roman"/>
          <w:sz w:val="13"/>
          <w:szCs w:val="13"/>
          <w:color w:val="auto"/>
        </w:rPr>
        <w:t>to $0.23 per $1,000 principal amount of the 2.750% Notes. The redemption will result in an early extinguishment charge of approximately $17.5 million during the three months ending March 31, 2021.</w:t>
      </w:r>
    </w:p>
    <w:p>
      <w:pPr>
        <w:spacing w:after="0" w:line="135" w:lineRule="exact"/>
        <w:rPr>
          <w:sz w:val="20"/>
          <w:szCs w:val="20"/>
          <w:color w:val="auto"/>
        </w:rPr>
      </w:pPr>
    </w:p>
    <w:p>
      <w:pPr>
        <w:ind w:left="20" w:right="299" w:firstLine="228"/>
        <w:spacing w:after="0" w:line="249" w:lineRule="auto"/>
        <w:rPr>
          <w:sz w:val="20"/>
          <w:szCs w:val="20"/>
          <w:color w:val="auto"/>
        </w:rPr>
      </w:pPr>
      <w:r>
        <w:rPr>
          <w:rFonts w:ascii="Times New Roman" w:cs="Times New Roman" w:eastAsia="Times New Roman" w:hAnsi="Times New Roman"/>
          <w:sz w:val="13"/>
          <w:szCs w:val="13"/>
          <w:color w:val="auto"/>
        </w:rPr>
        <w:t>On January 12, 2021, Digital Intrepid Holding B.V., an indirect wholly owned holding and finance subsidiary of the Operating Partnership through which the Interxion business is held, issued and sold €1.0 billion aggregate principal amount of 0.625% Guaranteed Notes due 2031 (the “2031 Notes”). The 2031 Notes are senior unsecured obligations of Digital Intrepid Holding B.V. and are fully and unconditionally guaranteed by Digital Realty Trust, Inc. and the Operating Partnership. Net proceeds from the offering were approximately €988.3 million (approximately $1,206.4 million based on the exchange rate on January 12, 2021) after deducting managers’ discounts and estimated offering expenses.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90" w:name="page191"/>
    <w:bookmarkEnd w:id="190"/>
    <w:p>
      <w:pPr>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97" w:lineRule="exact"/>
        <w:rPr>
          <w:sz w:val="20"/>
          <w:szCs w:val="20"/>
          <w:color w:val="auto"/>
        </w:rPr>
      </w:pPr>
    </w:p>
    <w:p>
      <w:pPr>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DIGITAL REALTY TRUST,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DIGITAL REALTY TRUST, L.P.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SCHEDULE III</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PROPERTIES AND ACCUMULATED DEPRECIATION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2020</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85"/>
        </w:trPr>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3"/>
          </w:tcPr>
          <w:p>
            <w:pPr>
              <w:ind w:left="280"/>
              <w:spacing w:after="0"/>
              <w:rPr>
                <w:sz w:val="20"/>
                <w:szCs w:val="20"/>
                <w:color w:val="auto"/>
              </w:rPr>
            </w:pPr>
            <w:r>
              <w:rPr>
                <w:rFonts w:ascii="Times New Roman" w:cs="Times New Roman" w:eastAsia="Times New Roman" w:hAnsi="Times New Roman"/>
                <w:sz w:val="7"/>
                <w:szCs w:val="7"/>
                <w:b w:val="1"/>
                <w:bCs w:val="1"/>
                <w:color w:val="auto"/>
              </w:rPr>
              <w:t>Costs capitalized</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89"/>
        </w:trPr>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7"/>
                <w:szCs w:val="7"/>
                <w:b w:val="1"/>
                <w:bCs w:val="1"/>
                <w:color w:val="auto"/>
              </w:rPr>
              <w:t>Initial costs</w:t>
            </w:r>
          </w:p>
        </w:tc>
        <w:tc>
          <w:tcPr>
            <w:tcW w:w="4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Borders>
              <w:bottom w:val="single" w:sz="8" w:color="auto"/>
            </w:tcBorders>
            <w:gridSpan w:val="3"/>
          </w:tcPr>
          <w:p>
            <w:pPr>
              <w:jc w:val="right"/>
              <w:ind w:right="45"/>
              <w:spacing w:after="0"/>
              <w:rPr>
                <w:sz w:val="20"/>
                <w:szCs w:val="20"/>
                <w:color w:val="auto"/>
              </w:rPr>
            </w:pPr>
            <w:r>
              <w:rPr>
                <w:rFonts w:ascii="Times New Roman" w:cs="Times New Roman" w:eastAsia="Times New Roman" w:hAnsi="Times New Roman"/>
                <w:sz w:val="7"/>
                <w:szCs w:val="7"/>
                <w:b w:val="1"/>
                <w:bCs w:val="1"/>
                <w:color w:val="auto"/>
              </w:rPr>
              <w:t>subsequent to acquisition</w:t>
            </w:r>
          </w:p>
        </w:tc>
        <w:tc>
          <w:tcPr>
            <w:tcW w:w="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7"/>
                <w:szCs w:val="7"/>
                <w:b w:val="1"/>
                <w:bCs w:val="1"/>
                <w:color w:val="auto"/>
              </w:rPr>
              <w:t>Total costs</w:t>
            </w:r>
          </w:p>
        </w:tc>
        <w:tc>
          <w:tcPr>
            <w:tcW w:w="4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7"/>
                <w:szCs w:val="7"/>
                <w:b w:val="1"/>
                <w:bCs w:val="1"/>
                <w:color w:val="auto"/>
              </w:rPr>
              <w:t>Accumulated</w:t>
            </w:r>
          </w:p>
        </w:tc>
        <w:tc>
          <w:tcPr>
            <w:tcW w:w="100" w:type="dxa"/>
            <w:vAlign w:val="bottom"/>
          </w:tcPr>
          <w:p>
            <w:pPr>
              <w:spacing w:after="0"/>
              <w:rPr>
                <w:sz w:val="7"/>
                <w:szCs w:val="7"/>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7"/>
                <w:szCs w:val="7"/>
                <w:b w:val="1"/>
                <w:bCs w:val="1"/>
                <w:color w:val="auto"/>
              </w:rPr>
              <w:t>Date of</w:t>
            </w:r>
          </w:p>
        </w:tc>
      </w:tr>
      <w:tr>
        <w:trPr>
          <w:trHeight w:val="71"/>
        </w:trPr>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gridSpan w:val="2"/>
          </w:tcPr>
          <w:p>
            <w:pPr>
              <w:jc w:val="center"/>
              <w:ind w:right="120"/>
              <w:spacing w:after="0" w:line="72" w:lineRule="exact"/>
              <w:rPr>
                <w:sz w:val="20"/>
                <w:szCs w:val="20"/>
                <w:color w:val="auto"/>
              </w:rPr>
            </w:pPr>
            <w:r>
              <w:rPr>
                <w:rFonts w:ascii="Times New Roman" w:cs="Times New Roman" w:eastAsia="Times New Roman" w:hAnsi="Times New Roman"/>
                <w:sz w:val="7"/>
                <w:szCs w:val="7"/>
                <w:b w:val="1"/>
                <w:bCs w:val="1"/>
                <w:color w:val="auto"/>
                <w:w w:val="99"/>
              </w:rPr>
              <w:t>Acquired</w:t>
            </w: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gridSpan w:val="2"/>
          </w:tcPr>
          <w:p>
            <w:pPr>
              <w:jc w:val="center"/>
              <w:ind w:right="120"/>
              <w:spacing w:after="0" w:line="72" w:lineRule="exact"/>
              <w:rPr>
                <w:sz w:val="20"/>
                <w:szCs w:val="20"/>
                <w:color w:val="auto"/>
              </w:rPr>
            </w:pPr>
            <w:r>
              <w:rPr>
                <w:rFonts w:ascii="Times New Roman" w:cs="Times New Roman" w:eastAsia="Times New Roman" w:hAnsi="Times New Roman"/>
                <w:sz w:val="7"/>
                <w:szCs w:val="7"/>
                <w:b w:val="1"/>
                <w:bCs w:val="1"/>
                <w:color w:val="auto"/>
                <w:w w:val="99"/>
              </w:rPr>
              <w:t>Acquired</w:t>
            </w: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gridSpan w:val="2"/>
          </w:tcPr>
          <w:p>
            <w:pPr>
              <w:jc w:val="center"/>
              <w:ind w:right="20"/>
              <w:spacing w:after="0" w:line="72" w:lineRule="exact"/>
              <w:rPr>
                <w:sz w:val="20"/>
                <w:szCs w:val="20"/>
                <w:color w:val="auto"/>
              </w:rPr>
            </w:pPr>
            <w:r>
              <w:rPr>
                <w:rFonts w:ascii="Times New Roman" w:cs="Times New Roman" w:eastAsia="Times New Roman" w:hAnsi="Times New Roman"/>
                <w:sz w:val="7"/>
                <w:szCs w:val="7"/>
                <w:b w:val="1"/>
                <w:bCs w:val="1"/>
                <w:color w:val="auto"/>
                <w:w w:val="96"/>
              </w:rPr>
              <w:t>depreciation</w:t>
            </w:r>
          </w:p>
        </w:tc>
        <w:tc>
          <w:tcPr>
            <w:tcW w:w="100" w:type="dxa"/>
            <w:vAlign w:val="bottom"/>
          </w:tcPr>
          <w:p>
            <w:pPr>
              <w:spacing w:after="0"/>
              <w:rPr>
                <w:sz w:val="6"/>
                <w:szCs w:val="6"/>
                <w:color w:val="auto"/>
              </w:rPr>
            </w:pPr>
          </w:p>
        </w:tc>
        <w:tc>
          <w:tcPr>
            <w:tcW w:w="620" w:type="dxa"/>
            <w:vAlign w:val="bottom"/>
            <w:gridSpan w:val="2"/>
          </w:tcPr>
          <w:p>
            <w:pPr>
              <w:ind w:left="140"/>
              <w:spacing w:after="0" w:line="72" w:lineRule="exact"/>
              <w:rPr>
                <w:sz w:val="20"/>
                <w:szCs w:val="20"/>
                <w:color w:val="auto"/>
              </w:rPr>
            </w:pPr>
            <w:r>
              <w:rPr>
                <w:rFonts w:ascii="Times New Roman" w:cs="Times New Roman" w:eastAsia="Times New Roman" w:hAnsi="Times New Roman"/>
                <w:sz w:val="7"/>
                <w:szCs w:val="7"/>
                <w:b w:val="1"/>
                <w:bCs w:val="1"/>
                <w:color w:val="auto"/>
              </w:rPr>
              <w:t>acquisition</w:t>
            </w:r>
          </w:p>
        </w:tc>
      </w:tr>
      <w:tr>
        <w:trPr>
          <w:trHeight w:val="85"/>
        </w:trPr>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7"/>
                <w:szCs w:val="7"/>
                <w:b w:val="1"/>
                <w:bCs w:val="1"/>
                <w:color w:val="auto"/>
                <w:w w:val="97"/>
              </w:rPr>
              <w:t>Data Center</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7"/>
                <w:szCs w:val="7"/>
                <w:b w:val="1"/>
                <w:bCs w:val="1"/>
                <w:color w:val="auto"/>
                <w:w w:val="91"/>
              </w:rPr>
              <w:t>ground</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7"/>
                <w:szCs w:val="7"/>
                <w:b w:val="1"/>
                <w:bCs w:val="1"/>
                <w:color w:val="auto"/>
              </w:rPr>
              <w:t>Buildings and</w:t>
            </w: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Carrying</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7"/>
                <w:szCs w:val="7"/>
                <w:b w:val="1"/>
                <w:bCs w:val="1"/>
                <w:color w:val="auto"/>
              </w:rPr>
              <w:t>ground</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7"/>
                <w:szCs w:val="7"/>
                <w:b w:val="1"/>
                <w:bCs w:val="1"/>
                <w:color w:val="auto"/>
              </w:rPr>
              <w:t>Buildings and</w:t>
            </w: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7"/>
                <w:szCs w:val="7"/>
                <w:b w:val="1"/>
                <w:bCs w:val="1"/>
                <w:color w:val="auto"/>
              </w:rPr>
              <w:t>and</w:t>
            </w:r>
          </w:p>
        </w:tc>
        <w:tc>
          <w:tcPr>
            <w:tcW w:w="100" w:type="dxa"/>
            <w:vAlign w:val="bottom"/>
          </w:tcPr>
          <w:p>
            <w:pPr>
              <w:spacing w:after="0"/>
              <w:rPr>
                <w:sz w:val="7"/>
                <w:szCs w:val="7"/>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7"/>
                <w:szCs w:val="7"/>
                <w:b w:val="1"/>
                <w:bCs w:val="1"/>
                <w:color w:val="auto"/>
                <w:w w:val="90"/>
              </w:rPr>
              <w:t>or</w:t>
            </w:r>
          </w:p>
        </w:tc>
      </w:tr>
      <w:tr>
        <w:trPr>
          <w:trHeight w:val="89"/>
        </w:trPr>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7"/>
                <w:szCs w:val="7"/>
                <w:b w:val="1"/>
                <w:bCs w:val="1"/>
                <w:color w:val="auto"/>
                <w:w w:val="98"/>
              </w:rPr>
              <w:t>Buildings</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7"/>
                <w:szCs w:val="7"/>
                <w:b w:val="1"/>
                <w:bCs w:val="1"/>
                <w:color w:val="auto"/>
              </w:rPr>
              <w:t>Encumbrances</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7"/>
                <w:szCs w:val="7"/>
                <w:b w:val="1"/>
                <w:bCs w:val="1"/>
                <w:color w:val="auto"/>
              </w:rPr>
              <w:t>Land</w:t>
            </w: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7"/>
                <w:szCs w:val="7"/>
                <w:b w:val="1"/>
                <w:bCs w:val="1"/>
                <w:color w:val="auto"/>
              </w:rPr>
              <w:t>lease</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7"/>
                <w:szCs w:val="7"/>
                <w:b w:val="1"/>
                <w:bCs w:val="1"/>
                <w:color w:val="auto"/>
              </w:rPr>
              <w:t>improvements</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7"/>
                <w:szCs w:val="7"/>
                <w:b w:val="1"/>
                <w:bCs w:val="1"/>
                <w:color w:val="auto"/>
              </w:rPr>
              <w:t>Improvements</w:t>
            </w:r>
          </w:p>
        </w:tc>
        <w:tc>
          <w:tcPr>
            <w:tcW w:w="400" w:type="dxa"/>
            <w:vAlign w:val="bottom"/>
          </w:tcPr>
          <w:p>
            <w:pPr>
              <w:jc w:val="right"/>
              <w:ind w:right="45"/>
              <w:spacing w:after="0"/>
              <w:rPr>
                <w:sz w:val="20"/>
                <w:szCs w:val="20"/>
                <w:color w:val="auto"/>
              </w:rPr>
            </w:pPr>
            <w:r>
              <w:rPr>
                <w:rFonts w:ascii="Times New Roman" w:cs="Times New Roman" w:eastAsia="Times New Roman" w:hAnsi="Times New Roman"/>
                <w:sz w:val="7"/>
                <w:szCs w:val="7"/>
                <w:b w:val="1"/>
                <w:bCs w:val="1"/>
                <w:color w:val="auto"/>
              </w:rPr>
              <w:t>costs</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7"/>
                <w:szCs w:val="7"/>
                <w:b w:val="1"/>
                <w:bCs w:val="1"/>
                <w:color w:val="auto"/>
              </w:rPr>
              <w:t>Land</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7"/>
                <w:szCs w:val="7"/>
                <w:b w:val="1"/>
                <w:bCs w:val="1"/>
                <w:color w:val="auto"/>
                <w:w w:val="96"/>
              </w:rPr>
              <w:t>lease</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7"/>
                <w:szCs w:val="7"/>
                <w:b w:val="1"/>
                <w:bCs w:val="1"/>
                <w:color w:val="auto"/>
              </w:rPr>
              <w:t>improvements</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7"/>
                <w:szCs w:val="7"/>
                <w:b w:val="1"/>
                <w:bCs w:val="1"/>
                <w:color w:val="auto"/>
              </w:rPr>
              <w:t>Total</w:t>
            </w: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7"/>
                <w:szCs w:val="7"/>
                <w:b w:val="1"/>
                <w:bCs w:val="1"/>
                <w:color w:val="auto"/>
              </w:rPr>
              <w:t>amortization</w:t>
            </w:r>
          </w:p>
        </w:tc>
        <w:tc>
          <w:tcPr>
            <w:tcW w:w="100" w:type="dxa"/>
            <w:vAlign w:val="bottom"/>
          </w:tcPr>
          <w:p>
            <w:pPr>
              <w:spacing w:after="0"/>
              <w:rPr>
                <w:sz w:val="7"/>
                <w:szCs w:val="7"/>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7"/>
                <w:szCs w:val="7"/>
                <w:b w:val="1"/>
                <w:bCs w:val="1"/>
                <w:color w:val="auto"/>
              </w:rPr>
              <w:t>construction</w:t>
            </w:r>
          </w:p>
        </w:tc>
      </w:tr>
      <w:tr>
        <w:trPr>
          <w:trHeight w:val="65"/>
        </w:trPr>
        <w:tc>
          <w:tcPr>
            <w:tcW w:w="760" w:type="dxa"/>
            <w:vAlign w:val="bottom"/>
            <w:tcBorders>
              <w:top w:val="single" w:sz="8" w:color="CCEEFF"/>
              <w:bottom w:val="single" w:sz="8" w:color="auto"/>
            </w:tcBorders>
            <w:gridSpan w:val="3"/>
            <w:shd w:val="clear" w:color="auto" w:fill="CCEEFF"/>
          </w:tcPr>
          <w:p>
            <w:pPr>
              <w:spacing w:after="0" w:line="66" w:lineRule="exact"/>
              <w:rPr>
                <w:sz w:val="20"/>
                <w:szCs w:val="20"/>
                <w:color w:val="auto"/>
              </w:rPr>
            </w:pPr>
            <w:r>
              <w:rPr>
                <w:rFonts w:ascii="Times New Roman" w:cs="Times New Roman" w:eastAsia="Times New Roman" w:hAnsi="Times New Roman"/>
                <w:sz w:val="7"/>
                <w:szCs w:val="7"/>
                <w:b w:val="1"/>
                <w:bCs w:val="1"/>
                <w:color w:val="auto"/>
                <w:w w:val="97"/>
              </w:rPr>
              <w:t>North American Markets</w:t>
            </w:r>
          </w:p>
        </w:tc>
        <w:tc>
          <w:tcPr>
            <w:tcW w:w="940" w:type="dxa"/>
            <w:vAlign w:val="bottom"/>
            <w:tcBorders>
              <w:top w:val="single" w:sz="8" w:color="CCEEFF"/>
              <w:bottom w:val="single" w:sz="8" w:color="CCEEFF"/>
            </w:tcBorders>
            <w:shd w:val="clear" w:color="auto" w:fill="CCEEFF"/>
          </w:tcPr>
          <w:p>
            <w:pPr>
              <w:spacing w:after="0"/>
              <w:rPr>
                <w:sz w:val="5"/>
                <w:szCs w:val="5"/>
                <w:color w:val="auto"/>
              </w:rPr>
            </w:pPr>
          </w:p>
        </w:tc>
        <w:tc>
          <w:tcPr>
            <w:tcW w:w="480" w:type="dxa"/>
            <w:vAlign w:val="bottom"/>
            <w:tcBorders>
              <w:top w:val="single" w:sz="8" w:color="auto"/>
              <w:bottom w:val="single" w:sz="8" w:color="CCEEFF"/>
            </w:tcBorders>
            <w:shd w:val="clear" w:color="auto" w:fill="CCEEFF"/>
          </w:tcPr>
          <w:p>
            <w:pPr>
              <w:spacing w:after="0"/>
              <w:rPr>
                <w:sz w:val="5"/>
                <w:szCs w:val="5"/>
                <w:color w:val="auto"/>
              </w:rPr>
            </w:pPr>
          </w:p>
        </w:tc>
        <w:tc>
          <w:tcPr>
            <w:tcW w:w="100" w:type="dxa"/>
            <w:vAlign w:val="bottom"/>
            <w:tcBorders>
              <w:top w:val="single" w:sz="8" w:color="CCEEFF"/>
              <w:bottom w:val="single" w:sz="8" w:color="CCEEFF"/>
            </w:tcBorders>
            <w:shd w:val="clear" w:color="auto" w:fill="CCEEFF"/>
          </w:tcPr>
          <w:p>
            <w:pPr>
              <w:spacing w:after="0"/>
              <w:rPr>
                <w:sz w:val="5"/>
                <w:szCs w:val="5"/>
                <w:color w:val="auto"/>
              </w:rPr>
            </w:pPr>
          </w:p>
        </w:tc>
        <w:tc>
          <w:tcPr>
            <w:tcW w:w="500" w:type="dxa"/>
            <w:vAlign w:val="bottom"/>
            <w:tcBorders>
              <w:top w:val="single" w:sz="8" w:color="auto"/>
              <w:bottom w:val="single" w:sz="8" w:color="CCEEFF"/>
            </w:tcBorders>
            <w:shd w:val="clear" w:color="auto" w:fill="CCEEFF"/>
          </w:tcPr>
          <w:p>
            <w:pPr>
              <w:spacing w:after="0"/>
              <w:rPr>
                <w:sz w:val="5"/>
                <w:szCs w:val="5"/>
                <w:color w:val="auto"/>
              </w:rPr>
            </w:pPr>
          </w:p>
        </w:tc>
        <w:tc>
          <w:tcPr>
            <w:tcW w:w="120" w:type="dxa"/>
            <w:vAlign w:val="bottom"/>
            <w:tcBorders>
              <w:top w:val="single" w:sz="8" w:color="CCEEFF"/>
              <w:bottom w:val="single" w:sz="8" w:color="CCEEFF"/>
            </w:tcBorders>
            <w:shd w:val="clear" w:color="auto" w:fill="CCEEFF"/>
          </w:tcPr>
          <w:p>
            <w:pPr>
              <w:spacing w:after="0"/>
              <w:rPr>
                <w:sz w:val="5"/>
                <w:szCs w:val="5"/>
                <w:color w:val="auto"/>
              </w:rPr>
            </w:pPr>
          </w:p>
        </w:tc>
        <w:tc>
          <w:tcPr>
            <w:tcW w:w="460" w:type="dxa"/>
            <w:vAlign w:val="bottom"/>
            <w:tcBorders>
              <w:top w:val="single" w:sz="8" w:color="auto"/>
              <w:bottom w:val="single" w:sz="8" w:color="CCEEFF"/>
            </w:tcBorders>
            <w:shd w:val="clear" w:color="auto" w:fill="CCEEFF"/>
          </w:tcPr>
          <w:p>
            <w:pPr>
              <w:spacing w:after="0"/>
              <w:rPr>
                <w:sz w:val="5"/>
                <w:szCs w:val="5"/>
                <w:color w:val="auto"/>
              </w:rPr>
            </w:pPr>
          </w:p>
        </w:tc>
        <w:tc>
          <w:tcPr>
            <w:tcW w:w="120" w:type="dxa"/>
            <w:vAlign w:val="bottom"/>
            <w:tcBorders>
              <w:top w:val="single" w:sz="8" w:color="CCEEFF"/>
              <w:bottom w:val="single" w:sz="8" w:color="CCEEFF"/>
            </w:tcBorders>
            <w:shd w:val="clear" w:color="auto" w:fill="CCEEFF"/>
          </w:tcPr>
          <w:p>
            <w:pPr>
              <w:spacing w:after="0"/>
              <w:rPr>
                <w:sz w:val="5"/>
                <w:szCs w:val="5"/>
                <w:color w:val="auto"/>
              </w:rPr>
            </w:pPr>
          </w:p>
        </w:tc>
        <w:tc>
          <w:tcPr>
            <w:tcW w:w="480" w:type="dxa"/>
            <w:vAlign w:val="bottom"/>
            <w:tcBorders>
              <w:top w:val="single" w:sz="8" w:color="auto"/>
              <w:bottom w:val="single" w:sz="8" w:color="CCEEFF"/>
            </w:tcBorders>
            <w:shd w:val="clear" w:color="auto" w:fill="CCEEFF"/>
          </w:tcPr>
          <w:p>
            <w:pPr>
              <w:spacing w:after="0"/>
              <w:rPr>
                <w:sz w:val="5"/>
                <w:szCs w:val="5"/>
                <w:color w:val="auto"/>
              </w:rPr>
            </w:pPr>
          </w:p>
        </w:tc>
        <w:tc>
          <w:tcPr>
            <w:tcW w:w="120" w:type="dxa"/>
            <w:vAlign w:val="bottom"/>
            <w:tcBorders>
              <w:top w:val="single" w:sz="8" w:color="CCEEFF"/>
              <w:bottom w:val="single" w:sz="8" w:color="CCEEFF"/>
            </w:tcBorders>
            <w:shd w:val="clear" w:color="auto" w:fill="CCEEFF"/>
          </w:tcPr>
          <w:p>
            <w:pPr>
              <w:spacing w:after="0"/>
              <w:rPr>
                <w:sz w:val="5"/>
                <w:szCs w:val="5"/>
                <w:color w:val="auto"/>
              </w:rPr>
            </w:pPr>
          </w:p>
        </w:tc>
        <w:tc>
          <w:tcPr>
            <w:tcW w:w="460" w:type="dxa"/>
            <w:vAlign w:val="bottom"/>
            <w:tcBorders>
              <w:top w:val="single" w:sz="8" w:color="auto"/>
              <w:bottom w:val="single" w:sz="8" w:color="CCEEFF"/>
            </w:tcBorders>
            <w:shd w:val="clear" w:color="auto" w:fill="CCEEFF"/>
          </w:tcPr>
          <w:p>
            <w:pPr>
              <w:spacing w:after="0"/>
              <w:rPr>
                <w:sz w:val="5"/>
                <w:szCs w:val="5"/>
                <w:color w:val="auto"/>
              </w:rPr>
            </w:pPr>
          </w:p>
        </w:tc>
        <w:tc>
          <w:tcPr>
            <w:tcW w:w="120" w:type="dxa"/>
            <w:vAlign w:val="bottom"/>
            <w:tcBorders>
              <w:top w:val="single" w:sz="8" w:color="CCEEFF"/>
              <w:bottom w:val="single" w:sz="8" w:color="CCEEFF"/>
            </w:tcBorders>
            <w:shd w:val="clear" w:color="auto" w:fill="CCEEFF"/>
          </w:tcPr>
          <w:p>
            <w:pPr>
              <w:spacing w:after="0"/>
              <w:rPr>
                <w:sz w:val="5"/>
                <w:szCs w:val="5"/>
                <w:color w:val="auto"/>
              </w:rPr>
            </w:pPr>
          </w:p>
        </w:tc>
        <w:tc>
          <w:tcPr>
            <w:tcW w:w="500" w:type="dxa"/>
            <w:vAlign w:val="bottom"/>
            <w:tcBorders>
              <w:top w:val="single" w:sz="8" w:color="auto"/>
              <w:bottom w:val="single" w:sz="8" w:color="CCEEFF"/>
            </w:tcBorders>
            <w:shd w:val="clear" w:color="auto" w:fill="CCEEFF"/>
          </w:tcPr>
          <w:p>
            <w:pPr>
              <w:spacing w:after="0"/>
              <w:rPr>
                <w:sz w:val="5"/>
                <w:szCs w:val="5"/>
                <w:color w:val="auto"/>
              </w:rPr>
            </w:pPr>
          </w:p>
        </w:tc>
        <w:tc>
          <w:tcPr>
            <w:tcW w:w="100" w:type="dxa"/>
            <w:vAlign w:val="bottom"/>
            <w:tcBorders>
              <w:top w:val="single" w:sz="8" w:color="CCEEFF"/>
              <w:bottom w:val="single" w:sz="8" w:color="CCEEFF"/>
            </w:tcBorders>
            <w:shd w:val="clear" w:color="auto" w:fill="CCEEFF"/>
          </w:tcPr>
          <w:p>
            <w:pPr>
              <w:spacing w:after="0"/>
              <w:rPr>
                <w:sz w:val="5"/>
                <w:szCs w:val="5"/>
                <w:color w:val="auto"/>
              </w:rPr>
            </w:pPr>
          </w:p>
        </w:tc>
        <w:tc>
          <w:tcPr>
            <w:tcW w:w="400" w:type="dxa"/>
            <w:vAlign w:val="bottom"/>
            <w:tcBorders>
              <w:top w:val="single" w:sz="8" w:color="auto"/>
              <w:bottom w:val="single" w:sz="8" w:color="CCEEFF"/>
            </w:tcBorders>
            <w:shd w:val="clear" w:color="auto" w:fill="CCEEFF"/>
          </w:tcPr>
          <w:p>
            <w:pPr>
              <w:spacing w:after="0"/>
              <w:rPr>
                <w:sz w:val="5"/>
                <w:szCs w:val="5"/>
                <w:color w:val="auto"/>
              </w:rPr>
            </w:pPr>
          </w:p>
        </w:tc>
        <w:tc>
          <w:tcPr>
            <w:tcW w:w="100" w:type="dxa"/>
            <w:vAlign w:val="bottom"/>
            <w:tcBorders>
              <w:top w:val="single" w:sz="8" w:color="auto"/>
              <w:bottom w:val="single" w:sz="8" w:color="CCEEFF"/>
            </w:tcBorders>
            <w:shd w:val="clear" w:color="auto" w:fill="CCEEFF"/>
          </w:tcPr>
          <w:p>
            <w:pPr>
              <w:spacing w:after="0"/>
              <w:rPr>
                <w:sz w:val="5"/>
                <w:szCs w:val="5"/>
                <w:color w:val="auto"/>
              </w:rPr>
            </w:pPr>
          </w:p>
        </w:tc>
        <w:tc>
          <w:tcPr>
            <w:tcW w:w="100" w:type="dxa"/>
            <w:vAlign w:val="bottom"/>
            <w:tcBorders>
              <w:top w:val="single" w:sz="8" w:color="CCEEFF"/>
              <w:bottom w:val="single" w:sz="8" w:color="CCEEFF"/>
            </w:tcBorders>
            <w:shd w:val="clear" w:color="auto" w:fill="CCEEFF"/>
          </w:tcPr>
          <w:p>
            <w:pPr>
              <w:spacing w:after="0"/>
              <w:rPr>
                <w:sz w:val="5"/>
                <w:szCs w:val="5"/>
                <w:color w:val="auto"/>
              </w:rPr>
            </w:pPr>
          </w:p>
        </w:tc>
        <w:tc>
          <w:tcPr>
            <w:tcW w:w="480" w:type="dxa"/>
            <w:vAlign w:val="bottom"/>
            <w:tcBorders>
              <w:top w:val="single" w:sz="8" w:color="auto"/>
              <w:bottom w:val="single" w:sz="8" w:color="CCEEFF"/>
            </w:tcBorders>
            <w:shd w:val="clear" w:color="auto" w:fill="CCEEFF"/>
          </w:tcPr>
          <w:p>
            <w:pPr>
              <w:spacing w:after="0"/>
              <w:rPr>
                <w:sz w:val="5"/>
                <w:szCs w:val="5"/>
                <w:color w:val="auto"/>
              </w:rPr>
            </w:pPr>
          </w:p>
        </w:tc>
        <w:tc>
          <w:tcPr>
            <w:tcW w:w="120" w:type="dxa"/>
            <w:vAlign w:val="bottom"/>
            <w:tcBorders>
              <w:top w:val="single" w:sz="8" w:color="CCEEFF"/>
              <w:bottom w:val="single" w:sz="8" w:color="CCEEFF"/>
            </w:tcBorders>
            <w:shd w:val="clear" w:color="auto" w:fill="CCEEFF"/>
          </w:tcPr>
          <w:p>
            <w:pPr>
              <w:spacing w:after="0"/>
              <w:rPr>
                <w:sz w:val="5"/>
                <w:szCs w:val="5"/>
                <w:color w:val="auto"/>
              </w:rPr>
            </w:pPr>
          </w:p>
        </w:tc>
        <w:tc>
          <w:tcPr>
            <w:tcW w:w="480" w:type="dxa"/>
            <w:vAlign w:val="bottom"/>
            <w:tcBorders>
              <w:top w:val="single" w:sz="8" w:color="auto"/>
              <w:bottom w:val="single" w:sz="8" w:color="CCEEFF"/>
            </w:tcBorders>
            <w:shd w:val="clear" w:color="auto" w:fill="CCEEFF"/>
          </w:tcPr>
          <w:p>
            <w:pPr>
              <w:spacing w:after="0"/>
              <w:rPr>
                <w:sz w:val="5"/>
                <w:szCs w:val="5"/>
                <w:color w:val="auto"/>
              </w:rPr>
            </w:pPr>
          </w:p>
        </w:tc>
        <w:tc>
          <w:tcPr>
            <w:tcW w:w="120" w:type="dxa"/>
            <w:vAlign w:val="bottom"/>
            <w:tcBorders>
              <w:top w:val="single" w:sz="8" w:color="CCEEFF"/>
              <w:bottom w:val="single" w:sz="8" w:color="CCEEFF"/>
            </w:tcBorders>
            <w:shd w:val="clear" w:color="auto" w:fill="CCEEFF"/>
          </w:tcPr>
          <w:p>
            <w:pPr>
              <w:spacing w:after="0"/>
              <w:rPr>
                <w:sz w:val="5"/>
                <w:szCs w:val="5"/>
                <w:color w:val="auto"/>
              </w:rPr>
            </w:pPr>
          </w:p>
        </w:tc>
        <w:tc>
          <w:tcPr>
            <w:tcW w:w="480" w:type="dxa"/>
            <w:vAlign w:val="bottom"/>
            <w:tcBorders>
              <w:top w:val="single" w:sz="8" w:color="auto"/>
              <w:bottom w:val="single" w:sz="8" w:color="CCEEFF"/>
            </w:tcBorders>
            <w:shd w:val="clear" w:color="auto" w:fill="CCEEFF"/>
          </w:tcPr>
          <w:p>
            <w:pPr>
              <w:spacing w:after="0"/>
              <w:rPr>
                <w:sz w:val="5"/>
                <w:szCs w:val="5"/>
                <w:color w:val="auto"/>
              </w:rPr>
            </w:pPr>
          </w:p>
        </w:tc>
        <w:tc>
          <w:tcPr>
            <w:tcW w:w="120" w:type="dxa"/>
            <w:vAlign w:val="bottom"/>
            <w:tcBorders>
              <w:top w:val="single" w:sz="8" w:color="CCEEFF"/>
              <w:bottom w:val="single" w:sz="8" w:color="CCEEFF"/>
            </w:tcBorders>
            <w:shd w:val="clear" w:color="auto" w:fill="CCEEFF"/>
          </w:tcPr>
          <w:p>
            <w:pPr>
              <w:spacing w:after="0"/>
              <w:rPr>
                <w:sz w:val="5"/>
                <w:szCs w:val="5"/>
                <w:color w:val="auto"/>
              </w:rPr>
            </w:pPr>
          </w:p>
        </w:tc>
        <w:tc>
          <w:tcPr>
            <w:tcW w:w="480" w:type="dxa"/>
            <w:vAlign w:val="bottom"/>
            <w:tcBorders>
              <w:top w:val="single" w:sz="8" w:color="auto"/>
              <w:bottom w:val="single" w:sz="8" w:color="CCEEFF"/>
            </w:tcBorders>
            <w:shd w:val="clear" w:color="auto" w:fill="CCEEFF"/>
          </w:tcPr>
          <w:p>
            <w:pPr>
              <w:spacing w:after="0"/>
              <w:rPr>
                <w:sz w:val="5"/>
                <w:szCs w:val="5"/>
                <w:color w:val="auto"/>
              </w:rPr>
            </w:pPr>
          </w:p>
        </w:tc>
        <w:tc>
          <w:tcPr>
            <w:tcW w:w="120" w:type="dxa"/>
            <w:vAlign w:val="bottom"/>
            <w:tcBorders>
              <w:top w:val="single" w:sz="8" w:color="CCEEFF"/>
              <w:bottom w:val="single" w:sz="8" w:color="CCEEFF"/>
            </w:tcBorders>
            <w:shd w:val="clear" w:color="auto" w:fill="CCEEFF"/>
          </w:tcPr>
          <w:p>
            <w:pPr>
              <w:spacing w:after="0"/>
              <w:rPr>
                <w:sz w:val="5"/>
                <w:szCs w:val="5"/>
                <w:color w:val="auto"/>
              </w:rPr>
            </w:pPr>
          </w:p>
        </w:tc>
        <w:tc>
          <w:tcPr>
            <w:tcW w:w="480" w:type="dxa"/>
            <w:vAlign w:val="bottom"/>
            <w:tcBorders>
              <w:top w:val="single" w:sz="8" w:color="auto"/>
              <w:bottom w:val="single" w:sz="8" w:color="CCEEFF"/>
            </w:tcBorders>
            <w:shd w:val="clear" w:color="auto" w:fill="CCEEFF"/>
          </w:tcPr>
          <w:p>
            <w:pPr>
              <w:spacing w:after="0"/>
              <w:rPr>
                <w:sz w:val="5"/>
                <w:szCs w:val="5"/>
                <w:color w:val="auto"/>
              </w:rPr>
            </w:pPr>
          </w:p>
        </w:tc>
        <w:tc>
          <w:tcPr>
            <w:tcW w:w="20" w:type="dxa"/>
            <w:vAlign w:val="bottom"/>
            <w:tcBorders>
              <w:top w:val="single" w:sz="8" w:color="CCEEFF"/>
              <w:bottom w:val="single" w:sz="8" w:color="CCEEFF"/>
            </w:tcBorders>
            <w:shd w:val="clear" w:color="auto" w:fill="CCEEFF"/>
          </w:tcPr>
          <w:p>
            <w:pPr>
              <w:spacing w:after="0"/>
              <w:rPr>
                <w:sz w:val="5"/>
                <w:szCs w:val="5"/>
                <w:color w:val="auto"/>
              </w:rPr>
            </w:pPr>
          </w:p>
        </w:tc>
        <w:tc>
          <w:tcPr>
            <w:tcW w:w="100" w:type="dxa"/>
            <w:vAlign w:val="bottom"/>
            <w:tcBorders>
              <w:top w:val="single" w:sz="8" w:color="CCEEFF"/>
              <w:bottom w:val="single" w:sz="8" w:color="CCEEFF"/>
            </w:tcBorders>
            <w:shd w:val="clear" w:color="auto" w:fill="CCEEFF"/>
          </w:tcPr>
          <w:p>
            <w:pPr>
              <w:spacing w:after="0"/>
              <w:rPr>
                <w:sz w:val="5"/>
                <w:szCs w:val="5"/>
                <w:color w:val="auto"/>
              </w:rPr>
            </w:pPr>
          </w:p>
        </w:tc>
        <w:tc>
          <w:tcPr>
            <w:tcW w:w="280" w:type="dxa"/>
            <w:vAlign w:val="bottom"/>
            <w:tcBorders>
              <w:top w:val="single" w:sz="8" w:color="auto"/>
              <w:bottom w:val="single" w:sz="8" w:color="CCEEFF"/>
            </w:tcBorders>
            <w:shd w:val="clear" w:color="auto" w:fill="CCEEFF"/>
          </w:tcPr>
          <w:p>
            <w:pPr>
              <w:spacing w:after="0"/>
              <w:rPr>
                <w:sz w:val="5"/>
                <w:szCs w:val="5"/>
                <w:color w:val="auto"/>
              </w:rPr>
            </w:pPr>
          </w:p>
        </w:tc>
        <w:tc>
          <w:tcPr>
            <w:tcW w:w="340" w:type="dxa"/>
            <w:vAlign w:val="bottom"/>
            <w:tcBorders>
              <w:top w:val="single" w:sz="8" w:color="auto"/>
              <w:bottom w:val="single" w:sz="8" w:color="CCEEFF"/>
            </w:tcBorders>
            <w:shd w:val="clear" w:color="auto" w:fill="CCEEFF"/>
          </w:tcPr>
          <w:p>
            <w:pPr>
              <w:spacing w:after="0"/>
              <w:rPr>
                <w:sz w:val="5"/>
                <w:szCs w:val="5"/>
                <w:color w:val="auto"/>
              </w:rPr>
            </w:pPr>
          </w:p>
        </w:tc>
      </w:tr>
      <w:tr>
        <w:trPr>
          <w:trHeight w:val="75"/>
        </w:trPr>
        <w:tc>
          <w:tcPr>
            <w:tcW w:w="1700" w:type="dxa"/>
            <w:vAlign w:val="bottom"/>
            <w:gridSpan w:val="4"/>
          </w:tcPr>
          <w:p>
            <w:pPr>
              <w:ind w:left="80"/>
              <w:spacing w:after="0" w:line="75" w:lineRule="exact"/>
              <w:rPr>
                <w:sz w:val="20"/>
                <w:szCs w:val="20"/>
                <w:color w:val="auto"/>
              </w:rPr>
            </w:pPr>
            <w:r>
              <w:rPr>
                <w:rFonts w:ascii="Times New Roman" w:cs="Times New Roman" w:eastAsia="Times New Roman" w:hAnsi="Times New Roman"/>
                <w:sz w:val="7"/>
                <w:szCs w:val="7"/>
                <w:color w:val="auto"/>
              </w:rPr>
              <w:t>Northern Virginia</w:t>
            </w:r>
          </w:p>
        </w:tc>
        <w:tc>
          <w:tcPr>
            <w:tcW w:w="480" w:type="dxa"/>
            <w:vAlign w:val="bottom"/>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24</w:t>
            </w:r>
          </w:p>
        </w:tc>
        <w:tc>
          <w:tcPr>
            <w:tcW w:w="100" w:type="dxa"/>
            <w:vAlign w:val="bottom"/>
          </w:tcPr>
          <w:p>
            <w:pPr>
              <w:spacing w:after="0"/>
              <w:rPr>
                <w:sz w:val="6"/>
                <w:szCs w:val="6"/>
                <w:color w:val="auto"/>
              </w:rPr>
            </w:pPr>
          </w:p>
        </w:tc>
        <w:tc>
          <w:tcPr>
            <w:tcW w:w="500" w:type="dxa"/>
            <w:vAlign w:val="bottom"/>
          </w:tcPr>
          <w:p>
            <w:pPr>
              <w:jc w:val="right"/>
              <w:spacing w:after="0" w:line="75" w:lineRule="exact"/>
              <w:rPr>
                <w:sz w:val="20"/>
                <w:szCs w:val="20"/>
                <w:color w:val="auto"/>
              </w:rPr>
            </w:pPr>
            <w:r>
              <w:rPr>
                <w:rFonts w:ascii="Times New Roman" w:cs="Times New Roman" w:eastAsia="Times New Roman" w:hAnsi="Times New Roman"/>
                <w:sz w:val="7"/>
                <w:szCs w:val="7"/>
                <w:color w:val="auto"/>
              </w:rPr>
              <w:t>104,000</w:t>
            </w:r>
          </w:p>
        </w:tc>
        <w:tc>
          <w:tcPr>
            <w:tcW w:w="120" w:type="dxa"/>
            <w:vAlign w:val="bottom"/>
          </w:tcPr>
          <w:p>
            <w:pPr>
              <w:spacing w:after="0"/>
              <w:rPr>
                <w:sz w:val="6"/>
                <w:szCs w:val="6"/>
                <w:color w:val="auto"/>
              </w:rPr>
            </w:pPr>
          </w:p>
        </w:tc>
        <w:tc>
          <w:tcPr>
            <w:tcW w:w="460" w:type="dxa"/>
            <w:vAlign w:val="bottom"/>
          </w:tcPr>
          <w:p>
            <w:pPr>
              <w:jc w:val="right"/>
              <w:spacing w:after="0" w:line="75" w:lineRule="exact"/>
              <w:rPr>
                <w:sz w:val="20"/>
                <w:szCs w:val="20"/>
                <w:color w:val="auto"/>
              </w:rPr>
            </w:pPr>
            <w:r>
              <w:rPr>
                <w:rFonts w:ascii="Times New Roman" w:cs="Times New Roman" w:eastAsia="Times New Roman" w:hAnsi="Times New Roman"/>
                <w:sz w:val="7"/>
                <w:szCs w:val="7"/>
                <w:color w:val="auto"/>
              </w:rPr>
              <w:t>198,989</w:t>
            </w:r>
          </w:p>
        </w:tc>
        <w:tc>
          <w:tcPr>
            <w:tcW w:w="120" w:type="dxa"/>
            <w:vAlign w:val="bottom"/>
          </w:tcPr>
          <w:p>
            <w:pPr>
              <w:spacing w:after="0"/>
              <w:rPr>
                <w:sz w:val="6"/>
                <w:szCs w:val="6"/>
                <w:color w:val="auto"/>
              </w:rPr>
            </w:pPr>
          </w:p>
        </w:tc>
        <w:tc>
          <w:tcPr>
            <w:tcW w:w="600" w:type="dxa"/>
            <w:vAlign w:val="bottom"/>
            <w:gridSpan w:val="2"/>
          </w:tcPr>
          <w:p>
            <w:pPr>
              <w:jc w:val="right"/>
              <w:ind w:right="160"/>
              <w:spacing w:after="0" w:line="75"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line="75" w:lineRule="exact"/>
              <w:rPr>
                <w:sz w:val="20"/>
                <w:szCs w:val="20"/>
                <w:color w:val="auto"/>
              </w:rPr>
            </w:pPr>
            <w:r>
              <w:rPr>
                <w:rFonts w:ascii="Times New Roman" w:cs="Times New Roman" w:eastAsia="Times New Roman" w:hAnsi="Times New Roman"/>
                <w:sz w:val="7"/>
                <w:szCs w:val="7"/>
                <w:color w:val="auto"/>
              </w:rPr>
              <w:t>1,712,144</w:t>
            </w:r>
          </w:p>
        </w:tc>
        <w:tc>
          <w:tcPr>
            <w:tcW w:w="120" w:type="dxa"/>
            <w:vAlign w:val="bottom"/>
          </w:tcPr>
          <w:p>
            <w:pPr>
              <w:spacing w:after="0"/>
              <w:rPr>
                <w:sz w:val="6"/>
                <w:szCs w:val="6"/>
                <w:color w:val="auto"/>
              </w:rPr>
            </w:pPr>
          </w:p>
        </w:tc>
        <w:tc>
          <w:tcPr>
            <w:tcW w:w="500" w:type="dxa"/>
            <w:vAlign w:val="bottom"/>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2,187,605</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gridSpan w:val="2"/>
          </w:tcPr>
          <w:p>
            <w:pPr>
              <w:spacing w:after="0" w:line="75"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line="75" w:lineRule="exact"/>
              <w:rPr>
                <w:sz w:val="20"/>
                <w:szCs w:val="20"/>
                <w:color w:val="auto"/>
              </w:rPr>
            </w:pPr>
            <w:r>
              <w:rPr>
                <w:rFonts w:ascii="Times New Roman" w:cs="Times New Roman" w:eastAsia="Times New Roman" w:hAnsi="Times New Roman"/>
                <w:sz w:val="7"/>
                <w:szCs w:val="7"/>
                <w:color w:val="auto"/>
              </w:rPr>
              <w:t>216,041</w:t>
            </w:r>
          </w:p>
        </w:tc>
        <w:tc>
          <w:tcPr>
            <w:tcW w:w="120" w:type="dxa"/>
            <w:vAlign w:val="bottom"/>
          </w:tcPr>
          <w:p>
            <w:pPr>
              <w:spacing w:after="0"/>
              <w:rPr>
                <w:sz w:val="6"/>
                <w:szCs w:val="6"/>
                <w:color w:val="auto"/>
              </w:rPr>
            </w:pPr>
          </w:p>
        </w:tc>
        <w:tc>
          <w:tcPr>
            <w:tcW w:w="600" w:type="dxa"/>
            <w:vAlign w:val="bottom"/>
            <w:gridSpan w:val="2"/>
          </w:tcPr>
          <w:p>
            <w:pPr>
              <w:jc w:val="right"/>
              <w:ind w:right="140"/>
              <w:spacing w:after="0" w:line="75"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line="75" w:lineRule="exact"/>
              <w:rPr>
                <w:sz w:val="20"/>
                <w:szCs w:val="20"/>
                <w:color w:val="auto"/>
              </w:rPr>
            </w:pPr>
            <w:r>
              <w:rPr>
                <w:rFonts w:ascii="Times New Roman" w:cs="Times New Roman" w:eastAsia="Times New Roman" w:hAnsi="Times New Roman"/>
                <w:sz w:val="7"/>
                <w:szCs w:val="7"/>
                <w:color w:val="auto"/>
              </w:rPr>
              <w:t>3,882,697</w:t>
            </w:r>
          </w:p>
        </w:tc>
        <w:tc>
          <w:tcPr>
            <w:tcW w:w="120" w:type="dxa"/>
            <w:vAlign w:val="bottom"/>
          </w:tcPr>
          <w:p>
            <w:pPr>
              <w:spacing w:after="0"/>
              <w:rPr>
                <w:sz w:val="6"/>
                <w:szCs w:val="6"/>
                <w:color w:val="auto"/>
              </w:rPr>
            </w:pPr>
          </w:p>
        </w:tc>
        <w:tc>
          <w:tcPr>
            <w:tcW w:w="480" w:type="dxa"/>
            <w:vAlign w:val="bottom"/>
          </w:tcPr>
          <w:p>
            <w:pPr>
              <w:jc w:val="right"/>
              <w:spacing w:after="0" w:line="75" w:lineRule="exact"/>
              <w:rPr>
                <w:sz w:val="20"/>
                <w:szCs w:val="20"/>
                <w:color w:val="auto"/>
              </w:rPr>
            </w:pPr>
            <w:r>
              <w:rPr>
                <w:rFonts w:ascii="Times New Roman" w:cs="Times New Roman" w:eastAsia="Times New Roman" w:hAnsi="Times New Roman"/>
                <w:sz w:val="7"/>
                <w:szCs w:val="7"/>
                <w:color w:val="auto"/>
              </w:rPr>
              <w:t>4,098,738</w:t>
            </w:r>
          </w:p>
        </w:tc>
        <w:tc>
          <w:tcPr>
            <w:tcW w:w="120" w:type="dxa"/>
            <w:vAlign w:val="bottom"/>
          </w:tcPr>
          <w:p>
            <w:pPr>
              <w:spacing w:after="0"/>
              <w:rPr>
                <w:sz w:val="6"/>
                <w:szCs w:val="6"/>
                <w:color w:val="auto"/>
              </w:rPr>
            </w:pPr>
          </w:p>
        </w:tc>
        <w:tc>
          <w:tcPr>
            <w:tcW w:w="500" w:type="dxa"/>
            <w:vAlign w:val="bottom"/>
            <w:gridSpan w:val="2"/>
          </w:tcPr>
          <w:p>
            <w:pPr>
              <w:jc w:val="right"/>
              <w:ind w:right="20"/>
              <w:spacing w:after="0" w:line="75" w:lineRule="exact"/>
              <w:rPr>
                <w:sz w:val="20"/>
                <w:szCs w:val="20"/>
                <w:color w:val="auto"/>
              </w:rPr>
            </w:pPr>
            <w:r>
              <w:rPr>
                <w:rFonts w:ascii="Times New Roman" w:cs="Times New Roman" w:eastAsia="Times New Roman" w:hAnsi="Times New Roman"/>
                <w:sz w:val="7"/>
                <w:szCs w:val="7"/>
                <w:color w:val="auto"/>
              </w:rPr>
              <w:t>(887,079)</w:t>
            </w:r>
          </w:p>
        </w:tc>
        <w:tc>
          <w:tcPr>
            <w:tcW w:w="380" w:type="dxa"/>
            <w:vAlign w:val="bottom"/>
            <w:gridSpan w:val="2"/>
          </w:tcPr>
          <w:p>
            <w:pPr>
              <w:ind w:left="240"/>
              <w:spacing w:after="0" w:line="75" w:lineRule="exact"/>
              <w:rPr>
                <w:sz w:val="20"/>
                <w:szCs w:val="20"/>
                <w:color w:val="auto"/>
              </w:rPr>
            </w:pPr>
            <w:r>
              <w:rPr>
                <w:rFonts w:ascii="Times New Roman" w:cs="Times New Roman" w:eastAsia="Times New Roman" w:hAnsi="Times New Roman"/>
                <w:sz w:val="7"/>
                <w:szCs w:val="7"/>
                <w:color w:val="auto"/>
                <w:w w:val="85"/>
              </w:rPr>
              <w:t>2005</w:t>
            </w:r>
          </w:p>
        </w:tc>
        <w:tc>
          <w:tcPr>
            <w:tcW w:w="340" w:type="dxa"/>
            <w:vAlign w:val="bottom"/>
          </w:tcPr>
          <w:p>
            <w:pPr>
              <w:jc w:val="right"/>
              <w:ind w:right="105"/>
              <w:spacing w:after="0" w:line="75" w:lineRule="exact"/>
              <w:rPr>
                <w:sz w:val="20"/>
                <w:szCs w:val="20"/>
                <w:color w:val="auto"/>
              </w:rPr>
            </w:pPr>
            <w:r>
              <w:rPr>
                <w:rFonts w:ascii="Times New Roman" w:cs="Times New Roman" w:eastAsia="Times New Roman" w:hAnsi="Times New Roman"/>
                <w:sz w:val="7"/>
                <w:szCs w:val="7"/>
                <w:color w:val="auto"/>
                <w:w w:val="99"/>
              </w:rPr>
              <w:t>- 2019</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Chicago</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10</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95,444</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1,320,334</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977,634</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105,830</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2,287,582</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2,393,412</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(601,875)</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w w:val="85"/>
              </w:rPr>
              <w:t>2005</w:t>
            </w:r>
          </w:p>
        </w:tc>
        <w:tc>
          <w:tcPr>
            <w:tcW w:w="3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7"/>
                <w:szCs w:val="7"/>
                <w:color w:val="auto"/>
                <w:w w:val="99"/>
              </w:rPr>
              <w:t>- 2017</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Silicon Valley</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20</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153,145</w:t>
            </w:r>
          </w:p>
        </w:tc>
        <w:tc>
          <w:tcPr>
            <w:tcW w:w="120" w:type="dxa"/>
            <w:vAlign w:val="bottom"/>
          </w:tcPr>
          <w:p>
            <w:pPr>
              <w:spacing w:after="0"/>
              <w:rPr>
                <w:sz w:val="7"/>
                <w:szCs w:val="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919,499</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537,828</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150,910</w:t>
            </w:r>
          </w:p>
        </w:tc>
        <w:tc>
          <w:tcPr>
            <w:tcW w:w="12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1,459,562</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1,610,472</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(546,797)</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w w:val="85"/>
              </w:rPr>
              <w:t>2002</w:t>
            </w:r>
          </w:p>
        </w:tc>
        <w:tc>
          <w:tcPr>
            <w:tcW w:w="340" w:type="dxa"/>
            <w:vAlign w:val="bottom"/>
          </w:tcPr>
          <w:p>
            <w:pPr>
              <w:jc w:val="right"/>
              <w:ind w:right="105"/>
              <w:spacing w:after="0"/>
              <w:rPr>
                <w:sz w:val="20"/>
                <w:szCs w:val="20"/>
                <w:color w:val="auto"/>
              </w:rPr>
            </w:pPr>
            <w:r>
              <w:rPr>
                <w:rFonts w:ascii="Times New Roman" w:cs="Times New Roman" w:eastAsia="Times New Roman" w:hAnsi="Times New Roman"/>
                <w:sz w:val="7"/>
                <w:szCs w:val="7"/>
                <w:color w:val="auto"/>
                <w:w w:val="99"/>
              </w:rPr>
              <w:t>- 2018</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Dallas</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21</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66,489</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338,284</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1,010,243</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58,900</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1,356,116</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1,415,016</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(535,422)</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w w:val="85"/>
              </w:rPr>
              <w:t>2002</w:t>
            </w:r>
          </w:p>
        </w:tc>
        <w:tc>
          <w:tcPr>
            <w:tcW w:w="3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7"/>
                <w:szCs w:val="7"/>
                <w:color w:val="auto"/>
                <w:w w:val="99"/>
              </w:rPr>
              <w:t>- 2015</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New York</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13</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17,301</w:t>
            </w:r>
          </w:p>
        </w:tc>
        <w:tc>
          <w:tcPr>
            <w:tcW w:w="120" w:type="dxa"/>
            <w:vAlign w:val="bottom"/>
          </w:tcPr>
          <w:p>
            <w:pPr>
              <w:spacing w:after="0"/>
              <w:rPr>
                <w:sz w:val="7"/>
                <w:szCs w:val="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474,561</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756,411</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17,042</w:t>
            </w:r>
          </w:p>
        </w:tc>
        <w:tc>
          <w:tcPr>
            <w:tcW w:w="12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1,231,231</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1,248,273</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(573,828)</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w w:val="85"/>
              </w:rPr>
              <w:t>2002</w:t>
            </w:r>
          </w:p>
        </w:tc>
        <w:tc>
          <w:tcPr>
            <w:tcW w:w="340" w:type="dxa"/>
            <w:vAlign w:val="bottom"/>
          </w:tcPr>
          <w:p>
            <w:pPr>
              <w:jc w:val="right"/>
              <w:ind w:right="105"/>
              <w:spacing w:after="0"/>
              <w:rPr>
                <w:sz w:val="20"/>
                <w:szCs w:val="20"/>
                <w:color w:val="auto"/>
              </w:rPr>
            </w:pPr>
            <w:r>
              <w:rPr>
                <w:rFonts w:ascii="Times New Roman" w:cs="Times New Roman" w:eastAsia="Times New Roman" w:hAnsi="Times New Roman"/>
                <w:sz w:val="7"/>
                <w:szCs w:val="7"/>
                <w:color w:val="auto"/>
                <w:w w:val="99"/>
              </w:rPr>
              <w:t>- 2015</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Phoenix</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3</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17,239</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416,097</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332,714</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11,859</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754,191</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766,050</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(333,416)</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w w:val="85"/>
              </w:rPr>
              <w:t>2006</w:t>
            </w:r>
          </w:p>
        </w:tc>
        <w:tc>
          <w:tcPr>
            <w:tcW w:w="3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7"/>
                <w:szCs w:val="7"/>
                <w:color w:val="auto"/>
                <w:w w:val="99"/>
              </w:rPr>
              <w:t>- 2015</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San Francisco</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4</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41,165</w:t>
            </w:r>
          </w:p>
        </w:tc>
        <w:tc>
          <w:tcPr>
            <w:tcW w:w="120" w:type="dxa"/>
            <w:vAlign w:val="bottom"/>
          </w:tcPr>
          <w:p>
            <w:pPr>
              <w:spacing w:after="0"/>
              <w:rPr>
                <w:sz w:val="7"/>
                <w:szCs w:val="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358,066</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244,015</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41,478</w:t>
            </w:r>
          </w:p>
        </w:tc>
        <w:tc>
          <w:tcPr>
            <w:tcW w:w="12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601,768</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643,246</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(220,149)</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w w:val="85"/>
              </w:rPr>
              <w:t>2004</w:t>
            </w:r>
          </w:p>
        </w:tc>
        <w:tc>
          <w:tcPr>
            <w:tcW w:w="340" w:type="dxa"/>
            <w:vAlign w:val="bottom"/>
          </w:tcPr>
          <w:p>
            <w:pPr>
              <w:jc w:val="right"/>
              <w:ind w:right="105"/>
              <w:spacing w:after="0"/>
              <w:rPr>
                <w:sz w:val="20"/>
                <w:szCs w:val="20"/>
                <w:color w:val="auto"/>
              </w:rPr>
            </w:pPr>
            <w:r>
              <w:rPr>
                <w:rFonts w:ascii="Times New Roman" w:cs="Times New Roman" w:eastAsia="Times New Roman" w:hAnsi="Times New Roman"/>
                <w:sz w:val="7"/>
                <w:szCs w:val="7"/>
                <w:color w:val="auto"/>
                <w:w w:val="99"/>
              </w:rPr>
              <w:t>- 2015</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Seattle</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w:t>
            </w: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135,000</w:t>
            </w: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43,110</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329,283</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5,058</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43,110</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334,341</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377,451</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(24,299)</w:t>
            </w:r>
          </w:p>
        </w:tc>
        <w:tc>
          <w:tcPr>
            <w:tcW w:w="720" w:type="dxa"/>
            <w:vAlign w:val="bottom"/>
            <w:gridSpan w:val="3"/>
            <w:shd w:val="clear" w:color="auto" w:fill="CCEEFF"/>
          </w:tcPr>
          <w:p>
            <w:pPr>
              <w:jc w:val="center"/>
              <w:ind w:left="65"/>
              <w:spacing w:after="0"/>
              <w:rPr>
                <w:sz w:val="20"/>
                <w:szCs w:val="20"/>
                <w:color w:val="auto"/>
              </w:rPr>
            </w:pPr>
            <w:r>
              <w:rPr>
                <w:rFonts w:ascii="Times New Roman" w:cs="Times New Roman" w:eastAsia="Times New Roman" w:hAnsi="Times New Roman"/>
                <w:sz w:val="7"/>
                <w:szCs w:val="7"/>
                <w:color w:val="auto"/>
                <w:w w:val="99"/>
              </w:rPr>
              <w:t>2020</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Boston</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4</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19,255</w:t>
            </w:r>
          </w:p>
        </w:tc>
        <w:tc>
          <w:tcPr>
            <w:tcW w:w="120" w:type="dxa"/>
            <w:vAlign w:val="bottom"/>
          </w:tcPr>
          <w:p>
            <w:pPr>
              <w:spacing w:after="0"/>
              <w:rPr>
                <w:sz w:val="7"/>
                <w:szCs w:val="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259,939</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93,660</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18,029</w:t>
            </w:r>
          </w:p>
        </w:tc>
        <w:tc>
          <w:tcPr>
            <w:tcW w:w="12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354,825</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372,854</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(140,488)</w:t>
            </w:r>
          </w:p>
        </w:tc>
        <w:tc>
          <w:tcPr>
            <w:tcW w:w="720" w:type="dxa"/>
            <w:vAlign w:val="bottom"/>
            <w:gridSpan w:val="3"/>
          </w:tcPr>
          <w:p>
            <w:pPr>
              <w:jc w:val="right"/>
              <w:ind w:right="105"/>
              <w:spacing w:after="0"/>
              <w:rPr>
                <w:sz w:val="20"/>
                <w:szCs w:val="20"/>
                <w:color w:val="auto"/>
              </w:rPr>
            </w:pPr>
            <w:r>
              <w:rPr>
                <w:rFonts w:ascii="Times New Roman" w:cs="Times New Roman" w:eastAsia="Times New Roman" w:hAnsi="Times New Roman"/>
                <w:sz w:val="7"/>
                <w:szCs w:val="7"/>
                <w:color w:val="auto"/>
              </w:rPr>
              <w:t>2006 - 2011</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Toronto</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2</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33,994</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117,540</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216,551</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21,018</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347,067</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368,085</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(30,540)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w w:val="85"/>
              </w:rPr>
              <w:t>2013</w:t>
            </w:r>
          </w:p>
        </w:tc>
        <w:tc>
          <w:tcPr>
            <w:tcW w:w="3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7"/>
                <w:szCs w:val="7"/>
                <w:color w:val="auto"/>
                <w:w w:val="99"/>
              </w:rPr>
              <w:t>- 2017</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Atlanta</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4</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6,537</w:t>
            </w:r>
          </w:p>
        </w:tc>
        <w:tc>
          <w:tcPr>
            <w:tcW w:w="120" w:type="dxa"/>
            <w:vAlign w:val="bottom"/>
          </w:tcPr>
          <w:p>
            <w:pPr>
              <w:spacing w:after="0"/>
              <w:rPr>
                <w:sz w:val="7"/>
                <w:szCs w:val="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264,948</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65,363</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6,552</w:t>
            </w:r>
          </w:p>
        </w:tc>
        <w:tc>
          <w:tcPr>
            <w:tcW w:w="12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330,296</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336,848</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(79,678)</w:t>
            </w:r>
          </w:p>
        </w:tc>
        <w:tc>
          <w:tcPr>
            <w:tcW w:w="720" w:type="dxa"/>
            <w:vAlign w:val="bottom"/>
            <w:gridSpan w:val="3"/>
          </w:tcPr>
          <w:p>
            <w:pPr>
              <w:jc w:val="right"/>
              <w:ind w:right="105"/>
              <w:spacing w:after="0"/>
              <w:rPr>
                <w:sz w:val="20"/>
                <w:szCs w:val="20"/>
                <w:color w:val="auto"/>
              </w:rPr>
            </w:pPr>
            <w:r>
              <w:rPr>
                <w:rFonts w:ascii="Times New Roman" w:cs="Times New Roman" w:eastAsia="Times New Roman" w:hAnsi="Times New Roman"/>
                <w:sz w:val="7"/>
                <w:szCs w:val="7"/>
                <w:color w:val="auto"/>
              </w:rPr>
              <w:t>2011 - 2017</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Los Angeles</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4</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40,627</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126,769</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111,501</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39,933</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238,964</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278,897</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(122,487)</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w w:val="85"/>
              </w:rPr>
              <w:t>2004</w:t>
            </w:r>
          </w:p>
        </w:tc>
        <w:tc>
          <w:tcPr>
            <w:tcW w:w="3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7"/>
                <w:szCs w:val="7"/>
                <w:color w:val="auto"/>
                <w:w w:val="99"/>
              </w:rPr>
              <w:t>- 2015</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Portland</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1,689</w:t>
            </w:r>
          </w:p>
        </w:tc>
        <w:tc>
          <w:tcPr>
            <w:tcW w:w="120" w:type="dxa"/>
            <w:vAlign w:val="bottom"/>
          </w:tcPr>
          <w:p>
            <w:pPr>
              <w:spacing w:after="0"/>
              <w:rPr>
                <w:sz w:val="7"/>
                <w:szCs w:val="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3,131</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235,685</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4,264</w:t>
            </w:r>
          </w:p>
        </w:tc>
        <w:tc>
          <w:tcPr>
            <w:tcW w:w="12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236,241</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240,505</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(33,945)</w:t>
            </w:r>
          </w:p>
        </w:tc>
        <w:tc>
          <w:tcPr>
            <w:tcW w:w="720" w:type="dxa"/>
            <w:vAlign w:val="bottom"/>
            <w:gridSpan w:val="3"/>
          </w:tcPr>
          <w:p>
            <w:pPr>
              <w:jc w:val="right"/>
              <w:ind w:right="105"/>
              <w:spacing w:after="0"/>
              <w:rPr>
                <w:sz w:val="20"/>
                <w:szCs w:val="20"/>
                <w:color w:val="auto"/>
              </w:rPr>
            </w:pPr>
            <w:r>
              <w:rPr>
                <w:rFonts w:ascii="Times New Roman" w:cs="Times New Roman" w:eastAsia="Times New Roman" w:hAnsi="Times New Roman"/>
                <w:sz w:val="7"/>
                <w:szCs w:val="7"/>
                <w:color w:val="auto"/>
              </w:rPr>
              <w:t>2011 - 2015</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Houston</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6</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6,965</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23,492</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148,818</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6,594</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172,681</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179,275</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(91,316)</w:t>
            </w:r>
          </w:p>
        </w:tc>
        <w:tc>
          <w:tcPr>
            <w:tcW w:w="720" w:type="dxa"/>
            <w:vAlign w:val="bottom"/>
            <w:gridSpan w:val="3"/>
            <w:shd w:val="clear" w:color="auto" w:fill="CCEEFF"/>
          </w:tcPr>
          <w:p>
            <w:pPr>
              <w:jc w:val="center"/>
              <w:ind w:left="65"/>
              <w:spacing w:after="0"/>
              <w:rPr>
                <w:sz w:val="20"/>
                <w:szCs w:val="20"/>
                <w:color w:val="auto"/>
              </w:rPr>
            </w:pPr>
            <w:r>
              <w:rPr>
                <w:rFonts w:ascii="Times New Roman" w:cs="Times New Roman" w:eastAsia="Times New Roman" w:hAnsi="Times New Roman"/>
                <w:sz w:val="7"/>
                <w:szCs w:val="7"/>
                <w:color w:val="auto"/>
                <w:w w:val="99"/>
              </w:rPr>
              <w:t>2006</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Austin</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1,177</w:t>
            </w:r>
          </w:p>
        </w:tc>
        <w:tc>
          <w:tcPr>
            <w:tcW w:w="120" w:type="dxa"/>
            <w:vAlign w:val="bottom"/>
          </w:tcPr>
          <w:p>
            <w:pPr>
              <w:spacing w:after="0"/>
              <w:rPr>
                <w:sz w:val="7"/>
                <w:szCs w:val="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4,877</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71,521</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1,177</w:t>
            </w:r>
          </w:p>
        </w:tc>
        <w:tc>
          <w:tcPr>
            <w:tcW w:w="12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76,398</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77,575</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(19,703)</w:t>
            </w:r>
          </w:p>
        </w:tc>
        <w:tc>
          <w:tcPr>
            <w:tcW w:w="720" w:type="dxa"/>
            <w:vAlign w:val="bottom"/>
            <w:gridSpan w:val="3"/>
          </w:tcPr>
          <w:p>
            <w:pPr>
              <w:jc w:val="center"/>
              <w:ind w:left="65"/>
              <w:spacing w:after="0"/>
              <w:rPr>
                <w:sz w:val="20"/>
                <w:szCs w:val="20"/>
                <w:color w:val="auto"/>
              </w:rPr>
            </w:pPr>
            <w:r>
              <w:rPr>
                <w:rFonts w:ascii="Times New Roman" w:cs="Times New Roman" w:eastAsia="Times New Roman" w:hAnsi="Times New Roman"/>
                <w:sz w:val="7"/>
                <w:szCs w:val="7"/>
                <w:color w:val="auto"/>
                <w:w w:val="99"/>
              </w:rPr>
              <w:t>2005</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Miami</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2</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2,964</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29,793</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35,202</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2,964</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64,995</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67,959</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(27,534)</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w w:val="85"/>
              </w:rPr>
              <w:t>2002</w:t>
            </w:r>
          </w:p>
        </w:tc>
        <w:tc>
          <w:tcPr>
            <w:tcW w:w="3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7"/>
                <w:szCs w:val="7"/>
                <w:color w:val="auto"/>
                <w:w w:val="99"/>
              </w:rPr>
              <w:t>- 2015</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Minneapolis-St. Paul</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10,190</w:t>
            </w:r>
          </w:p>
        </w:tc>
        <w:tc>
          <w:tcPr>
            <w:tcW w:w="120" w:type="dxa"/>
            <w:vAlign w:val="bottom"/>
          </w:tcPr>
          <w:p>
            <w:pPr>
              <w:spacing w:after="0"/>
              <w:rPr>
                <w:sz w:val="7"/>
                <w:szCs w:val="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20,054</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3,191</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10,190</w:t>
            </w:r>
          </w:p>
        </w:tc>
        <w:tc>
          <w:tcPr>
            <w:tcW w:w="12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23,245</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33,435</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(6,206)</w:t>
            </w:r>
          </w:p>
        </w:tc>
        <w:tc>
          <w:tcPr>
            <w:tcW w:w="720" w:type="dxa"/>
            <w:vAlign w:val="bottom"/>
            <w:gridSpan w:val="3"/>
          </w:tcPr>
          <w:p>
            <w:pPr>
              <w:jc w:val="center"/>
              <w:ind w:left="65"/>
              <w:spacing w:after="0"/>
              <w:rPr>
                <w:sz w:val="20"/>
                <w:szCs w:val="20"/>
                <w:color w:val="auto"/>
              </w:rPr>
            </w:pPr>
            <w:r>
              <w:rPr>
                <w:rFonts w:ascii="Times New Roman" w:cs="Times New Roman" w:eastAsia="Times New Roman" w:hAnsi="Times New Roman"/>
                <w:sz w:val="7"/>
                <w:szCs w:val="7"/>
                <w:color w:val="auto"/>
                <w:w w:val="99"/>
              </w:rPr>
              <w:t>2013</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Charlotte</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3</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4,117</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13,068</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13,282</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4,118</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26,349</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30,467</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(15,048)</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w w:val="85"/>
              </w:rPr>
              <w:t>2005</w:t>
            </w:r>
          </w:p>
        </w:tc>
        <w:tc>
          <w:tcPr>
            <w:tcW w:w="3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7"/>
                <w:szCs w:val="7"/>
                <w:color w:val="auto"/>
                <w:w w:val="99"/>
              </w:rPr>
              <w:t>- 2015</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Other</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85,339</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85,339</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85,339</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(12,003)</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jc w:val="center"/>
              <w:ind w:right="245"/>
              <w:spacing w:after="0"/>
              <w:rPr>
                <w:sz w:val="20"/>
                <w:szCs w:val="20"/>
                <w:color w:val="auto"/>
              </w:rPr>
            </w:pPr>
            <w:r>
              <w:rPr>
                <w:rFonts w:ascii="Times New Roman" w:cs="Times New Roman" w:eastAsia="Times New Roman" w:hAnsi="Times New Roman"/>
                <w:sz w:val="7"/>
                <w:szCs w:val="7"/>
                <w:color w:val="auto"/>
                <w:w w:val="83"/>
              </w:rPr>
              <w:t>-</w:t>
            </w:r>
          </w:p>
        </w:tc>
      </w:tr>
      <w:tr>
        <w:trPr>
          <w:trHeight w:val="75"/>
        </w:trPr>
        <w:tc>
          <w:tcPr>
            <w:tcW w:w="1700" w:type="dxa"/>
            <w:vAlign w:val="bottom"/>
            <w:tcBorders>
              <w:top w:val="single" w:sz="8" w:color="CCEEFF"/>
            </w:tcBorders>
            <w:gridSpan w:val="4"/>
            <w:shd w:val="clear" w:color="auto" w:fill="CCEEFF"/>
          </w:tcPr>
          <w:p>
            <w:pPr>
              <w:ind w:left="160"/>
              <w:spacing w:after="0" w:line="75" w:lineRule="exact"/>
              <w:rPr>
                <w:sz w:val="20"/>
                <w:szCs w:val="20"/>
                <w:color w:val="auto"/>
              </w:rPr>
            </w:pPr>
            <w:r>
              <w:rPr>
                <w:rFonts w:ascii="Times New Roman" w:cs="Times New Roman" w:eastAsia="Times New Roman" w:hAnsi="Times New Roman"/>
                <w:sz w:val="7"/>
                <w:szCs w:val="7"/>
                <w:b w:val="1"/>
                <w:bCs w:val="1"/>
                <w:color w:val="auto"/>
              </w:rPr>
              <w:t>Total North America</w:t>
            </w:r>
          </w:p>
        </w:tc>
        <w:tc>
          <w:tcPr>
            <w:tcW w:w="480" w:type="dxa"/>
            <w:vAlign w:val="bottom"/>
            <w:tcBorders>
              <w:top w:val="single" w:sz="8" w:color="auto"/>
            </w:tcBorders>
            <w:shd w:val="clear" w:color="auto" w:fill="CCEEFF"/>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125</w:t>
            </w: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239,000</w:t>
            </w: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760,397</w:t>
            </w:r>
          </w:p>
        </w:tc>
        <w:tc>
          <w:tcPr>
            <w:tcW w:w="1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6,731,879</w:t>
            </w: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7,131,621</w:t>
            </w: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line="75"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760,009</w:t>
            </w:r>
          </w:p>
        </w:tc>
        <w:tc>
          <w:tcPr>
            <w:tcW w:w="1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13,863,888</w:t>
            </w:r>
          </w:p>
        </w:tc>
        <w:tc>
          <w:tcPr>
            <w:tcW w:w="1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14,623,897</w:t>
            </w:r>
          </w:p>
        </w:tc>
        <w:tc>
          <w:tcPr>
            <w:tcW w:w="1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(4,301,813)</w:t>
            </w: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r>
      <w:tr>
        <w:trPr>
          <w:trHeight w:val="85"/>
        </w:trPr>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76"/>
        </w:trPr>
        <w:tc>
          <w:tcPr>
            <w:tcW w:w="480" w:type="dxa"/>
            <w:vAlign w:val="bottom"/>
            <w:tcBorders>
              <w:bottom w:val="single" w:sz="8" w:color="auto"/>
            </w:tcBorders>
            <w:gridSpan w:val="2"/>
            <w:shd w:val="clear" w:color="auto" w:fill="CCEEFF"/>
          </w:tcPr>
          <w:p>
            <w:pPr>
              <w:spacing w:after="0" w:line="76" w:lineRule="exact"/>
              <w:rPr>
                <w:sz w:val="20"/>
                <w:szCs w:val="20"/>
                <w:color w:val="auto"/>
              </w:rPr>
            </w:pPr>
            <w:r>
              <w:rPr>
                <w:rFonts w:ascii="Times New Roman" w:cs="Times New Roman" w:eastAsia="Times New Roman" w:hAnsi="Times New Roman"/>
                <w:sz w:val="7"/>
                <w:szCs w:val="7"/>
                <w:b w:val="1"/>
                <w:bCs w:val="1"/>
                <w:color w:val="auto"/>
                <w:w w:val="95"/>
              </w:rPr>
              <w:t>EMEA Markets</w:t>
            </w:r>
          </w:p>
        </w:tc>
        <w:tc>
          <w:tcPr>
            <w:tcW w:w="1220" w:type="dxa"/>
            <w:vAlign w:val="bottom"/>
            <w:tcBorders>
              <w:bottom w:val="single" w:sz="8" w:color="CCEEFF"/>
            </w:tcBorders>
            <w:gridSpan w:val="2"/>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r>
      <w:tr>
        <w:trPr>
          <w:trHeight w:val="75"/>
        </w:trPr>
        <w:tc>
          <w:tcPr>
            <w:tcW w:w="1700" w:type="dxa"/>
            <w:vAlign w:val="bottom"/>
            <w:gridSpan w:val="4"/>
          </w:tcPr>
          <w:p>
            <w:pPr>
              <w:ind w:left="80"/>
              <w:spacing w:after="0" w:line="75" w:lineRule="exact"/>
              <w:rPr>
                <w:sz w:val="20"/>
                <w:szCs w:val="20"/>
                <w:color w:val="auto"/>
              </w:rPr>
            </w:pPr>
            <w:r>
              <w:rPr>
                <w:rFonts w:ascii="Times New Roman" w:cs="Times New Roman" w:eastAsia="Times New Roman" w:hAnsi="Times New Roman"/>
                <w:sz w:val="7"/>
                <w:szCs w:val="7"/>
                <w:color w:val="auto"/>
              </w:rPr>
              <w:t>London</w:t>
            </w:r>
          </w:p>
        </w:tc>
        <w:tc>
          <w:tcPr>
            <w:tcW w:w="480" w:type="dxa"/>
            <w:vAlign w:val="bottom"/>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19</w:t>
            </w:r>
          </w:p>
        </w:tc>
        <w:tc>
          <w:tcPr>
            <w:tcW w:w="100" w:type="dxa"/>
            <w:vAlign w:val="bottom"/>
          </w:tcPr>
          <w:p>
            <w:pPr>
              <w:spacing w:after="0"/>
              <w:rPr>
                <w:sz w:val="6"/>
                <w:szCs w:val="6"/>
                <w:color w:val="auto"/>
              </w:rPr>
            </w:pPr>
          </w:p>
        </w:tc>
        <w:tc>
          <w:tcPr>
            <w:tcW w:w="620" w:type="dxa"/>
            <w:vAlign w:val="bottom"/>
            <w:gridSpan w:val="2"/>
          </w:tcPr>
          <w:p>
            <w:pPr>
              <w:jc w:val="right"/>
              <w:ind w:right="140"/>
              <w:spacing w:after="0" w:line="75"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line="75" w:lineRule="exact"/>
              <w:rPr>
                <w:sz w:val="20"/>
                <w:szCs w:val="20"/>
                <w:color w:val="auto"/>
              </w:rPr>
            </w:pPr>
            <w:r>
              <w:rPr>
                <w:rFonts w:ascii="Times New Roman" w:cs="Times New Roman" w:eastAsia="Times New Roman" w:hAnsi="Times New Roman"/>
                <w:sz w:val="7"/>
                <w:szCs w:val="7"/>
                <w:color w:val="auto"/>
              </w:rPr>
              <w:t>138,063</w:t>
            </w:r>
          </w:p>
        </w:tc>
        <w:tc>
          <w:tcPr>
            <w:tcW w:w="120" w:type="dxa"/>
            <w:vAlign w:val="bottom"/>
          </w:tcPr>
          <w:p>
            <w:pPr>
              <w:spacing w:after="0"/>
              <w:rPr>
                <w:sz w:val="6"/>
                <w:szCs w:val="6"/>
                <w:color w:val="auto"/>
              </w:rPr>
            </w:pPr>
          </w:p>
        </w:tc>
        <w:tc>
          <w:tcPr>
            <w:tcW w:w="480" w:type="dxa"/>
            <w:vAlign w:val="bottom"/>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7,355</w:t>
            </w:r>
          </w:p>
        </w:tc>
        <w:tc>
          <w:tcPr>
            <w:tcW w:w="120" w:type="dxa"/>
            <w:vAlign w:val="bottom"/>
          </w:tcPr>
          <w:p>
            <w:pPr>
              <w:spacing w:after="0"/>
              <w:rPr>
                <w:sz w:val="6"/>
                <w:szCs w:val="6"/>
                <w:color w:val="auto"/>
              </w:rPr>
            </w:pPr>
          </w:p>
        </w:tc>
        <w:tc>
          <w:tcPr>
            <w:tcW w:w="460" w:type="dxa"/>
            <w:vAlign w:val="bottom"/>
          </w:tcPr>
          <w:p>
            <w:pPr>
              <w:jc w:val="right"/>
              <w:spacing w:after="0" w:line="75" w:lineRule="exact"/>
              <w:rPr>
                <w:sz w:val="20"/>
                <w:szCs w:val="20"/>
                <w:color w:val="auto"/>
              </w:rPr>
            </w:pPr>
            <w:r>
              <w:rPr>
                <w:rFonts w:ascii="Times New Roman" w:cs="Times New Roman" w:eastAsia="Times New Roman" w:hAnsi="Times New Roman"/>
                <w:sz w:val="7"/>
                <w:szCs w:val="7"/>
                <w:color w:val="auto"/>
              </w:rPr>
              <w:t>1,527,932</w:t>
            </w:r>
          </w:p>
        </w:tc>
        <w:tc>
          <w:tcPr>
            <w:tcW w:w="120" w:type="dxa"/>
            <w:vAlign w:val="bottom"/>
          </w:tcPr>
          <w:p>
            <w:pPr>
              <w:spacing w:after="0"/>
              <w:rPr>
                <w:sz w:val="6"/>
                <w:szCs w:val="6"/>
                <w:color w:val="auto"/>
              </w:rPr>
            </w:pPr>
          </w:p>
        </w:tc>
        <w:tc>
          <w:tcPr>
            <w:tcW w:w="500" w:type="dxa"/>
            <w:vAlign w:val="bottom"/>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661,636</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gridSpan w:val="2"/>
          </w:tcPr>
          <w:p>
            <w:pPr>
              <w:spacing w:after="0" w:line="75"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line="75" w:lineRule="exact"/>
              <w:rPr>
                <w:sz w:val="20"/>
                <w:szCs w:val="20"/>
                <w:color w:val="auto"/>
              </w:rPr>
            </w:pPr>
            <w:r>
              <w:rPr>
                <w:rFonts w:ascii="Times New Roman" w:cs="Times New Roman" w:eastAsia="Times New Roman" w:hAnsi="Times New Roman"/>
                <w:sz w:val="7"/>
                <w:szCs w:val="7"/>
                <w:color w:val="auto"/>
              </w:rPr>
              <w:t>82,673</w:t>
            </w:r>
          </w:p>
        </w:tc>
        <w:tc>
          <w:tcPr>
            <w:tcW w:w="120" w:type="dxa"/>
            <w:vAlign w:val="bottom"/>
          </w:tcPr>
          <w:p>
            <w:pPr>
              <w:spacing w:after="0"/>
              <w:rPr>
                <w:sz w:val="6"/>
                <w:szCs w:val="6"/>
                <w:color w:val="auto"/>
              </w:rPr>
            </w:pPr>
          </w:p>
        </w:tc>
        <w:tc>
          <w:tcPr>
            <w:tcW w:w="480" w:type="dxa"/>
            <w:vAlign w:val="bottom"/>
          </w:tcPr>
          <w:p>
            <w:pPr>
              <w:jc w:val="right"/>
              <w:spacing w:after="0" w:line="75" w:lineRule="exact"/>
              <w:rPr>
                <w:sz w:val="20"/>
                <w:szCs w:val="20"/>
                <w:color w:val="auto"/>
              </w:rPr>
            </w:pPr>
            <w:r>
              <w:rPr>
                <w:rFonts w:ascii="Times New Roman" w:cs="Times New Roman" w:eastAsia="Times New Roman" w:hAnsi="Times New Roman"/>
                <w:sz w:val="7"/>
                <w:szCs w:val="7"/>
                <w:color w:val="auto"/>
              </w:rPr>
              <w:t>6,695</w:t>
            </w:r>
          </w:p>
        </w:tc>
        <w:tc>
          <w:tcPr>
            <w:tcW w:w="120" w:type="dxa"/>
            <w:vAlign w:val="bottom"/>
          </w:tcPr>
          <w:p>
            <w:pPr>
              <w:spacing w:after="0"/>
              <w:rPr>
                <w:sz w:val="6"/>
                <w:szCs w:val="6"/>
                <w:color w:val="auto"/>
              </w:rPr>
            </w:pPr>
          </w:p>
        </w:tc>
        <w:tc>
          <w:tcPr>
            <w:tcW w:w="480" w:type="dxa"/>
            <w:vAlign w:val="bottom"/>
          </w:tcPr>
          <w:p>
            <w:pPr>
              <w:jc w:val="right"/>
              <w:spacing w:after="0" w:line="75" w:lineRule="exact"/>
              <w:rPr>
                <w:sz w:val="20"/>
                <w:szCs w:val="20"/>
                <w:color w:val="auto"/>
              </w:rPr>
            </w:pPr>
            <w:r>
              <w:rPr>
                <w:rFonts w:ascii="Times New Roman" w:cs="Times New Roman" w:eastAsia="Times New Roman" w:hAnsi="Times New Roman"/>
                <w:sz w:val="7"/>
                <w:szCs w:val="7"/>
                <w:color w:val="auto"/>
              </w:rPr>
              <w:t>2,245,618</w:t>
            </w:r>
          </w:p>
        </w:tc>
        <w:tc>
          <w:tcPr>
            <w:tcW w:w="120" w:type="dxa"/>
            <w:vAlign w:val="bottom"/>
          </w:tcPr>
          <w:p>
            <w:pPr>
              <w:spacing w:after="0"/>
              <w:rPr>
                <w:sz w:val="6"/>
                <w:szCs w:val="6"/>
                <w:color w:val="auto"/>
              </w:rPr>
            </w:pPr>
          </w:p>
        </w:tc>
        <w:tc>
          <w:tcPr>
            <w:tcW w:w="480" w:type="dxa"/>
            <w:vAlign w:val="bottom"/>
          </w:tcPr>
          <w:p>
            <w:pPr>
              <w:jc w:val="right"/>
              <w:spacing w:after="0" w:line="75" w:lineRule="exact"/>
              <w:rPr>
                <w:sz w:val="20"/>
                <w:szCs w:val="20"/>
                <w:color w:val="auto"/>
              </w:rPr>
            </w:pPr>
            <w:r>
              <w:rPr>
                <w:rFonts w:ascii="Times New Roman" w:cs="Times New Roman" w:eastAsia="Times New Roman" w:hAnsi="Times New Roman"/>
                <w:sz w:val="7"/>
                <w:szCs w:val="7"/>
                <w:color w:val="auto"/>
              </w:rPr>
              <w:t>2,334,986</w:t>
            </w:r>
          </w:p>
        </w:tc>
        <w:tc>
          <w:tcPr>
            <w:tcW w:w="120" w:type="dxa"/>
            <w:vAlign w:val="bottom"/>
          </w:tcPr>
          <w:p>
            <w:pPr>
              <w:spacing w:after="0"/>
              <w:rPr>
                <w:sz w:val="6"/>
                <w:szCs w:val="6"/>
                <w:color w:val="auto"/>
              </w:rPr>
            </w:pPr>
          </w:p>
        </w:tc>
        <w:tc>
          <w:tcPr>
            <w:tcW w:w="500" w:type="dxa"/>
            <w:vAlign w:val="bottom"/>
            <w:gridSpan w:val="2"/>
          </w:tcPr>
          <w:p>
            <w:pPr>
              <w:jc w:val="right"/>
              <w:ind w:right="20"/>
              <w:spacing w:after="0" w:line="75" w:lineRule="exact"/>
              <w:rPr>
                <w:sz w:val="20"/>
                <w:szCs w:val="20"/>
                <w:color w:val="auto"/>
              </w:rPr>
            </w:pPr>
            <w:r>
              <w:rPr>
                <w:rFonts w:ascii="Times New Roman" w:cs="Times New Roman" w:eastAsia="Times New Roman" w:hAnsi="Times New Roman"/>
                <w:sz w:val="7"/>
                <w:szCs w:val="7"/>
                <w:color w:val="auto"/>
              </w:rPr>
              <w:t>(574,308)</w:t>
            </w:r>
          </w:p>
        </w:tc>
        <w:tc>
          <w:tcPr>
            <w:tcW w:w="380" w:type="dxa"/>
            <w:vAlign w:val="bottom"/>
            <w:gridSpan w:val="2"/>
          </w:tcPr>
          <w:p>
            <w:pPr>
              <w:ind w:left="240"/>
              <w:spacing w:after="0" w:line="75" w:lineRule="exact"/>
              <w:rPr>
                <w:sz w:val="20"/>
                <w:szCs w:val="20"/>
                <w:color w:val="auto"/>
              </w:rPr>
            </w:pPr>
            <w:r>
              <w:rPr>
                <w:rFonts w:ascii="Times New Roman" w:cs="Times New Roman" w:eastAsia="Times New Roman" w:hAnsi="Times New Roman"/>
                <w:sz w:val="7"/>
                <w:szCs w:val="7"/>
                <w:color w:val="auto"/>
                <w:w w:val="85"/>
              </w:rPr>
              <w:t>2007</w:t>
            </w:r>
          </w:p>
        </w:tc>
        <w:tc>
          <w:tcPr>
            <w:tcW w:w="340" w:type="dxa"/>
            <w:vAlign w:val="bottom"/>
          </w:tcPr>
          <w:p>
            <w:pPr>
              <w:jc w:val="right"/>
              <w:ind w:right="105"/>
              <w:spacing w:after="0" w:line="75" w:lineRule="exact"/>
              <w:rPr>
                <w:sz w:val="20"/>
                <w:szCs w:val="20"/>
                <w:color w:val="auto"/>
              </w:rPr>
            </w:pPr>
            <w:r>
              <w:rPr>
                <w:rFonts w:ascii="Times New Roman" w:cs="Times New Roman" w:eastAsia="Times New Roman" w:hAnsi="Times New Roman"/>
                <w:sz w:val="7"/>
                <w:szCs w:val="7"/>
                <w:color w:val="auto"/>
                <w:w w:val="99"/>
              </w:rPr>
              <w:t>- 2020</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Amsterdam</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17</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40,709</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3,518</w:t>
            </w: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1,001,157</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335,317</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64,074</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3,512</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1,313,115</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1,380,701</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(156,730)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w w:val="85"/>
              </w:rPr>
              <w:t>2005</w:t>
            </w:r>
          </w:p>
        </w:tc>
        <w:tc>
          <w:tcPr>
            <w:tcW w:w="3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7"/>
                <w:szCs w:val="7"/>
                <w:color w:val="auto"/>
                <w:w w:val="99"/>
              </w:rPr>
              <w:t>- 2020</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Frankfurt</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21</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34,621</w:t>
            </w:r>
          </w:p>
        </w:tc>
        <w:tc>
          <w:tcPr>
            <w:tcW w:w="120" w:type="dxa"/>
            <w:vAlign w:val="bottom"/>
          </w:tcPr>
          <w:p>
            <w:pPr>
              <w:spacing w:after="0"/>
              <w:rPr>
                <w:sz w:val="7"/>
                <w:szCs w:val="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1,032,780</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496,372</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38,085</w:t>
            </w:r>
          </w:p>
        </w:tc>
        <w:tc>
          <w:tcPr>
            <w:tcW w:w="12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1,525,688</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1,563,773</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(58,427)</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w w:val="85"/>
              </w:rPr>
              <w:t>2015</w:t>
            </w:r>
          </w:p>
        </w:tc>
        <w:tc>
          <w:tcPr>
            <w:tcW w:w="340" w:type="dxa"/>
            <w:vAlign w:val="bottom"/>
          </w:tcPr>
          <w:p>
            <w:pPr>
              <w:jc w:val="right"/>
              <w:ind w:right="105"/>
              <w:spacing w:after="0"/>
              <w:rPr>
                <w:sz w:val="20"/>
                <w:szCs w:val="20"/>
                <w:color w:val="auto"/>
              </w:rPr>
            </w:pPr>
            <w:r>
              <w:rPr>
                <w:rFonts w:ascii="Times New Roman" w:cs="Times New Roman" w:eastAsia="Times New Roman" w:hAnsi="Times New Roman"/>
                <w:sz w:val="7"/>
                <w:szCs w:val="7"/>
                <w:color w:val="auto"/>
                <w:w w:val="99"/>
              </w:rPr>
              <w:t>- 2020</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Dublin</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8</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11,722</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1,444</w:t>
            </w: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136,827</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181,109</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8,538</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101</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322,463</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331,102</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(108,544)</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w w:val="85"/>
              </w:rPr>
              <w:t>2006</w:t>
            </w:r>
          </w:p>
        </w:tc>
        <w:tc>
          <w:tcPr>
            <w:tcW w:w="3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7"/>
                <w:szCs w:val="7"/>
                <w:color w:val="auto"/>
                <w:w w:val="99"/>
              </w:rPr>
              <w:t>- 2020</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Paris</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12</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69,350</w:t>
            </w:r>
          </w:p>
        </w:tc>
        <w:tc>
          <w:tcPr>
            <w:tcW w:w="120" w:type="dxa"/>
            <w:vAlign w:val="bottom"/>
          </w:tcPr>
          <w:p>
            <w:pPr>
              <w:spacing w:after="0"/>
              <w:rPr>
                <w:sz w:val="7"/>
                <w:szCs w:val="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277,141</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163,419</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70,354</w:t>
            </w:r>
          </w:p>
        </w:tc>
        <w:tc>
          <w:tcPr>
            <w:tcW w:w="12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439,556</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509,910</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(27,337)</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w w:val="85"/>
              </w:rPr>
              <w:t>2012</w:t>
            </w:r>
          </w:p>
        </w:tc>
        <w:tc>
          <w:tcPr>
            <w:tcW w:w="340" w:type="dxa"/>
            <w:vAlign w:val="bottom"/>
          </w:tcPr>
          <w:p>
            <w:pPr>
              <w:jc w:val="right"/>
              <w:ind w:right="105"/>
              <w:spacing w:after="0"/>
              <w:rPr>
                <w:sz w:val="20"/>
                <w:szCs w:val="20"/>
                <w:color w:val="auto"/>
              </w:rPr>
            </w:pPr>
            <w:r>
              <w:rPr>
                <w:rFonts w:ascii="Times New Roman" w:cs="Times New Roman" w:eastAsia="Times New Roman" w:hAnsi="Times New Roman"/>
                <w:sz w:val="7"/>
                <w:szCs w:val="7"/>
                <w:color w:val="auto"/>
                <w:w w:val="99"/>
              </w:rPr>
              <w:t>- 2020</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Marseille</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4</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1,105</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314,106</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26,035</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1,196</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340,050</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341,246</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(10,549)</w:t>
            </w:r>
          </w:p>
        </w:tc>
        <w:tc>
          <w:tcPr>
            <w:tcW w:w="720" w:type="dxa"/>
            <w:vAlign w:val="bottom"/>
            <w:gridSpan w:val="3"/>
            <w:shd w:val="clear" w:color="auto" w:fill="CCEEFF"/>
          </w:tcPr>
          <w:p>
            <w:pPr>
              <w:jc w:val="center"/>
              <w:ind w:left="65"/>
              <w:spacing w:after="0"/>
              <w:rPr>
                <w:sz w:val="20"/>
                <w:szCs w:val="20"/>
                <w:color w:val="auto"/>
              </w:rPr>
            </w:pPr>
            <w:r>
              <w:rPr>
                <w:rFonts w:ascii="Times New Roman" w:cs="Times New Roman" w:eastAsia="Times New Roman" w:hAnsi="Times New Roman"/>
                <w:sz w:val="7"/>
                <w:szCs w:val="7"/>
                <w:color w:val="auto"/>
                <w:w w:val="99"/>
              </w:rPr>
              <w:t>2020</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Vienna</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14,159</w:t>
            </w:r>
          </w:p>
        </w:tc>
        <w:tc>
          <w:tcPr>
            <w:tcW w:w="120" w:type="dxa"/>
            <w:vAlign w:val="bottom"/>
          </w:tcPr>
          <w:p>
            <w:pPr>
              <w:spacing w:after="0"/>
              <w:rPr>
                <w:sz w:val="7"/>
                <w:szCs w:val="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363,062</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12,698</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14,502</w:t>
            </w:r>
          </w:p>
        </w:tc>
        <w:tc>
          <w:tcPr>
            <w:tcW w:w="12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375,417</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389,919</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(13,888)</w:t>
            </w:r>
          </w:p>
        </w:tc>
        <w:tc>
          <w:tcPr>
            <w:tcW w:w="720" w:type="dxa"/>
            <w:vAlign w:val="bottom"/>
            <w:gridSpan w:val="3"/>
          </w:tcPr>
          <w:p>
            <w:pPr>
              <w:jc w:val="center"/>
              <w:ind w:left="65"/>
              <w:spacing w:after="0"/>
              <w:rPr>
                <w:sz w:val="20"/>
                <w:szCs w:val="20"/>
                <w:color w:val="auto"/>
              </w:rPr>
            </w:pPr>
            <w:r>
              <w:rPr>
                <w:rFonts w:ascii="Times New Roman" w:cs="Times New Roman" w:eastAsia="Times New Roman" w:hAnsi="Times New Roman"/>
                <w:sz w:val="7"/>
                <w:szCs w:val="7"/>
                <w:color w:val="auto"/>
                <w:w w:val="99"/>
              </w:rPr>
              <w:t>2020</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Zurich</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3</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20,605</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34,934</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127,385</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22,307</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160,617</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182,924</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(3,427)</w:t>
            </w:r>
          </w:p>
        </w:tc>
        <w:tc>
          <w:tcPr>
            <w:tcW w:w="720" w:type="dxa"/>
            <w:vAlign w:val="bottom"/>
            <w:gridSpan w:val="3"/>
            <w:shd w:val="clear" w:color="auto" w:fill="CCEEFF"/>
          </w:tcPr>
          <w:p>
            <w:pPr>
              <w:jc w:val="center"/>
              <w:ind w:left="65"/>
              <w:spacing w:after="0"/>
              <w:rPr>
                <w:sz w:val="20"/>
                <w:szCs w:val="20"/>
                <w:color w:val="auto"/>
              </w:rPr>
            </w:pPr>
            <w:r>
              <w:rPr>
                <w:rFonts w:ascii="Times New Roman" w:cs="Times New Roman" w:eastAsia="Times New Roman" w:hAnsi="Times New Roman"/>
                <w:sz w:val="7"/>
                <w:szCs w:val="7"/>
                <w:color w:val="auto"/>
                <w:w w:val="99"/>
              </w:rPr>
              <w:t>2020</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Stockholm</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6</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101,470</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8,378</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109,848</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109,848</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(7,021)</w:t>
            </w:r>
          </w:p>
        </w:tc>
        <w:tc>
          <w:tcPr>
            <w:tcW w:w="720" w:type="dxa"/>
            <w:vAlign w:val="bottom"/>
            <w:gridSpan w:val="3"/>
          </w:tcPr>
          <w:p>
            <w:pPr>
              <w:jc w:val="center"/>
              <w:ind w:left="65"/>
              <w:spacing w:after="0"/>
              <w:rPr>
                <w:sz w:val="20"/>
                <w:szCs w:val="20"/>
                <w:color w:val="auto"/>
              </w:rPr>
            </w:pPr>
            <w:r>
              <w:rPr>
                <w:rFonts w:ascii="Times New Roman" w:cs="Times New Roman" w:eastAsia="Times New Roman" w:hAnsi="Times New Roman"/>
                <w:sz w:val="7"/>
                <w:szCs w:val="7"/>
                <w:color w:val="auto"/>
                <w:w w:val="99"/>
              </w:rPr>
              <w:t>2020</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Madrid</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3</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8,456</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132,011</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9,691</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8,662</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141,496</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150,158</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(4,769)</w:t>
            </w:r>
          </w:p>
        </w:tc>
        <w:tc>
          <w:tcPr>
            <w:tcW w:w="720" w:type="dxa"/>
            <w:vAlign w:val="bottom"/>
            <w:gridSpan w:val="3"/>
            <w:shd w:val="clear" w:color="auto" w:fill="CCEEFF"/>
          </w:tcPr>
          <w:p>
            <w:pPr>
              <w:jc w:val="center"/>
              <w:ind w:left="65"/>
              <w:spacing w:after="0"/>
              <w:rPr>
                <w:sz w:val="20"/>
                <w:szCs w:val="20"/>
                <w:color w:val="auto"/>
              </w:rPr>
            </w:pPr>
            <w:r>
              <w:rPr>
                <w:rFonts w:ascii="Times New Roman" w:cs="Times New Roman" w:eastAsia="Times New Roman" w:hAnsi="Times New Roman"/>
                <w:sz w:val="7"/>
                <w:szCs w:val="7"/>
                <w:color w:val="auto"/>
                <w:w w:val="99"/>
              </w:rPr>
              <w:t>2020</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Copenhagen</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3</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11,665</w:t>
            </w:r>
          </w:p>
        </w:tc>
        <w:tc>
          <w:tcPr>
            <w:tcW w:w="120" w:type="dxa"/>
            <w:vAlign w:val="bottom"/>
          </w:tcPr>
          <w:p>
            <w:pPr>
              <w:spacing w:after="0"/>
              <w:rPr>
                <w:sz w:val="7"/>
                <w:szCs w:val="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110,925</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4,991</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11,956</w:t>
            </w:r>
          </w:p>
        </w:tc>
        <w:tc>
          <w:tcPr>
            <w:tcW w:w="12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115,625</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127,581</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(4,039)</w:t>
            </w:r>
          </w:p>
        </w:tc>
        <w:tc>
          <w:tcPr>
            <w:tcW w:w="720" w:type="dxa"/>
            <w:vAlign w:val="bottom"/>
            <w:gridSpan w:val="3"/>
          </w:tcPr>
          <w:p>
            <w:pPr>
              <w:jc w:val="center"/>
              <w:ind w:left="65"/>
              <w:spacing w:after="0"/>
              <w:rPr>
                <w:sz w:val="20"/>
                <w:szCs w:val="20"/>
                <w:color w:val="auto"/>
              </w:rPr>
            </w:pPr>
            <w:r>
              <w:rPr>
                <w:rFonts w:ascii="Times New Roman" w:cs="Times New Roman" w:eastAsia="Times New Roman" w:hAnsi="Times New Roman"/>
                <w:sz w:val="7"/>
                <w:szCs w:val="7"/>
                <w:color w:val="auto"/>
                <w:w w:val="99"/>
              </w:rPr>
              <w:t>2020</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Brussels</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2</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3,874</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119,077</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6,217</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3,968</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125,200</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129,168</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(3,808)</w:t>
            </w:r>
          </w:p>
        </w:tc>
        <w:tc>
          <w:tcPr>
            <w:tcW w:w="720" w:type="dxa"/>
            <w:vAlign w:val="bottom"/>
            <w:gridSpan w:val="3"/>
            <w:shd w:val="clear" w:color="auto" w:fill="CCEEFF"/>
          </w:tcPr>
          <w:p>
            <w:pPr>
              <w:jc w:val="center"/>
              <w:ind w:left="65"/>
              <w:spacing w:after="0"/>
              <w:rPr>
                <w:sz w:val="20"/>
                <w:szCs w:val="20"/>
                <w:color w:val="auto"/>
              </w:rPr>
            </w:pPr>
            <w:r>
              <w:rPr>
                <w:rFonts w:ascii="Times New Roman" w:cs="Times New Roman" w:eastAsia="Times New Roman" w:hAnsi="Times New Roman"/>
                <w:sz w:val="7"/>
                <w:szCs w:val="7"/>
                <w:color w:val="auto"/>
                <w:w w:val="99"/>
              </w:rPr>
              <w:t>2020</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Dusseldorf</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36,303</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2,998</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39,301</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39,301</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(1,710)</w:t>
            </w:r>
          </w:p>
        </w:tc>
        <w:tc>
          <w:tcPr>
            <w:tcW w:w="720" w:type="dxa"/>
            <w:vAlign w:val="bottom"/>
            <w:gridSpan w:val="3"/>
          </w:tcPr>
          <w:p>
            <w:pPr>
              <w:jc w:val="center"/>
              <w:ind w:left="65"/>
              <w:spacing w:after="0"/>
              <w:rPr>
                <w:sz w:val="20"/>
                <w:szCs w:val="20"/>
                <w:color w:val="auto"/>
              </w:rPr>
            </w:pPr>
            <w:r>
              <w:rPr>
                <w:rFonts w:ascii="Times New Roman" w:cs="Times New Roman" w:eastAsia="Times New Roman" w:hAnsi="Times New Roman"/>
                <w:sz w:val="7"/>
                <w:szCs w:val="7"/>
                <w:color w:val="auto"/>
                <w:w w:val="99"/>
              </w:rPr>
              <w:t>2020</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Geneva</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20,071</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716</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20,787</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20,787</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(9,869)</w:t>
            </w:r>
          </w:p>
        </w:tc>
        <w:tc>
          <w:tcPr>
            <w:tcW w:w="720" w:type="dxa"/>
            <w:vAlign w:val="bottom"/>
            <w:gridSpan w:val="3"/>
            <w:shd w:val="clear" w:color="auto" w:fill="CCEEFF"/>
          </w:tcPr>
          <w:p>
            <w:pPr>
              <w:jc w:val="center"/>
              <w:ind w:left="65"/>
              <w:spacing w:after="0"/>
              <w:rPr>
                <w:sz w:val="20"/>
                <w:szCs w:val="20"/>
                <w:color w:val="auto"/>
              </w:rPr>
            </w:pPr>
            <w:r>
              <w:rPr>
                <w:rFonts w:ascii="Times New Roman" w:cs="Times New Roman" w:eastAsia="Times New Roman" w:hAnsi="Times New Roman"/>
                <w:sz w:val="7"/>
                <w:szCs w:val="7"/>
                <w:color w:val="auto"/>
                <w:w w:val="99"/>
              </w:rPr>
              <w:t>2005</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Manchester</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23,918</w:t>
            </w:r>
          </w:p>
        </w:tc>
        <w:tc>
          <w:tcPr>
            <w:tcW w:w="120" w:type="dxa"/>
            <w:vAlign w:val="bottom"/>
          </w:tcPr>
          <w:p>
            <w:pPr>
              <w:spacing w:after="0"/>
              <w:rPr>
                <w:sz w:val="7"/>
                <w:szCs w:val="7"/>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7"/>
                <w:szCs w:val="7"/>
                <w:color w:val="auto"/>
              </w:rPr>
              <w:t>(7,029)</w:t>
            </w: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16,889</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16,889</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(6,063)</w:t>
            </w:r>
          </w:p>
        </w:tc>
        <w:tc>
          <w:tcPr>
            <w:tcW w:w="720" w:type="dxa"/>
            <w:vAlign w:val="bottom"/>
            <w:gridSpan w:val="3"/>
          </w:tcPr>
          <w:p>
            <w:pPr>
              <w:jc w:val="center"/>
              <w:ind w:left="65"/>
              <w:spacing w:after="0"/>
              <w:rPr>
                <w:sz w:val="20"/>
                <w:szCs w:val="20"/>
                <w:color w:val="auto"/>
              </w:rPr>
            </w:pPr>
            <w:r>
              <w:rPr>
                <w:rFonts w:ascii="Times New Roman" w:cs="Times New Roman" w:eastAsia="Times New Roman" w:hAnsi="Times New Roman"/>
                <w:sz w:val="7"/>
                <w:szCs w:val="7"/>
                <w:color w:val="auto"/>
                <w:w w:val="99"/>
              </w:rPr>
              <w:t>2008</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Other metros</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6</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3,144</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43,046</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17,695</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3,925</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59,960</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63,885</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(3,140)</w:t>
            </w:r>
          </w:p>
        </w:tc>
        <w:tc>
          <w:tcPr>
            <w:tcW w:w="720" w:type="dxa"/>
            <w:vAlign w:val="bottom"/>
            <w:gridSpan w:val="3"/>
            <w:shd w:val="clear" w:color="auto" w:fill="CCEEFF"/>
          </w:tcPr>
          <w:p>
            <w:pPr>
              <w:jc w:val="center"/>
              <w:ind w:left="65"/>
              <w:spacing w:after="0"/>
              <w:rPr>
                <w:sz w:val="20"/>
                <w:szCs w:val="20"/>
                <w:color w:val="auto"/>
              </w:rPr>
            </w:pPr>
            <w:r>
              <w:rPr>
                <w:rFonts w:ascii="Times New Roman" w:cs="Times New Roman" w:eastAsia="Times New Roman" w:hAnsi="Times New Roman"/>
                <w:sz w:val="7"/>
                <w:szCs w:val="7"/>
                <w:color w:val="auto"/>
                <w:w w:val="99"/>
              </w:rPr>
              <w:t>2020</w:t>
            </w:r>
          </w:p>
        </w:tc>
      </w:tr>
      <w:tr>
        <w:trPr>
          <w:trHeight w:val="75"/>
        </w:trPr>
        <w:tc>
          <w:tcPr>
            <w:tcW w:w="1700" w:type="dxa"/>
            <w:vAlign w:val="bottom"/>
            <w:gridSpan w:val="4"/>
          </w:tcPr>
          <w:p>
            <w:pPr>
              <w:ind w:left="160"/>
              <w:spacing w:after="0" w:line="75" w:lineRule="exact"/>
              <w:rPr>
                <w:sz w:val="20"/>
                <w:szCs w:val="20"/>
                <w:color w:val="auto"/>
              </w:rPr>
            </w:pPr>
            <w:r>
              <w:rPr>
                <w:rFonts w:ascii="Times New Roman" w:cs="Times New Roman" w:eastAsia="Times New Roman" w:hAnsi="Times New Roman"/>
                <w:sz w:val="7"/>
                <w:szCs w:val="7"/>
                <w:b w:val="1"/>
                <w:bCs w:val="1"/>
                <w:color w:val="auto"/>
              </w:rPr>
              <w:t>Total EMEA</w:t>
            </w:r>
          </w:p>
        </w:tc>
        <w:tc>
          <w:tcPr>
            <w:tcW w:w="480" w:type="dxa"/>
            <w:vAlign w:val="bottom"/>
            <w:tcBorders>
              <w:top w:val="single" w:sz="8" w:color="auto"/>
            </w:tcBorders>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110</w:t>
            </w:r>
          </w:p>
        </w:tc>
        <w:tc>
          <w:tcPr>
            <w:tcW w:w="100" w:type="dxa"/>
            <w:vAlign w:val="bottom"/>
          </w:tcPr>
          <w:p>
            <w:pPr>
              <w:spacing w:after="0"/>
              <w:rPr>
                <w:sz w:val="6"/>
                <w:szCs w:val="6"/>
                <w:color w:val="auto"/>
              </w:rPr>
            </w:pPr>
          </w:p>
        </w:tc>
        <w:tc>
          <w:tcPr>
            <w:tcW w:w="500" w:type="dxa"/>
            <w:vAlign w:val="bottom"/>
            <w:tcBorders>
              <w:top w:val="single" w:sz="8" w:color="auto"/>
            </w:tcBorders>
          </w:tcPr>
          <w:p>
            <w:pPr>
              <w:jc w:val="right"/>
              <w:spacing w:after="0" w:line="75"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6"/>
                <w:szCs w:val="6"/>
                <w:color w:val="auto"/>
              </w:rPr>
            </w:pPr>
          </w:p>
        </w:tc>
        <w:tc>
          <w:tcPr>
            <w:tcW w:w="460" w:type="dxa"/>
            <w:vAlign w:val="bottom"/>
            <w:tcBorders>
              <w:top w:val="single" w:sz="8" w:color="auto"/>
            </w:tcBorders>
          </w:tcPr>
          <w:p>
            <w:pPr>
              <w:jc w:val="right"/>
              <w:spacing w:after="0" w:line="75" w:lineRule="exact"/>
              <w:rPr>
                <w:sz w:val="20"/>
                <w:szCs w:val="20"/>
                <w:color w:val="auto"/>
              </w:rPr>
            </w:pPr>
            <w:r>
              <w:rPr>
                <w:rFonts w:ascii="Times New Roman" w:cs="Times New Roman" w:eastAsia="Times New Roman" w:hAnsi="Times New Roman"/>
                <w:sz w:val="7"/>
                <w:szCs w:val="7"/>
                <w:color w:val="auto"/>
              </w:rPr>
              <w:t>357,473</w:t>
            </w:r>
          </w:p>
        </w:tc>
        <w:tc>
          <w:tcPr>
            <w:tcW w:w="120" w:type="dxa"/>
            <w:vAlign w:val="bottom"/>
          </w:tcPr>
          <w:p>
            <w:pPr>
              <w:spacing w:after="0"/>
              <w:rPr>
                <w:sz w:val="6"/>
                <w:szCs w:val="6"/>
                <w:color w:val="auto"/>
              </w:rPr>
            </w:pPr>
          </w:p>
        </w:tc>
        <w:tc>
          <w:tcPr>
            <w:tcW w:w="480" w:type="dxa"/>
            <w:vAlign w:val="bottom"/>
            <w:tcBorders>
              <w:top w:val="single" w:sz="8" w:color="auto"/>
            </w:tcBorders>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12,317</w:t>
            </w:r>
          </w:p>
        </w:tc>
        <w:tc>
          <w:tcPr>
            <w:tcW w:w="120" w:type="dxa"/>
            <w:vAlign w:val="bottom"/>
          </w:tcPr>
          <w:p>
            <w:pPr>
              <w:spacing w:after="0"/>
              <w:rPr>
                <w:sz w:val="6"/>
                <w:szCs w:val="6"/>
                <w:color w:val="auto"/>
              </w:rPr>
            </w:pPr>
          </w:p>
        </w:tc>
        <w:tc>
          <w:tcPr>
            <w:tcW w:w="460" w:type="dxa"/>
            <w:vAlign w:val="bottom"/>
            <w:tcBorders>
              <w:top w:val="single" w:sz="8" w:color="auto"/>
            </w:tcBorders>
          </w:tcPr>
          <w:p>
            <w:pPr>
              <w:jc w:val="right"/>
              <w:spacing w:after="0" w:line="75" w:lineRule="exact"/>
              <w:rPr>
                <w:sz w:val="20"/>
                <w:szCs w:val="20"/>
                <w:color w:val="auto"/>
              </w:rPr>
            </w:pPr>
            <w:r>
              <w:rPr>
                <w:rFonts w:ascii="Times New Roman" w:cs="Times New Roman" w:eastAsia="Times New Roman" w:hAnsi="Times New Roman"/>
                <w:sz w:val="7"/>
                <w:szCs w:val="7"/>
                <w:color w:val="auto"/>
              </w:rPr>
              <w:t>5,274,760</w:t>
            </w:r>
          </w:p>
        </w:tc>
        <w:tc>
          <w:tcPr>
            <w:tcW w:w="120" w:type="dxa"/>
            <w:vAlign w:val="bottom"/>
          </w:tcPr>
          <w:p>
            <w:pPr>
              <w:spacing w:after="0"/>
              <w:rPr>
                <w:sz w:val="6"/>
                <w:szCs w:val="6"/>
                <w:color w:val="auto"/>
              </w:rPr>
            </w:pPr>
          </w:p>
        </w:tc>
        <w:tc>
          <w:tcPr>
            <w:tcW w:w="500" w:type="dxa"/>
            <w:vAlign w:val="bottom"/>
            <w:tcBorders>
              <w:top w:val="single" w:sz="8" w:color="auto"/>
            </w:tcBorders>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2,047,628</w:t>
            </w:r>
          </w:p>
        </w:tc>
        <w:tc>
          <w:tcPr>
            <w:tcW w:w="10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line="75"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6"/>
                <w:szCs w:val="6"/>
                <w:color w:val="auto"/>
              </w:rPr>
            </w:pPr>
          </w:p>
        </w:tc>
        <w:tc>
          <w:tcPr>
            <w:tcW w:w="480" w:type="dxa"/>
            <w:vAlign w:val="bottom"/>
            <w:tcBorders>
              <w:top w:val="single" w:sz="8" w:color="auto"/>
            </w:tcBorders>
          </w:tcPr>
          <w:p>
            <w:pPr>
              <w:jc w:val="right"/>
              <w:spacing w:after="0" w:line="75" w:lineRule="exact"/>
              <w:rPr>
                <w:sz w:val="20"/>
                <w:szCs w:val="20"/>
                <w:color w:val="auto"/>
              </w:rPr>
            </w:pPr>
            <w:r>
              <w:rPr>
                <w:rFonts w:ascii="Times New Roman" w:cs="Times New Roman" w:eastAsia="Times New Roman" w:hAnsi="Times New Roman"/>
                <w:sz w:val="7"/>
                <w:szCs w:val="7"/>
                <w:color w:val="auto"/>
              </w:rPr>
              <w:t>330,240</w:t>
            </w:r>
          </w:p>
        </w:tc>
        <w:tc>
          <w:tcPr>
            <w:tcW w:w="120" w:type="dxa"/>
            <w:vAlign w:val="bottom"/>
          </w:tcPr>
          <w:p>
            <w:pPr>
              <w:spacing w:after="0"/>
              <w:rPr>
                <w:sz w:val="6"/>
                <w:szCs w:val="6"/>
                <w:color w:val="auto"/>
              </w:rPr>
            </w:pPr>
          </w:p>
        </w:tc>
        <w:tc>
          <w:tcPr>
            <w:tcW w:w="480" w:type="dxa"/>
            <w:vAlign w:val="bottom"/>
            <w:tcBorders>
              <w:top w:val="single" w:sz="8" w:color="auto"/>
            </w:tcBorders>
          </w:tcPr>
          <w:p>
            <w:pPr>
              <w:jc w:val="right"/>
              <w:spacing w:after="0" w:line="75" w:lineRule="exact"/>
              <w:rPr>
                <w:sz w:val="20"/>
                <w:szCs w:val="20"/>
                <w:color w:val="auto"/>
              </w:rPr>
            </w:pPr>
            <w:r>
              <w:rPr>
                <w:rFonts w:ascii="Times New Roman" w:cs="Times New Roman" w:eastAsia="Times New Roman" w:hAnsi="Times New Roman"/>
                <w:sz w:val="7"/>
                <w:szCs w:val="7"/>
                <w:color w:val="auto"/>
              </w:rPr>
              <w:t>10,308</w:t>
            </w:r>
          </w:p>
        </w:tc>
        <w:tc>
          <w:tcPr>
            <w:tcW w:w="120" w:type="dxa"/>
            <w:vAlign w:val="bottom"/>
          </w:tcPr>
          <w:p>
            <w:pPr>
              <w:spacing w:after="0"/>
              <w:rPr>
                <w:sz w:val="6"/>
                <w:szCs w:val="6"/>
                <w:color w:val="auto"/>
              </w:rPr>
            </w:pPr>
          </w:p>
        </w:tc>
        <w:tc>
          <w:tcPr>
            <w:tcW w:w="480" w:type="dxa"/>
            <w:vAlign w:val="bottom"/>
            <w:tcBorders>
              <w:top w:val="single" w:sz="8" w:color="auto"/>
            </w:tcBorders>
          </w:tcPr>
          <w:p>
            <w:pPr>
              <w:jc w:val="right"/>
              <w:spacing w:after="0" w:line="75" w:lineRule="exact"/>
              <w:rPr>
                <w:sz w:val="20"/>
                <w:szCs w:val="20"/>
                <w:color w:val="auto"/>
              </w:rPr>
            </w:pPr>
            <w:r>
              <w:rPr>
                <w:rFonts w:ascii="Times New Roman" w:cs="Times New Roman" w:eastAsia="Times New Roman" w:hAnsi="Times New Roman"/>
                <w:sz w:val="7"/>
                <w:szCs w:val="7"/>
                <w:color w:val="auto"/>
              </w:rPr>
              <w:t>7,351,630</w:t>
            </w:r>
          </w:p>
        </w:tc>
        <w:tc>
          <w:tcPr>
            <w:tcW w:w="120" w:type="dxa"/>
            <w:vAlign w:val="bottom"/>
          </w:tcPr>
          <w:p>
            <w:pPr>
              <w:spacing w:after="0"/>
              <w:rPr>
                <w:sz w:val="6"/>
                <w:szCs w:val="6"/>
                <w:color w:val="auto"/>
              </w:rPr>
            </w:pPr>
          </w:p>
        </w:tc>
        <w:tc>
          <w:tcPr>
            <w:tcW w:w="480" w:type="dxa"/>
            <w:vAlign w:val="bottom"/>
            <w:tcBorders>
              <w:top w:val="single" w:sz="8" w:color="auto"/>
            </w:tcBorders>
          </w:tcPr>
          <w:p>
            <w:pPr>
              <w:jc w:val="right"/>
              <w:spacing w:after="0" w:line="75" w:lineRule="exact"/>
              <w:rPr>
                <w:sz w:val="20"/>
                <w:szCs w:val="20"/>
                <w:color w:val="auto"/>
              </w:rPr>
            </w:pPr>
            <w:r>
              <w:rPr>
                <w:rFonts w:ascii="Times New Roman" w:cs="Times New Roman" w:eastAsia="Times New Roman" w:hAnsi="Times New Roman"/>
                <w:sz w:val="7"/>
                <w:szCs w:val="7"/>
                <w:color w:val="auto"/>
              </w:rPr>
              <w:t>7,692,178</w:t>
            </w:r>
          </w:p>
        </w:tc>
        <w:tc>
          <w:tcPr>
            <w:tcW w:w="120" w:type="dxa"/>
            <w:vAlign w:val="bottom"/>
          </w:tcPr>
          <w:p>
            <w:pPr>
              <w:spacing w:after="0"/>
              <w:rPr>
                <w:sz w:val="6"/>
                <w:szCs w:val="6"/>
                <w:color w:val="auto"/>
              </w:rPr>
            </w:pPr>
          </w:p>
        </w:tc>
        <w:tc>
          <w:tcPr>
            <w:tcW w:w="480" w:type="dxa"/>
            <w:vAlign w:val="bottom"/>
            <w:tcBorders>
              <w:top w:val="single" w:sz="8" w:color="auto"/>
            </w:tcBorders>
          </w:tcPr>
          <w:p>
            <w:pPr>
              <w:jc w:val="right"/>
              <w:spacing w:after="0" w:line="75" w:lineRule="exact"/>
              <w:rPr>
                <w:sz w:val="20"/>
                <w:szCs w:val="20"/>
                <w:color w:val="auto"/>
              </w:rPr>
            </w:pPr>
            <w:r>
              <w:rPr>
                <w:rFonts w:ascii="Times New Roman" w:cs="Times New Roman" w:eastAsia="Times New Roman" w:hAnsi="Times New Roman"/>
                <w:sz w:val="7"/>
                <w:szCs w:val="7"/>
                <w:color w:val="auto"/>
              </w:rPr>
              <w:t>(993,629)</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r>
      <w:tr>
        <w:trPr>
          <w:trHeight w:val="85"/>
        </w:trPr>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r>
      <w:tr>
        <w:trPr>
          <w:trHeight w:val="76"/>
        </w:trPr>
        <w:tc>
          <w:tcPr>
            <w:tcW w:w="460" w:type="dxa"/>
            <w:vAlign w:val="bottom"/>
            <w:tcBorders>
              <w:bottom w:val="single" w:sz="8" w:color="auto"/>
            </w:tcBorders>
          </w:tcPr>
          <w:p>
            <w:pPr>
              <w:spacing w:after="0" w:line="76" w:lineRule="exact"/>
              <w:rPr>
                <w:sz w:val="20"/>
                <w:szCs w:val="20"/>
                <w:color w:val="auto"/>
              </w:rPr>
            </w:pPr>
            <w:r>
              <w:rPr>
                <w:rFonts w:ascii="Times New Roman" w:cs="Times New Roman" w:eastAsia="Times New Roman" w:hAnsi="Times New Roman"/>
                <w:sz w:val="7"/>
                <w:szCs w:val="7"/>
                <w:b w:val="1"/>
                <w:bCs w:val="1"/>
                <w:color w:val="auto"/>
                <w:w w:val="94"/>
              </w:rPr>
              <w:t>APAC Markets</w:t>
            </w:r>
          </w:p>
        </w:tc>
        <w:tc>
          <w:tcPr>
            <w:tcW w:w="1240" w:type="dxa"/>
            <w:vAlign w:val="bottom"/>
            <w:gridSpan w:val="3"/>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r>
      <w:tr>
        <w:trPr>
          <w:trHeight w:val="75"/>
        </w:trPr>
        <w:tc>
          <w:tcPr>
            <w:tcW w:w="1700" w:type="dxa"/>
            <w:vAlign w:val="bottom"/>
            <w:gridSpan w:val="4"/>
            <w:shd w:val="clear" w:color="auto" w:fill="CCEEFF"/>
          </w:tcPr>
          <w:p>
            <w:pPr>
              <w:ind w:left="80"/>
              <w:spacing w:after="0" w:line="75" w:lineRule="exact"/>
              <w:rPr>
                <w:sz w:val="20"/>
                <w:szCs w:val="20"/>
                <w:color w:val="auto"/>
              </w:rPr>
            </w:pPr>
            <w:r>
              <w:rPr>
                <w:rFonts w:ascii="Times New Roman" w:cs="Times New Roman" w:eastAsia="Times New Roman" w:hAnsi="Times New Roman"/>
                <w:sz w:val="7"/>
                <w:szCs w:val="7"/>
                <w:color w:val="auto"/>
              </w:rPr>
              <w:t>Singapore</w:t>
            </w:r>
          </w:p>
        </w:tc>
        <w:tc>
          <w:tcPr>
            <w:tcW w:w="480" w:type="dxa"/>
            <w:vAlign w:val="bottom"/>
            <w:shd w:val="clear" w:color="auto" w:fill="CCEEFF"/>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3</w:t>
            </w:r>
          </w:p>
        </w:tc>
        <w:tc>
          <w:tcPr>
            <w:tcW w:w="100" w:type="dxa"/>
            <w:vAlign w:val="bottom"/>
            <w:shd w:val="clear" w:color="auto" w:fill="CCEEFF"/>
          </w:tcPr>
          <w:p>
            <w:pPr>
              <w:spacing w:after="0"/>
              <w:rPr>
                <w:sz w:val="6"/>
                <w:szCs w:val="6"/>
                <w:color w:val="auto"/>
              </w:rPr>
            </w:pPr>
          </w:p>
        </w:tc>
        <w:tc>
          <w:tcPr>
            <w:tcW w:w="620" w:type="dxa"/>
            <w:vAlign w:val="bottom"/>
            <w:gridSpan w:val="2"/>
            <w:shd w:val="clear" w:color="auto" w:fill="CCEEFF"/>
          </w:tcPr>
          <w:p>
            <w:pPr>
              <w:jc w:val="right"/>
              <w:ind w:right="140"/>
              <w:spacing w:after="0" w:line="75"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gridSpan w:val="2"/>
            <w:shd w:val="clear" w:color="auto" w:fill="CCEEFF"/>
          </w:tcPr>
          <w:p>
            <w:pPr>
              <w:jc w:val="right"/>
              <w:ind w:right="140"/>
              <w:spacing w:after="0" w:line="75" w:lineRule="exact"/>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shd w:val="clear" w:color="auto" w:fill="CCEEFF"/>
          </w:tcPr>
          <w:p>
            <w:pPr>
              <w:jc w:val="right"/>
              <w:ind w:right="160"/>
              <w:spacing w:after="0" w:line="75"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137,545</w:t>
            </w: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418,856</w:t>
            </w: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0" w:type="dxa"/>
            <w:vAlign w:val="bottom"/>
            <w:gridSpan w:val="2"/>
            <w:shd w:val="clear" w:color="auto" w:fill="CCEEFF"/>
          </w:tcPr>
          <w:p>
            <w:pPr>
              <w:spacing w:after="0" w:line="75" w:lineRule="exact"/>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shd w:val="clear" w:color="auto" w:fill="CCEEFF"/>
          </w:tcPr>
          <w:p>
            <w:pPr>
              <w:jc w:val="right"/>
              <w:ind w:right="140"/>
              <w:spacing w:after="0" w:line="75" w:lineRule="exact"/>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shd w:val="clear" w:color="auto" w:fill="CCEEFF"/>
          </w:tcPr>
          <w:p>
            <w:pPr>
              <w:jc w:val="right"/>
              <w:ind w:right="140"/>
              <w:spacing w:after="0" w:line="75"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556,401</w:t>
            </w: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556,401</w:t>
            </w:r>
          </w:p>
        </w:tc>
        <w:tc>
          <w:tcPr>
            <w:tcW w:w="120" w:type="dxa"/>
            <w:vAlign w:val="bottom"/>
            <w:shd w:val="clear" w:color="auto" w:fill="CCEEFF"/>
          </w:tcPr>
          <w:p>
            <w:pPr>
              <w:spacing w:after="0"/>
              <w:rPr>
                <w:sz w:val="6"/>
                <w:szCs w:val="6"/>
                <w:color w:val="auto"/>
              </w:rPr>
            </w:pPr>
          </w:p>
        </w:tc>
        <w:tc>
          <w:tcPr>
            <w:tcW w:w="500" w:type="dxa"/>
            <w:vAlign w:val="bottom"/>
            <w:gridSpan w:val="2"/>
            <w:shd w:val="clear" w:color="auto" w:fill="CCEEFF"/>
          </w:tcPr>
          <w:p>
            <w:pPr>
              <w:jc w:val="right"/>
              <w:ind w:right="20"/>
              <w:spacing w:after="0" w:line="75" w:lineRule="exact"/>
              <w:rPr>
                <w:sz w:val="20"/>
                <w:szCs w:val="20"/>
                <w:color w:val="auto"/>
              </w:rPr>
            </w:pPr>
            <w:r>
              <w:rPr>
                <w:rFonts w:ascii="Times New Roman" w:cs="Times New Roman" w:eastAsia="Times New Roman" w:hAnsi="Times New Roman"/>
                <w:sz w:val="7"/>
                <w:szCs w:val="7"/>
                <w:color w:val="auto"/>
              </w:rPr>
              <w:t>(190,246)</w:t>
            </w:r>
          </w:p>
        </w:tc>
        <w:tc>
          <w:tcPr>
            <w:tcW w:w="380" w:type="dxa"/>
            <w:vAlign w:val="bottom"/>
            <w:gridSpan w:val="2"/>
            <w:shd w:val="clear" w:color="auto" w:fill="CCEEFF"/>
          </w:tcPr>
          <w:p>
            <w:pPr>
              <w:ind w:left="240"/>
              <w:spacing w:after="0" w:line="75" w:lineRule="exact"/>
              <w:rPr>
                <w:sz w:val="20"/>
                <w:szCs w:val="20"/>
                <w:color w:val="auto"/>
              </w:rPr>
            </w:pPr>
            <w:r>
              <w:rPr>
                <w:rFonts w:ascii="Times New Roman" w:cs="Times New Roman" w:eastAsia="Times New Roman" w:hAnsi="Times New Roman"/>
                <w:sz w:val="7"/>
                <w:szCs w:val="7"/>
                <w:color w:val="auto"/>
                <w:w w:val="85"/>
              </w:rPr>
              <w:t>2010</w:t>
            </w:r>
          </w:p>
        </w:tc>
        <w:tc>
          <w:tcPr>
            <w:tcW w:w="340" w:type="dxa"/>
            <w:vAlign w:val="bottom"/>
            <w:shd w:val="clear" w:color="auto" w:fill="CCEEFF"/>
          </w:tcPr>
          <w:p>
            <w:pPr>
              <w:jc w:val="right"/>
              <w:ind w:right="105"/>
              <w:spacing w:after="0" w:line="75" w:lineRule="exact"/>
              <w:rPr>
                <w:sz w:val="20"/>
                <w:szCs w:val="20"/>
                <w:color w:val="auto"/>
              </w:rPr>
            </w:pPr>
            <w:r>
              <w:rPr>
                <w:rFonts w:ascii="Times New Roman" w:cs="Times New Roman" w:eastAsia="Times New Roman" w:hAnsi="Times New Roman"/>
                <w:sz w:val="7"/>
                <w:szCs w:val="7"/>
                <w:color w:val="auto"/>
                <w:w w:val="99"/>
              </w:rPr>
              <w:t>- 2015</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Sydney</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4</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18,285</w:t>
            </w:r>
          </w:p>
        </w:tc>
        <w:tc>
          <w:tcPr>
            <w:tcW w:w="120" w:type="dxa"/>
            <w:vAlign w:val="bottom"/>
          </w:tcPr>
          <w:p>
            <w:pPr>
              <w:spacing w:after="0"/>
              <w:rPr>
                <w:sz w:val="7"/>
                <w:szCs w:val="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3,868</w:t>
            </w:r>
          </w:p>
        </w:tc>
        <w:tc>
          <w:tcPr>
            <w:tcW w:w="120" w:type="dxa"/>
            <w:vAlign w:val="bottom"/>
          </w:tcPr>
          <w:p>
            <w:pPr>
              <w:spacing w:after="0"/>
              <w:rPr>
                <w:sz w:val="7"/>
                <w:szCs w:val="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125,154</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12,771</w:t>
            </w:r>
          </w:p>
        </w:tc>
        <w:tc>
          <w:tcPr>
            <w:tcW w:w="12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134,536</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147,307</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(29,680)</w:t>
            </w:r>
          </w:p>
        </w:tc>
        <w:tc>
          <w:tcPr>
            <w:tcW w:w="720" w:type="dxa"/>
            <w:vAlign w:val="bottom"/>
            <w:gridSpan w:val="3"/>
          </w:tcPr>
          <w:p>
            <w:pPr>
              <w:jc w:val="right"/>
              <w:ind w:right="105"/>
              <w:spacing w:after="0"/>
              <w:rPr>
                <w:sz w:val="20"/>
                <w:szCs w:val="20"/>
                <w:color w:val="auto"/>
              </w:rPr>
            </w:pPr>
            <w:r>
              <w:rPr>
                <w:rFonts w:ascii="Times New Roman" w:cs="Times New Roman" w:eastAsia="Times New Roman" w:hAnsi="Times New Roman"/>
                <w:sz w:val="7"/>
                <w:szCs w:val="7"/>
                <w:color w:val="auto"/>
              </w:rPr>
              <w:t>2011 - 2012</w:t>
            </w:r>
          </w:p>
        </w:tc>
      </w:tr>
      <w:tr>
        <w:trPr>
          <w:trHeight w:val="85"/>
        </w:trPr>
        <w:tc>
          <w:tcPr>
            <w:tcW w:w="17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7"/>
                <w:szCs w:val="7"/>
                <w:color w:val="auto"/>
              </w:rPr>
              <w:t>Melbourne</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2</w:t>
            </w:r>
          </w:p>
        </w:tc>
        <w:tc>
          <w:tcPr>
            <w:tcW w:w="1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4,467</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113,896</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3,372</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114,991</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118,363</w:t>
            </w:r>
          </w:p>
        </w:tc>
        <w:tc>
          <w:tcPr>
            <w:tcW w:w="12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(39,651)</w:t>
            </w:r>
          </w:p>
        </w:tc>
        <w:tc>
          <w:tcPr>
            <w:tcW w:w="720" w:type="dxa"/>
            <w:vAlign w:val="bottom"/>
            <w:gridSpan w:val="3"/>
            <w:shd w:val="clear" w:color="auto" w:fill="CCEEFF"/>
          </w:tcPr>
          <w:p>
            <w:pPr>
              <w:jc w:val="center"/>
              <w:ind w:left="65"/>
              <w:spacing w:after="0"/>
              <w:rPr>
                <w:sz w:val="20"/>
                <w:szCs w:val="20"/>
                <w:color w:val="auto"/>
              </w:rPr>
            </w:pPr>
            <w:r>
              <w:rPr>
                <w:rFonts w:ascii="Times New Roman" w:cs="Times New Roman" w:eastAsia="Times New Roman" w:hAnsi="Times New Roman"/>
                <w:sz w:val="7"/>
                <w:szCs w:val="7"/>
                <w:color w:val="auto"/>
                <w:w w:val="99"/>
              </w:rPr>
              <w:t>2011</w:t>
            </w:r>
          </w:p>
        </w:tc>
      </w:tr>
      <w:tr>
        <w:trPr>
          <w:trHeight w:val="85"/>
        </w:trPr>
        <w:tc>
          <w:tcPr>
            <w:tcW w:w="1700" w:type="dxa"/>
            <w:vAlign w:val="bottom"/>
            <w:gridSpan w:val="4"/>
          </w:tcPr>
          <w:p>
            <w:pPr>
              <w:ind w:left="80"/>
              <w:spacing w:after="0"/>
              <w:rPr>
                <w:sz w:val="20"/>
                <w:szCs w:val="20"/>
                <w:color w:val="auto"/>
              </w:rPr>
            </w:pPr>
            <w:r>
              <w:rPr>
                <w:rFonts w:ascii="Times New Roman" w:cs="Times New Roman" w:eastAsia="Times New Roman" w:hAnsi="Times New Roman"/>
                <w:sz w:val="7"/>
                <w:szCs w:val="7"/>
                <w:color w:val="auto"/>
              </w:rPr>
              <w:t>Other</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4</w:t>
            </w:r>
          </w:p>
        </w:tc>
        <w:tc>
          <w:tcPr>
            <w:tcW w:w="100" w:type="dxa"/>
            <w:vAlign w:val="bottom"/>
          </w:tcPr>
          <w:p>
            <w:pPr>
              <w:spacing w:after="0"/>
              <w:rPr>
                <w:sz w:val="7"/>
                <w:szCs w:val="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4,842</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4,842</w:t>
            </w: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4,842</w:t>
            </w:r>
          </w:p>
        </w:tc>
        <w:tc>
          <w:tcPr>
            <w:tcW w:w="120" w:type="dxa"/>
            <w:vAlign w:val="bottom"/>
          </w:tcPr>
          <w:p>
            <w:pPr>
              <w:spacing w:after="0"/>
              <w:rPr>
                <w:sz w:val="7"/>
                <w:szCs w:val="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(202)</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75"/>
        </w:trPr>
        <w:tc>
          <w:tcPr>
            <w:tcW w:w="1700" w:type="dxa"/>
            <w:vAlign w:val="bottom"/>
            <w:tcBorders>
              <w:top w:val="single" w:sz="8" w:color="CCEEFF"/>
            </w:tcBorders>
            <w:gridSpan w:val="4"/>
            <w:shd w:val="clear" w:color="auto" w:fill="CCEEFF"/>
          </w:tcPr>
          <w:p>
            <w:pPr>
              <w:ind w:left="160"/>
              <w:spacing w:after="0" w:line="75" w:lineRule="exact"/>
              <w:rPr>
                <w:sz w:val="20"/>
                <w:szCs w:val="20"/>
                <w:color w:val="auto"/>
              </w:rPr>
            </w:pPr>
            <w:r>
              <w:rPr>
                <w:rFonts w:ascii="Times New Roman" w:cs="Times New Roman" w:eastAsia="Times New Roman" w:hAnsi="Times New Roman"/>
                <w:sz w:val="7"/>
                <w:szCs w:val="7"/>
                <w:b w:val="1"/>
                <w:bCs w:val="1"/>
                <w:color w:val="auto"/>
              </w:rPr>
              <w:t>Total APAC</w:t>
            </w:r>
          </w:p>
        </w:tc>
        <w:tc>
          <w:tcPr>
            <w:tcW w:w="480" w:type="dxa"/>
            <w:vAlign w:val="bottom"/>
            <w:tcBorders>
              <w:top w:val="single" w:sz="8" w:color="auto"/>
            </w:tcBorders>
            <w:shd w:val="clear" w:color="auto" w:fill="CCEEFF"/>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13</w:t>
            </w: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22,752</w:t>
            </w:r>
          </w:p>
        </w:tc>
        <w:tc>
          <w:tcPr>
            <w:tcW w:w="1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141,413</w:t>
            </w: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jc w:val="right"/>
              <w:ind w:right="5"/>
              <w:spacing w:after="0" w:line="75" w:lineRule="exact"/>
              <w:rPr>
                <w:sz w:val="20"/>
                <w:szCs w:val="20"/>
                <w:color w:val="auto"/>
              </w:rPr>
            </w:pPr>
            <w:r>
              <w:rPr>
                <w:rFonts w:ascii="Times New Roman" w:cs="Times New Roman" w:eastAsia="Times New Roman" w:hAnsi="Times New Roman"/>
                <w:sz w:val="7"/>
                <w:szCs w:val="7"/>
                <w:color w:val="auto"/>
              </w:rPr>
              <w:t>662,748</w:t>
            </w: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line="75"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16,143</w:t>
            </w:r>
          </w:p>
        </w:tc>
        <w:tc>
          <w:tcPr>
            <w:tcW w:w="1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810,770</w:t>
            </w:r>
          </w:p>
        </w:tc>
        <w:tc>
          <w:tcPr>
            <w:tcW w:w="1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826,913</w:t>
            </w:r>
          </w:p>
        </w:tc>
        <w:tc>
          <w:tcPr>
            <w:tcW w:w="1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7"/>
                <w:szCs w:val="7"/>
                <w:color w:val="auto"/>
              </w:rPr>
              <w:t>(259,779)</w:t>
            </w: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r>
      <w:tr>
        <w:trPr>
          <w:trHeight w:val="94"/>
        </w:trPr>
        <w:tc>
          <w:tcPr>
            <w:tcW w:w="1700" w:type="dxa"/>
            <w:vAlign w:val="bottom"/>
            <w:gridSpan w:val="4"/>
          </w:tcPr>
          <w:p>
            <w:pPr>
              <w:ind w:left="220"/>
              <w:spacing w:after="0"/>
              <w:rPr>
                <w:sz w:val="20"/>
                <w:szCs w:val="20"/>
                <w:color w:val="auto"/>
              </w:rPr>
            </w:pPr>
            <w:r>
              <w:rPr>
                <w:rFonts w:ascii="Times New Roman" w:cs="Times New Roman" w:eastAsia="Times New Roman" w:hAnsi="Times New Roman"/>
                <w:sz w:val="7"/>
                <w:szCs w:val="7"/>
                <w:b w:val="1"/>
                <w:bCs w:val="1"/>
                <w:color w:val="auto"/>
              </w:rPr>
              <w:t>Total Portfolio</w:t>
            </w:r>
          </w:p>
        </w:tc>
        <w:tc>
          <w:tcPr>
            <w:tcW w:w="4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7"/>
                <w:szCs w:val="7"/>
                <w:color w:val="auto"/>
              </w:rPr>
              <w:t>248</w:t>
            </w:r>
          </w:p>
        </w:tc>
        <w:tc>
          <w:tcPr>
            <w:tcW w:w="100" w:type="dxa"/>
            <w:vAlign w:val="bottom"/>
          </w:tcPr>
          <w:p>
            <w:pPr>
              <w:spacing w:after="0"/>
              <w:rPr>
                <w:sz w:val="8"/>
                <w:szCs w:val="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239,000</w:t>
            </w:r>
          </w:p>
        </w:tc>
        <w:tc>
          <w:tcPr>
            <w:tcW w:w="120" w:type="dxa"/>
            <w:vAlign w:val="bottom"/>
          </w:tcPr>
          <w:p>
            <w:pPr>
              <w:spacing w:after="0"/>
              <w:rPr>
                <w:sz w:val="8"/>
                <w:szCs w:val="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1,140,622</w:t>
            </w:r>
          </w:p>
        </w:tc>
        <w:tc>
          <w:tcPr>
            <w:tcW w:w="120" w:type="dxa"/>
            <w:vAlign w:val="bottom"/>
          </w:tcPr>
          <w:p>
            <w:pPr>
              <w:spacing w:after="0"/>
              <w:rPr>
                <w:sz w:val="8"/>
                <w:szCs w:val="8"/>
                <w:color w:val="auto"/>
              </w:rPr>
            </w:pPr>
          </w:p>
        </w:tc>
        <w:tc>
          <w:tcPr>
            <w:tcW w:w="4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7"/>
                <w:szCs w:val="7"/>
                <w:color w:val="auto"/>
              </w:rPr>
              <w:t>12,317</w:t>
            </w:r>
          </w:p>
        </w:tc>
        <w:tc>
          <w:tcPr>
            <w:tcW w:w="120" w:type="dxa"/>
            <w:vAlign w:val="bottom"/>
          </w:tcPr>
          <w:p>
            <w:pPr>
              <w:spacing w:after="0"/>
              <w:rPr>
                <w:sz w:val="8"/>
                <w:szCs w:val="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12,148,052</w:t>
            </w:r>
          </w:p>
        </w:tc>
        <w:tc>
          <w:tcPr>
            <w:tcW w:w="120" w:type="dxa"/>
            <w:vAlign w:val="bottom"/>
          </w:tcPr>
          <w:p>
            <w:pPr>
              <w:spacing w:after="0"/>
              <w:rPr>
                <w:sz w:val="8"/>
                <w:szCs w:val="8"/>
                <w:color w:val="auto"/>
              </w:rPr>
            </w:pPr>
          </w:p>
        </w:tc>
        <w:tc>
          <w:tcPr>
            <w:tcW w:w="5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7"/>
                <w:szCs w:val="7"/>
                <w:color w:val="auto"/>
              </w:rPr>
              <w:t>9,841,997</w:t>
            </w: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1,106,392</w:t>
            </w:r>
          </w:p>
        </w:tc>
        <w:tc>
          <w:tcPr>
            <w:tcW w:w="120" w:type="dxa"/>
            <w:vAlign w:val="bottom"/>
          </w:tcPr>
          <w:p>
            <w:pPr>
              <w:spacing w:after="0"/>
              <w:rPr>
                <w:sz w:val="8"/>
                <w:szCs w:val="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10,308</w:t>
            </w:r>
          </w:p>
        </w:tc>
        <w:tc>
          <w:tcPr>
            <w:tcW w:w="120" w:type="dxa"/>
            <w:vAlign w:val="bottom"/>
          </w:tcPr>
          <w:p>
            <w:pPr>
              <w:spacing w:after="0"/>
              <w:rPr>
                <w:sz w:val="8"/>
                <w:szCs w:val="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22,026,288</w:t>
            </w:r>
          </w:p>
        </w:tc>
        <w:tc>
          <w:tcPr>
            <w:tcW w:w="120" w:type="dxa"/>
            <w:vAlign w:val="bottom"/>
          </w:tcPr>
          <w:p>
            <w:pPr>
              <w:spacing w:after="0"/>
              <w:rPr>
                <w:sz w:val="8"/>
                <w:szCs w:val="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23,142,988</w:t>
            </w:r>
          </w:p>
        </w:tc>
        <w:tc>
          <w:tcPr>
            <w:tcW w:w="120" w:type="dxa"/>
            <w:vAlign w:val="bottom"/>
          </w:tcPr>
          <w:p>
            <w:pPr>
              <w:spacing w:after="0"/>
              <w:rPr>
                <w:sz w:val="8"/>
                <w:szCs w:val="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(5,555,221)</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bl>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6028055" cy="177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6028055" cy="17780"/>
                    </a:xfrm>
                    <a:prstGeom prst="rect">
                      <a:avLst/>
                    </a:prstGeom>
                    <a:noFill/>
                  </pic:spPr>
                </pic:pic>
              </a:graphicData>
            </a:graphic>
          </wp:anchor>
        </w:drawing>
      </w:r>
    </w:p>
    <w:p>
      <w:pPr>
        <w:sectPr>
          <w:pgSz w:w="11900" w:h="16838" w:orient="portrait"/>
          <w:cols w:equalWidth="0" w:num="1">
            <w:col w:w="9480"/>
          </w:cols>
          <w:pgMar w:left="1200" w:top="402" w:right="1219" w:bottom="1440" w:gutter="0" w:footer="0" w:header="0"/>
        </w:sectPr>
      </w:pPr>
    </w:p>
    <w:bookmarkStart w:id="191" w:name="page192"/>
    <w:bookmarkEnd w:id="19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97"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DIGITAL REALTY TRUST,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DIGITAL REALTY TRUST, L.P.</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SCHEDULE III</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PROPERTIES AND ACCUMULATED DEPRECIATION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2020</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 Tax Cost</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The aggregate gross cost of the Company’s properties for federal income tax purposes approximated $32.7 billion (unaudited) as of December 31, 2020.</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(2) Historical Cost and Accumulated Depreciation and Amortization</w:t>
      </w:r>
    </w:p>
    <w:p>
      <w:pPr>
        <w:spacing w:after="0" w:line="156" w:lineRule="exact"/>
        <w:rPr>
          <w:sz w:val="20"/>
          <w:szCs w:val="20"/>
          <w:color w:val="auto"/>
        </w:rPr>
      </w:pPr>
    </w:p>
    <w:p>
      <w:pPr>
        <w:ind w:left="20" w:right="39" w:firstLine="228"/>
        <w:spacing w:after="0" w:line="268" w:lineRule="auto"/>
        <w:rPr>
          <w:sz w:val="20"/>
          <w:szCs w:val="20"/>
          <w:color w:val="auto"/>
        </w:rPr>
      </w:pPr>
      <w:r>
        <w:rPr>
          <w:rFonts w:ascii="Times New Roman" w:cs="Times New Roman" w:eastAsia="Times New Roman" w:hAnsi="Times New Roman"/>
          <w:sz w:val="13"/>
          <w:szCs w:val="13"/>
          <w:color w:val="auto"/>
        </w:rPr>
        <w:t>The following table reconciles the historical cost of the Company’s properties for financial reporting purposes for each of the years in the three-year period ended December 31, 2020.</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6"/>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20" w:type="dxa"/>
            <w:vAlign w:val="bottom"/>
            <w:tcBorders>
              <w:bottom w:val="single" w:sz="8" w:color="auto"/>
            </w:tcBorders>
          </w:tcPr>
          <w:p>
            <w:pPr>
              <w:spacing w:after="0"/>
              <w:rPr>
                <w:sz w:val="13"/>
                <w:szCs w:val="13"/>
                <w:color w:val="auto"/>
              </w:rPr>
            </w:pPr>
          </w:p>
        </w:tc>
      </w:tr>
      <w:tr>
        <w:trPr>
          <w:trHeight w:val="134"/>
        </w:trPr>
        <w:tc>
          <w:tcPr>
            <w:tcW w:w="58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3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beginning of year</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16,886,592</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17,055,016</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16,915,936</w:t>
            </w:r>
          </w:p>
        </w:tc>
      </w:tr>
      <w:tr>
        <w:trPr>
          <w:trHeight w:val="142"/>
        </w:trPr>
        <w:tc>
          <w:tcPr>
            <w:tcW w:w="5860" w:type="dxa"/>
            <w:vAlign w:val="bottom"/>
          </w:tcPr>
          <w:p>
            <w:pPr>
              <w:spacing w:after="0"/>
              <w:rPr>
                <w:sz w:val="20"/>
                <w:szCs w:val="20"/>
                <w:color w:val="auto"/>
              </w:rPr>
            </w:pPr>
            <w:r>
              <w:rPr>
                <w:rFonts w:ascii="Times New Roman" w:cs="Times New Roman" w:eastAsia="Times New Roman" w:hAnsi="Times New Roman"/>
                <w:sz w:val="11"/>
                <w:szCs w:val="11"/>
                <w:color w:val="auto"/>
              </w:rPr>
              <w:t>Additions during period (acquisitions and improvements)</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6,514,218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833,836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223,163</w:t>
            </w:r>
          </w:p>
        </w:tc>
      </w:tr>
      <w:tr>
        <w:trPr>
          <w:trHeight w:val="14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Deductions during period (dispositions, impairments and assets held for sale)</w:t>
            </w:r>
          </w:p>
        </w:tc>
        <w:tc>
          <w:tcPr>
            <w:tcW w:w="2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(257,822)</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(1,002,260)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(84,083)</w:t>
            </w:r>
          </w:p>
        </w:tc>
      </w:tr>
      <w:tr>
        <w:trPr>
          <w:trHeight w:val="140"/>
        </w:trPr>
        <w:tc>
          <w:tcPr>
            <w:tcW w:w="5860" w:type="dxa"/>
            <w:vAlign w:val="bottom"/>
          </w:tcPr>
          <w:p>
            <w:pPr>
              <w:spacing w:after="0"/>
              <w:rPr>
                <w:sz w:val="20"/>
                <w:szCs w:val="20"/>
                <w:color w:val="auto"/>
              </w:rPr>
            </w:pPr>
            <w:r>
              <w:rPr>
                <w:rFonts w:ascii="Times New Roman" w:cs="Times New Roman" w:eastAsia="Times New Roman" w:hAnsi="Times New Roman"/>
                <w:sz w:val="11"/>
                <w:szCs w:val="11"/>
                <w:color w:val="auto"/>
              </w:rPr>
              <w:t>Balance, end of year</w:t>
            </w: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23,142,988</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16,886,592</w:t>
            </w:r>
          </w:p>
        </w:tc>
        <w:tc>
          <w:tcPr>
            <w:tcW w:w="1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17,055,016</w:t>
            </w:r>
          </w:p>
        </w:tc>
      </w:tr>
    </w:tbl>
    <w:p>
      <w:pPr>
        <w:spacing w:after="0" w:line="139" w:lineRule="exact"/>
        <w:rPr>
          <w:sz w:val="20"/>
          <w:szCs w:val="20"/>
          <w:color w:val="auto"/>
        </w:rPr>
      </w:pPr>
    </w:p>
    <w:p>
      <w:pPr>
        <w:ind w:left="20" w:right="199" w:firstLine="228"/>
        <w:spacing w:after="0" w:line="268" w:lineRule="auto"/>
        <w:rPr>
          <w:sz w:val="20"/>
          <w:szCs w:val="20"/>
          <w:color w:val="auto"/>
        </w:rPr>
      </w:pPr>
      <w:r>
        <w:rPr>
          <w:rFonts w:ascii="Times New Roman" w:cs="Times New Roman" w:eastAsia="Times New Roman" w:hAnsi="Times New Roman"/>
          <w:sz w:val="13"/>
          <w:szCs w:val="13"/>
          <w:color w:val="auto"/>
        </w:rPr>
        <w:t>The following table reconciles accumulated depreciation and amortization of the Company’s properties for financial reporting purposes for each of the years in the three-year period ended December 31, 2020.</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7"/>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60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32"/>
        </w:trPr>
        <w:tc>
          <w:tcPr>
            <w:tcW w:w="20" w:type="dxa"/>
            <w:vAlign w:val="bottom"/>
          </w:tcPr>
          <w:p>
            <w:pPr>
              <w:spacing w:after="0"/>
              <w:rPr>
                <w:sz w:val="11"/>
                <w:szCs w:val="11"/>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beginning of year</w:t>
            </w:r>
          </w:p>
        </w:tc>
        <w:tc>
          <w:tcPr>
            <w:tcW w:w="1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4,536,169</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3,935,267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3,238,227</w:t>
            </w: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Additions during period (depreciation and amortization expense)</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1,029,863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805,916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714,336</w:t>
            </w:r>
          </w:p>
        </w:tc>
      </w:tr>
      <w:tr>
        <w:trPr>
          <w:trHeight w:val="142"/>
        </w:trPr>
        <w:tc>
          <w:tcPr>
            <w:tcW w:w="20" w:type="dxa"/>
            <w:vAlign w:val="bottom"/>
          </w:tcPr>
          <w:p>
            <w:pPr>
              <w:spacing w:after="0"/>
              <w:rPr>
                <w:sz w:val="12"/>
                <w:szCs w:val="12"/>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Deductions during period (dispositions and assets held for sale)</w:t>
            </w: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(10,811)</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(205,014)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(17,296)</w:t>
            </w:r>
          </w:p>
        </w:tc>
      </w:tr>
      <w:tr>
        <w:trPr>
          <w:trHeight w:val="140"/>
        </w:trPr>
        <w:tc>
          <w:tcPr>
            <w:tcW w:w="6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Balance, end of year</w:t>
            </w:r>
          </w:p>
        </w:tc>
        <w:tc>
          <w:tcPr>
            <w:tcW w:w="1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5,555,221</w:t>
            </w:r>
          </w:p>
        </w:tc>
        <w:tc>
          <w:tcPr>
            <w:tcW w:w="180" w:type="dxa"/>
            <w:vAlign w:val="bottom"/>
          </w:tcPr>
          <w:p>
            <w:pPr>
              <w:spacing w:after="0"/>
              <w:rPr>
                <w:sz w:val="12"/>
                <w:szCs w:val="12"/>
                <w:color w:val="auto"/>
              </w:rPr>
            </w:pPr>
          </w:p>
        </w:tc>
        <w:tc>
          <w:tcPr>
            <w:tcW w:w="1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4,536,169</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3,935,267</w:t>
            </w:r>
          </w:p>
        </w:tc>
      </w:tr>
    </w:tbl>
    <w:p>
      <w:pPr>
        <w:spacing w:after="0" w:line="139" w:lineRule="exact"/>
        <w:rPr>
          <w:sz w:val="20"/>
          <w:szCs w:val="20"/>
          <w:color w:val="auto"/>
        </w:rPr>
      </w:pPr>
    </w:p>
    <w:p>
      <w:pPr>
        <w:ind w:left="20" w:right="219" w:firstLine="228"/>
        <w:spacing w:after="0" w:line="268" w:lineRule="auto"/>
        <w:rPr>
          <w:sz w:val="20"/>
          <w:szCs w:val="20"/>
          <w:color w:val="auto"/>
        </w:rPr>
      </w:pPr>
      <w:r>
        <w:rPr>
          <w:rFonts w:ascii="Times New Roman" w:cs="Times New Roman" w:eastAsia="Times New Roman" w:hAnsi="Times New Roman"/>
          <w:sz w:val="13"/>
          <w:szCs w:val="13"/>
          <w:color w:val="auto"/>
        </w:rPr>
        <w:t>Schedules other than those listed above are omitted because they are not applicable or the information required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77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5690235"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92" w:name="page193"/>
    <w:bookmarkEnd w:id="19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52"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3"/>
          <w:szCs w:val="13"/>
          <w:b w:val="1"/>
          <w:bCs w:val="1"/>
          <w:color w:val="auto"/>
        </w:rPr>
        <w:t>ITEM 9.</w:t>
      </w:r>
      <w:r>
        <w:rPr>
          <w:sz w:val="20"/>
          <w:szCs w:val="20"/>
          <w:color w:val="auto"/>
        </w:rPr>
        <w:tab/>
      </w:r>
      <w:r>
        <w:rPr>
          <w:rFonts w:ascii="Times New Roman" w:cs="Times New Roman" w:eastAsia="Times New Roman" w:hAnsi="Times New Roman"/>
          <w:sz w:val="12"/>
          <w:szCs w:val="12"/>
          <w:b w:val="1"/>
          <w:bCs w:val="1"/>
          <w:color w:val="auto"/>
        </w:rPr>
        <w:t>CHANGES IN AND DISAGREEMENTS WITH ACCOUNTANTS ON ACCOUNTING AND FINANCIAL DISCLOSURE</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None.</w:t>
      </w:r>
    </w:p>
    <w:p>
      <w:pPr>
        <w:spacing w:after="0" w:line="152"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3"/>
          <w:szCs w:val="13"/>
          <w:b w:val="1"/>
          <w:bCs w:val="1"/>
          <w:color w:val="auto"/>
        </w:rPr>
        <w:t>ITEM 9A.</w:t>
      </w:r>
      <w:r>
        <w:rPr>
          <w:sz w:val="20"/>
          <w:szCs w:val="20"/>
          <w:color w:val="auto"/>
        </w:rPr>
        <w:tab/>
      </w:r>
      <w:r>
        <w:rPr>
          <w:rFonts w:ascii="Times New Roman" w:cs="Times New Roman" w:eastAsia="Times New Roman" w:hAnsi="Times New Roman"/>
          <w:sz w:val="12"/>
          <w:szCs w:val="12"/>
          <w:b w:val="1"/>
          <w:bCs w:val="1"/>
          <w:color w:val="auto"/>
        </w:rPr>
        <w:t>CONTROLS AND PROCEDURES</w:t>
      </w:r>
    </w:p>
    <w:p>
      <w:pPr>
        <w:spacing w:after="0" w:line="156" w:lineRule="exact"/>
        <w:rPr>
          <w:sz w:val="20"/>
          <w:szCs w:val="20"/>
          <w:color w:val="auto"/>
        </w:rPr>
      </w:pPr>
    </w:p>
    <w:p>
      <w:pPr>
        <w:ind w:left="20" w:right="519" w:firstLine="228"/>
        <w:spacing w:after="0" w:line="268" w:lineRule="auto"/>
        <w:rPr>
          <w:sz w:val="20"/>
          <w:szCs w:val="20"/>
          <w:color w:val="auto"/>
        </w:rPr>
      </w:pPr>
      <w:r>
        <w:rPr>
          <w:rFonts w:ascii="Times New Roman" w:cs="Times New Roman" w:eastAsia="Times New Roman" w:hAnsi="Times New Roman"/>
          <w:sz w:val="13"/>
          <w:szCs w:val="13"/>
          <w:color w:val="auto"/>
        </w:rPr>
        <w:t>Our Management’s Reports on Internal Control over Financial Reporting for Digital Realty Trust, Inc. and Digital Realty Trust, L.P. are included in Part II, Item 8, Financial Statements and Supplementary Data on page 98.</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Evaluation of Disclosure Controls and Procedures (Digital Realty Trust, Inc.)</w:t>
      </w:r>
    </w:p>
    <w:p>
      <w:pPr>
        <w:spacing w:after="0" w:line="156" w:lineRule="exact"/>
        <w:rPr>
          <w:sz w:val="20"/>
          <w:szCs w:val="20"/>
          <w:color w:val="auto"/>
        </w:rPr>
      </w:pPr>
    </w:p>
    <w:p>
      <w:pPr>
        <w:ind w:left="20" w:right="99" w:firstLine="228"/>
        <w:spacing w:after="0" w:line="270" w:lineRule="auto"/>
        <w:rPr>
          <w:sz w:val="20"/>
          <w:szCs w:val="20"/>
          <w:color w:val="auto"/>
        </w:rPr>
      </w:pPr>
      <w:r>
        <w:rPr>
          <w:rFonts w:ascii="Times New Roman" w:cs="Times New Roman" w:eastAsia="Times New Roman" w:hAnsi="Times New Roman"/>
          <w:sz w:val="12"/>
          <w:szCs w:val="12"/>
          <w:color w:val="auto"/>
        </w:rPr>
        <w:t>The Company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its chief executive officer and chief financial officer, as appropriate, to allow timely decisions regarding required disclosure. In designing and evaluating the disclosure controls and procedures, the Company’s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Company has investments in certain unconsolidated entities, which are accounted for using the equity method of accounting. As the Company does not control or manage these entities, its disclosure controls and procedures with respect to such entities may be substantially more limited than those it maintains with respect to its consolidated subsidiaries.</w:t>
      </w:r>
    </w:p>
    <w:p>
      <w:pPr>
        <w:spacing w:after="0" w:line="125" w:lineRule="exact"/>
        <w:rPr>
          <w:sz w:val="20"/>
          <w:szCs w:val="20"/>
          <w:color w:val="auto"/>
        </w:rPr>
      </w:pPr>
    </w:p>
    <w:p>
      <w:pPr>
        <w:ind w:left="20" w:right="219" w:firstLine="228"/>
        <w:spacing w:after="0" w:line="252" w:lineRule="auto"/>
        <w:rPr>
          <w:sz w:val="20"/>
          <w:szCs w:val="20"/>
          <w:color w:val="auto"/>
        </w:rPr>
      </w:pPr>
      <w:r>
        <w:rPr>
          <w:rFonts w:ascii="Times New Roman" w:cs="Times New Roman" w:eastAsia="Times New Roman" w:hAnsi="Times New Roman"/>
          <w:sz w:val="13"/>
          <w:szCs w:val="13"/>
          <w:color w:val="auto"/>
        </w:rPr>
        <w:t>As required by Rule 13a-15(b) or Rule 15d-15(b) of the Securities Exchange Act of 1934, as amended, management of the Company carried out an evaluation, under the supervision and with participation of its chief executive officer and chief financial officer, of the effectiveness of the design and operation of its disclosure controls and procedures that were in effect as of December 31, 2020. Based on the foregoing, the Company’s management concluded that its disclosure controls and procedures were effective at the reasonable assurance level.</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Changes in Internal Control over Financial Reporting</w:t>
      </w:r>
    </w:p>
    <w:p>
      <w:pPr>
        <w:spacing w:after="0" w:line="156" w:lineRule="exact"/>
        <w:rPr>
          <w:sz w:val="20"/>
          <w:szCs w:val="20"/>
          <w:color w:val="auto"/>
        </w:rPr>
      </w:pPr>
    </w:p>
    <w:p>
      <w:pPr>
        <w:ind w:left="20" w:right="519" w:firstLine="228"/>
        <w:spacing w:after="0" w:line="268" w:lineRule="auto"/>
        <w:rPr>
          <w:sz w:val="20"/>
          <w:szCs w:val="20"/>
          <w:color w:val="auto"/>
        </w:rPr>
      </w:pPr>
      <w:r>
        <w:rPr>
          <w:rFonts w:ascii="Times New Roman" w:cs="Times New Roman" w:eastAsia="Times New Roman" w:hAnsi="Times New Roman"/>
          <w:sz w:val="13"/>
          <w:szCs w:val="13"/>
          <w:color w:val="auto"/>
        </w:rPr>
        <w:t>There has not been any change in our internal control over financial reporting during the three months ended December 31, 2020, that has materially affected, or is reasonably likely to materially affect, our internal control over financial reporting.</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Evaluation of Disclosure Controls and Procedures (Digital Realty Trust, L.P.)</w:t>
      </w:r>
    </w:p>
    <w:p>
      <w:pPr>
        <w:spacing w:after="0" w:line="156" w:lineRule="exact"/>
        <w:rPr>
          <w:sz w:val="20"/>
          <w:szCs w:val="20"/>
          <w:color w:val="auto"/>
        </w:rPr>
      </w:pPr>
    </w:p>
    <w:p>
      <w:pPr>
        <w:ind w:left="20" w:right="99" w:firstLine="228"/>
        <w:spacing w:after="0" w:line="246" w:lineRule="auto"/>
        <w:rPr>
          <w:sz w:val="20"/>
          <w:szCs w:val="20"/>
          <w:color w:val="auto"/>
        </w:rPr>
      </w:pPr>
      <w:r>
        <w:rPr>
          <w:rFonts w:ascii="Times New Roman" w:cs="Times New Roman" w:eastAsia="Times New Roman" w:hAnsi="Times New Roman"/>
          <w:sz w:val="13"/>
          <w:szCs w:val="13"/>
          <w:color w:val="auto"/>
        </w:rPr>
        <w:t>The Operating Partnership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the chief executive officer and chief financial officer of its general partner, as appropriate, to allow timely decisions regarding required disclosure. In designing and evaluating the disclosure controls and procedures, the Operating Partnership’s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Operating Partnership has investments in certain unconsolidated entities, which are accounted for using the equity method of accounting. As the Operating Partnership does not control or manage these entities, its disclosure controls and procedures with respect to such entities may be substantially more limited than those it maintains with respect to its consolidated subsidiaries.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93" w:name="page194"/>
    <w:bookmarkEnd w:id="19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54" w:lineRule="exact"/>
        <w:rPr>
          <w:sz w:val="20"/>
          <w:szCs w:val="20"/>
          <w:color w:val="auto"/>
        </w:rPr>
      </w:pPr>
    </w:p>
    <w:p>
      <w:pPr>
        <w:ind w:left="20" w:right="99" w:firstLine="228"/>
        <w:spacing w:after="0" w:line="252" w:lineRule="auto"/>
        <w:rPr>
          <w:sz w:val="20"/>
          <w:szCs w:val="20"/>
          <w:color w:val="auto"/>
        </w:rPr>
      </w:pPr>
      <w:r>
        <w:rPr>
          <w:rFonts w:ascii="Times New Roman" w:cs="Times New Roman" w:eastAsia="Times New Roman" w:hAnsi="Times New Roman"/>
          <w:sz w:val="13"/>
          <w:szCs w:val="13"/>
          <w:color w:val="auto"/>
        </w:rPr>
        <w:t>As required by Rule 13a-15(b) or Rule 15d-15(b) of the Securities Exchange Act of 1934, as amended, management of the Operating Partnership carried out an evaluation, under the supervision and with participation of the chief executive officer and chief financial officer of its general partner, of the effectiveness of the design and operation of its disclosure controls and procedures that were in effect as of December 31, 2020. Based on the foregoing, the Operating Partnership’s management concluded that its disclosure controls and procedures were effective at the reasonable assurance level.</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Changes in Internal Control over Financial Reporting</w:t>
      </w:r>
    </w:p>
    <w:p>
      <w:pPr>
        <w:spacing w:after="0" w:line="156" w:lineRule="exact"/>
        <w:rPr>
          <w:sz w:val="20"/>
          <w:szCs w:val="20"/>
          <w:color w:val="auto"/>
        </w:rPr>
      </w:pPr>
    </w:p>
    <w:p>
      <w:pPr>
        <w:ind w:left="20" w:right="519" w:firstLine="228"/>
        <w:spacing w:after="0" w:line="268" w:lineRule="auto"/>
        <w:rPr>
          <w:sz w:val="20"/>
          <w:szCs w:val="20"/>
          <w:color w:val="auto"/>
        </w:rPr>
      </w:pPr>
      <w:r>
        <w:rPr>
          <w:rFonts w:ascii="Times New Roman" w:cs="Times New Roman" w:eastAsia="Times New Roman" w:hAnsi="Times New Roman"/>
          <w:sz w:val="13"/>
          <w:szCs w:val="13"/>
          <w:color w:val="auto"/>
        </w:rPr>
        <w:t>There has not been any change in our internal control over financial reporting during the three months ended December 31, 2020, that has materially affected, or is reasonably likely to materially affect, our internal control over financial reporting.</w:t>
      </w:r>
    </w:p>
    <w:p>
      <w:pPr>
        <w:spacing w:after="0" w:line="120"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13"/>
          <w:szCs w:val="13"/>
          <w:b w:val="1"/>
          <w:bCs w:val="1"/>
          <w:color w:val="auto"/>
        </w:rPr>
        <w:t>ITEM 9B.</w:t>
      </w:r>
      <w:r>
        <w:rPr>
          <w:sz w:val="20"/>
          <w:szCs w:val="20"/>
          <w:color w:val="auto"/>
        </w:rPr>
        <w:tab/>
      </w:r>
      <w:r>
        <w:rPr>
          <w:rFonts w:ascii="Times New Roman" w:cs="Times New Roman" w:eastAsia="Times New Roman" w:hAnsi="Times New Roman"/>
          <w:sz w:val="12"/>
          <w:szCs w:val="12"/>
          <w:b w:val="1"/>
          <w:bCs w:val="1"/>
          <w:color w:val="auto"/>
        </w:rPr>
        <w:t>OTHER INFORMATION</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Headquarter Relocation</w:t>
      </w:r>
    </w:p>
    <w:p>
      <w:pPr>
        <w:spacing w:after="0" w:line="156" w:lineRule="exact"/>
        <w:rPr>
          <w:sz w:val="20"/>
          <w:szCs w:val="20"/>
          <w:color w:val="auto"/>
        </w:rPr>
      </w:pPr>
    </w:p>
    <w:p>
      <w:pPr>
        <w:ind w:left="20" w:right="119" w:firstLine="228"/>
        <w:spacing w:after="0" w:line="248" w:lineRule="auto"/>
        <w:rPr>
          <w:sz w:val="20"/>
          <w:szCs w:val="20"/>
          <w:color w:val="auto"/>
        </w:rPr>
      </w:pPr>
      <w:r>
        <w:rPr>
          <w:rFonts w:ascii="Times New Roman" w:cs="Times New Roman" w:eastAsia="Times New Roman" w:hAnsi="Times New Roman"/>
          <w:sz w:val="13"/>
          <w:szCs w:val="13"/>
          <w:color w:val="auto"/>
        </w:rPr>
        <w:t>Digital Realty has relocated its corporate headquarters from San Francisco, California, to Austin, Texas and plans for employee growth centered in Dallas. We are committed to fostering an inclusive and flexible workplace, which includes a broadly distributed workforce across the six continents, 24 countries, and 49 metropolitan areas where we have a presence. Where appropriate, we provide employees with the opportunity to live and work globally and across the U.S.—including Texas, where we have a longstanding, significant investment in terms of properties and talent. We will continue to support other employee hubs across the U.S., including the San Francisco Bay Area, where we will retain a significant presence. We believe our distributed office approach will help our employees maintain a high quality of life—including a suitable degree of flexibility in choosing where to live and work, depending on their roles.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Director and Officer Indemnification Agreement</w:t>
      </w:r>
    </w:p>
    <w:p>
      <w:pPr>
        <w:spacing w:after="0" w:line="156" w:lineRule="exact"/>
        <w:rPr>
          <w:sz w:val="20"/>
          <w:szCs w:val="20"/>
          <w:color w:val="auto"/>
        </w:rPr>
      </w:pPr>
    </w:p>
    <w:p>
      <w:pPr>
        <w:ind w:left="20" w:right="79" w:firstLine="228"/>
        <w:spacing w:after="0" w:line="249" w:lineRule="auto"/>
        <w:rPr>
          <w:sz w:val="20"/>
          <w:szCs w:val="20"/>
          <w:color w:val="auto"/>
        </w:rPr>
      </w:pPr>
      <w:r>
        <w:rPr>
          <w:rFonts w:ascii="Times New Roman" w:cs="Times New Roman" w:eastAsia="Times New Roman" w:hAnsi="Times New Roman"/>
          <w:sz w:val="13"/>
          <w:szCs w:val="13"/>
          <w:color w:val="auto"/>
        </w:rPr>
        <w:t>On or about February 26, 2021, the Company entered into, or will enter into, new indemnification agreements with each of its directors and executive officers (each, an “Indemnitee”). The indemnification agreements provide that the Company will indemnify the Indemnitee against certain expenses and costs arising out of claims to which he or she becomes subject in connection with his or her service to the Company. The indemnification agreements contain customary terms and conditions and establish certain customary procedures and presumptions. Each new indemnification agreement with a current director or officer will replace and supersede the prior indemnification agreement between the Company and such director or officer, if such director or officer was a party to a prior indemnification agreement.</w:t>
      </w:r>
    </w:p>
    <w:p>
      <w:pPr>
        <w:spacing w:after="0" w:line="136" w:lineRule="exact"/>
        <w:rPr>
          <w:sz w:val="20"/>
          <w:szCs w:val="20"/>
          <w:color w:val="auto"/>
        </w:rPr>
      </w:pPr>
    </w:p>
    <w:p>
      <w:pPr>
        <w:ind w:left="20" w:right="499" w:firstLine="228"/>
        <w:spacing w:after="0" w:line="268" w:lineRule="auto"/>
        <w:rPr>
          <w:sz w:val="20"/>
          <w:szCs w:val="20"/>
          <w:color w:val="auto"/>
        </w:rPr>
      </w:pPr>
      <w:r>
        <w:rPr>
          <w:rFonts w:ascii="Times New Roman" w:cs="Times New Roman" w:eastAsia="Times New Roman" w:hAnsi="Times New Roman"/>
          <w:sz w:val="13"/>
          <w:szCs w:val="13"/>
          <w:color w:val="auto"/>
        </w:rPr>
        <w:t>The above description of the indemnification agreements does not purport to be complete and is qualified in its entirety by reference to the form of indemnification agreement filed as Exhibit 10.59 hereto and incorporated herein by reference.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94" w:name="page195"/>
    <w:bookmarkEnd w:id="19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154"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ITEM 10.</w:t>
      </w:r>
      <w:r>
        <w:rPr>
          <w:sz w:val="20"/>
          <w:szCs w:val="20"/>
          <w:color w:val="auto"/>
        </w:rPr>
        <w:tab/>
      </w:r>
      <w:r>
        <w:rPr>
          <w:rFonts w:ascii="Times New Roman" w:cs="Times New Roman" w:eastAsia="Times New Roman" w:hAnsi="Times New Roman"/>
          <w:sz w:val="12"/>
          <w:szCs w:val="12"/>
          <w:b w:val="1"/>
          <w:bCs w:val="1"/>
          <w:color w:val="auto"/>
        </w:rPr>
        <w:t>DIRECTORS, EXECUTIVE OFFICERS AND CORPORATE GOVERNANCE</w:t>
      </w:r>
    </w:p>
    <w:p>
      <w:pPr>
        <w:spacing w:after="0" w:line="156" w:lineRule="exact"/>
        <w:rPr>
          <w:sz w:val="20"/>
          <w:szCs w:val="20"/>
          <w:color w:val="auto"/>
        </w:rPr>
      </w:pPr>
    </w:p>
    <w:p>
      <w:pPr>
        <w:ind w:left="20" w:right="219" w:firstLine="228"/>
        <w:spacing w:after="0" w:line="268" w:lineRule="auto"/>
        <w:rPr>
          <w:sz w:val="20"/>
          <w:szCs w:val="20"/>
          <w:color w:val="auto"/>
        </w:rPr>
      </w:pPr>
      <w:r>
        <w:rPr>
          <w:rFonts w:ascii="Times New Roman" w:cs="Times New Roman" w:eastAsia="Times New Roman" w:hAnsi="Times New Roman"/>
          <w:sz w:val="13"/>
          <w:szCs w:val="13"/>
          <w:color w:val="auto"/>
        </w:rPr>
        <w:t>The information concerning our directors, executive officers and corporate governance required by Item 10 will be included in the Proxy Statement to be filed relating to our 2021 Annual Meeting of Stockholders and is incorporated herein by reference.</w:t>
      </w:r>
    </w:p>
    <w:p>
      <w:pPr>
        <w:spacing w:after="0" w:line="122" w:lineRule="exact"/>
        <w:rPr>
          <w:sz w:val="20"/>
          <w:szCs w:val="20"/>
          <w:color w:val="auto"/>
        </w:rPr>
      </w:pPr>
    </w:p>
    <w:p>
      <w:pPr>
        <w:ind w:left="20" w:right="59" w:firstLine="228"/>
        <w:spacing w:after="0" w:line="248" w:lineRule="auto"/>
        <w:rPr>
          <w:sz w:val="20"/>
          <w:szCs w:val="20"/>
          <w:color w:val="auto"/>
        </w:rPr>
      </w:pPr>
      <w:r>
        <w:rPr>
          <w:rFonts w:ascii="Times New Roman" w:cs="Times New Roman" w:eastAsia="Times New Roman" w:hAnsi="Times New Roman"/>
          <w:sz w:val="13"/>
          <w:szCs w:val="13"/>
          <w:color w:val="auto"/>
        </w:rPr>
        <w:t>We have filed, as exhibits to this Annual Report on Form 10-K for the year ended December 31, 2020, the certifications of our Chief Executive Officer and Chief Financial Officer required under Section 302 of the Sarbanes Oxley Act to be filed with the Securities and Exchange Commission regarding the quality of our public disclosure. We have furnished to the Securities and Exchange Commission as exhibits to this Annual Report on Form 10-K for the year ended December 31, 2020, the certifications of our Chief Executive Officer and Chief Financial Officer required under Section 906 of the Sarbanes Oxley Act. In addition, as required by Section 303A.12 of the NYSE Listed Company Manual, our Chief Executive Officer made his annual certification to the NYSE stating that he was not aware of any violation by the Company of the corporate governance listing standards of the NYSE.</w:t>
      </w:r>
    </w:p>
    <w:p>
      <w:pPr>
        <w:spacing w:after="0" w:line="134"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3"/>
          <w:szCs w:val="13"/>
          <w:b w:val="1"/>
          <w:bCs w:val="1"/>
          <w:color w:val="auto"/>
        </w:rPr>
        <w:t>ITEM 11.</w:t>
      </w:r>
      <w:r>
        <w:rPr>
          <w:sz w:val="20"/>
          <w:szCs w:val="20"/>
          <w:color w:val="auto"/>
        </w:rPr>
        <w:tab/>
      </w:r>
      <w:r>
        <w:rPr>
          <w:rFonts w:ascii="Times New Roman" w:cs="Times New Roman" w:eastAsia="Times New Roman" w:hAnsi="Times New Roman"/>
          <w:sz w:val="12"/>
          <w:szCs w:val="12"/>
          <w:b w:val="1"/>
          <w:bCs w:val="1"/>
          <w:color w:val="auto"/>
        </w:rPr>
        <w:t>EXECUTIVE COMPENSATION</w:t>
      </w:r>
    </w:p>
    <w:p>
      <w:pPr>
        <w:spacing w:after="0" w:line="156" w:lineRule="exact"/>
        <w:rPr>
          <w:sz w:val="20"/>
          <w:szCs w:val="20"/>
          <w:color w:val="auto"/>
        </w:rPr>
      </w:pPr>
    </w:p>
    <w:p>
      <w:pPr>
        <w:ind w:left="20" w:right="259" w:firstLine="228"/>
        <w:spacing w:after="0" w:line="268" w:lineRule="auto"/>
        <w:rPr>
          <w:sz w:val="20"/>
          <w:szCs w:val="20"/>
          <w:color w:val="auto"/>
        </w:rPr>
      </w:pPr>
      <w:r>
        <w:rPr>
          <w:rFonts w:ascii="Times New Roman" w:cs="Times New Roman" w:eastAsia="Times New Roman" w:hAnsi="Times New Roman"/>
          <w:sz w:val="13"/>
          <w:szCs w:val="13"/>
          <w:color w:val="auto"/>
        </w:rPr>
        <w:t>The information concerning our executive compensation required by Item 11 will be included in the Proxy Statement to be filed relating to our 2021 Annual Meeting of Stockholders and is incorporated herein by reference.</w:t>
      </w:r>
    </w:p>
    <w:p>
      <w:pPr>
        <w:spacing w:after="0" w:line="120"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ITEM 12.</w:t>
      </w:r>
      <w:r>
        <w:rPr>
          <w:sz w:val="20"/>
          <w:szCs w:val="20"/>
          <w:color w:val="auto"/>
        </w:rPr>
        <w:tab/>
      </w:r>
      <w:r>
        <w:rPr>
          <w:rFonts w:ascii="Times New Roman" w:cs="Times New Roman" w:eastAsia="Times New Roman" w:hAnsi="Times New Roman"/>
          <w:sz w:val="12"/>
          <w:szCs w:val="12"/>
          <w:b w:val="1"/>
          <w:bCs w:val="1"/>
          <w:color w:val="auto"/>
        </w:rPr>
        <w:t>SECURITY OWNERSHIP OF CERTAIN BENEFICIAL OWNERS AND MANAGEMENT AND RELATED STOCKHOLDER MATTERS</w:t>
      </w:r>
    </w:p>
    <w:p>
      <w:pPr>
        <w:spacing w:after="0" w:line="156" w:lineRule="exact"/>
        <w:rPr>
          <w:sz w:val="20"/>
          <w:szCs w:val="20"/>
          <w:color w:val="auto"/>
        </w:rPr>
      </w:pPr>
    </w:p>
    <w:p>
      <w:pPr>
        <w:ind w:left="20" w:right="339" w:firstLine="228"/>
        <w:spacing w:after="0" w:line="256" w:lineRule="auto"/>
        <w:rPr>
          <w:sz w:val="20"/>
          <w:szCs w:val="20"/>
          <w:color w:val="auto"/>
        </w:rPr>
      </w:pPr>
      <w:r>
        <w:rPr>
          <w:rFonts w:ascii="Times New Roman" w:cs="Times New Roman" w:eastAsia="Times New Roman" w:hAnsi="Times New Roman"/>
          <w:sz w:val="13"/>
          <w:szCs w:val="13"/>
          <w:color w:val="auto"/>
        </w:rPr>
        <w:t>The information concerning the security ownership of certain beneficial owners and management and related stockholder matters (including equity compensation plan information) required by Item 12 will be included in the Proxy Statement to be filed relating to our 2021 Annual Meeting of Stockholders and is incorporated herein by reference.</w:t>
      </w:r>
    </w:p>
    <w:p>
      <w:pPr>
        <w:spacing w:after="0" w:line="127"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ITEM 13.</w:t>
      </w:r>
      <w:r>
        <w:rPr>
          <w:sz w:val="20"/>
          <w:szCs w:val="20"/>
          <w:color w:val="auto"/>
        </w:rPr>
        <w:tab/>
      </w:r>
      <w:r>
        <w:rPr>
          <w:rFonts w:ascii="Times New Roman" w:cs="Times New Roman" w:eastAsia="Times New Roman" w:hAnsi="Times New Roman"/>
          <w:sz w:val="12"/>
          <w:szCs w:val="12"/>
          <w:b w:val="1"/>
          <w:bCs w:val="1"/>
          <w:color w:val="auto"/>
        </w:rPr>
        <w:t>CERTAIN RELATIONSHIPS AND RELATED TRANSACTIONS AND DIRECTOR INDEPENDENCE</w:t>
      </w:r>
    </w:p>
    <w:p>
      <w:pPr>
        <w:spacing w:after="0" w:line="156" w:lineRule="exact"/>
        <w:rPr>
          <w:sz w:val="20"/>
          <w:szCs w:val="20"/>
          <w:color w:val="auto"/>
        </w:rPr>
      </w:pPr>
    </w:p>
    <w:p>
      <w:pPr>
        <w:ind w:left="20" w:right="279" w:firstLine="228"/>
        <w:spacing w:after="0" w:line="268" w:lineRule="auto"/>
        <w:rPr>
          <w:sz w:val="20"/>
          <w:szCs w:val="20"/>
          <w:color w:val="auto"/>
        </w:rPr>
      </w:pPr>
      <w:r>
        <w:rPr>
          <w:rFonts w:ascii="Times New Roman" w:cs="Times New Roman" w:eastAsia="Times New Roman" w:hAnsi="Times New Roman"/>
          <w:sz w:val="13"/>
          <w:szCs w:val="13"/>
          <w:color w:val="auto"/>
        </w:rPr>
        <w:t>The information concerning certain relationships, related transactions and director independence required by Item 13 will be included in the Proxy Statement to be filed relating to our 2021 Annual Meeting of Stockholders and is incorporated herein by reference.</w:t>
      </w:r>
    </w:p>
    <w:p>
      <w:pPr>
        <w:spacing w:after="0" w:line="120"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ITEM 14.</w:t>
      </w:r>
      <w:r>
        <w:rPr>
          <w:sz w:val="20"/>
          <w:szCs w:val="20"/>
          <w:color w:val="auto"/>
        </w:rPr>
        <w:tab/>
      </w:r>
      <w:r>
        <w:rPr>
          <w:rFonts w:ascii="Times New Roman" w:cs="Times New Roman" w:eastAsia="Times New Roman" w:hAnsi="Times New Roman"/>
          <w:sz w:val="12"/>
          <w:szCs w:val="12"/>
          <w:b w:val="1"/>
          <w:bCs w:val="1"/>
          <w:color w:val="auto"/>
        </w:rPr>
        <w:t>PRINCIPAL ACCOUNTING FEES AND SERVICES</w:t>
      </w:r>
    </w:p>
    <w:p>
      <w:pPr>
        <w:spacing w:after="0" w:line="156" w:lineRule="exact"/>
        <w:rPr>
          <w:sz w:val="20"/>
          <w:szCs w:val="20"/>
          <w:color w:val="auto"/>
        </w:rPr>
      </w:pPr>
    </w:p>
    <w:p>
      <w:pPr>
        <w:ind w:left="20" w:right="139" w:firstLine="228"/>
        <w:spacing w:after="0" w:line="268" w:lineRule="auto"/>
        <w:rPr>
          <w:sz w:val="20"/>
          <w:szCs w:val="20"/>
          <w:color w:val="auto"/>
        </w:rPr>
      </w:pPr>
      <w:r>
        <w:rPr>
          <w:rFonts w:ascii="Times New Roman" w:cs="Times New Roman" w:eastAsia="Times New Roman" w:hAnsi="Times New Roman"/>
          <w:sz w:val="13"/>
          <w:szCs w:val="13"/>
          <w:color w:val="auto"/>
        </w:rPr>
        <w:t>The information concerning our principal accounting fees and services required by Item 14 will be included in the Proxy Statement to be filed relating to our 2021 Annual Meeting of Stockholders and is incorporated herein by reference.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95" w:name="page196"/>
    <w:bookmarkEnd w:id="19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0" w:type="dxa"/>
            <w:vAlign w:val="bottom"/>
            <w:gridSpan w:val="16"/>
          </w:tcPr>
          <w:p>
            <w:pPr>
              <w:ind w:left="160"/>
              <w:spacing w:after="0"/>
              <w:rPr>
                <w:sz w:val="20"/>
                <w:szCs w:val="20"/>
                <w:color w:val="auto"/>
              </w:rPr>
            </w:pPr>
            <w:r>
              <w:rPr>
                <w:rFonts w:ascii="Times New Roman" w:cs="Times New Roman" w:eastAsia="Times New Roman" w:hAnsi="Times New Roman"/>
                <w:sz w:val="13"/>
                <w:szCs w:val="13"/>
                <w:b w:val="1"/>
                <w:bCs w:val="1"/>
                <w:color w:val="auto"/>
              </w:rPr>
              <w:t>PART IV</w:t>
            </w:r>
          </w:p>
        </w:tc>
        <w:tc>
          <w:tcPr>
            <w:tcW w:w="0" w:type="dxa"/>
            <w:vAlign w:val="bottom"/>
          </w:tcPr>
          <w:p>
            <w:pPr>
              <w:spacing w:after="0"/>
              <w:rPr>
                <w:sz w:val="1"/>
                <w:szCs w:val="1"/>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15.</w:t>
            </w:r>
          </w:p>
        </w:tc>
        <w:tc>
          <w:tcPr>
            <w:tcW w:w="8220" w:type="dxa"/>
            <w:vAlign w:val="bottom"/>
            <w:gridSpan w:val="20"/>
          </w:tcPr>
          <w:p>
            <w:pPr>
              <w:ind w:left="180"/>
              <w:spacing w:after="0"/>
              <w:rPr>
                <w:sz w:val="20"/>
                <w:szCs w:val="20"/>
                <w:color w:val="auto"/>
              </w:rPr>
            </w:pPr>
            <w:r>
              <w:rPr>
                <w:rFonts w:ascii="Times New Roman" w:cs="Times New Roman" w:eastAsia="Times New Roman" w:hAnsi="Times New Roman"/>
                <w:sz w:val="13"/>
                <w:szCs w:val="13"/>
                <w:b w:val="1"/>
                <w:bCs w:val="1"/>
                <w:color w:val="auto"/>
              </w:rPr>
              <w:t>EXHIBITS.</w:t>
            </w:r>
          </w:p>
        </w:tc>
        <w:tc>
          <w:tcPr>
            <w:tcW w:w="0" w:type="dxa"/>
            <w:vAlign w:val="bottom"/>
          </w:tcPr>
          <w:p>
            <w:pPr>
              <w:spacing w:after="0"/>
              <w:rPr>
                <w:sz w:val="1"/>
                <w:szCs w:val="1"/>
                <w:color w:val="auto"/>
              </w:rPr>
            </w:pPr>
          </w:p>
        </w:tc>
      </w:tr>
      <w:tr>
        <w:trPr>
          <w:trHeight w:val="249"/>
        </w:trPr>
        <w:tc>
          <w:tcPr>
            <w:tcW w:w="7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8220" w:type="dxa"/>
            <w:vAlign w:val="bottom"/>
            <w:gridSpan w:val="20"/>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1"/>
        </w:trPr>
        <w:tc>
          <w:tcPr>
            <w:tcW w:w="7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8220" w:type="dxa"/>
            <w:vAlign w:val="bottom"/>
            <w:gridSpan w:val="2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2.1</w:t>
            </w:r>
          </w:p>
        </w:tc>
        <w:tc>
          <w:tcPr>
            <w:tcW w:w="160" w:type="dxa"/>
            <w:vAlign w:val="bottom"/>
          </w:tcPr>
          <w:p>
            <w:pPr>
              <w:spacing w:after="0"/>
              <w:rPr>
                <w:sz w:val="23"/>
                <w:szCs w:val="23"/>
                <w:color w:val="auto"/>
              </w:rPr>
            </w:pPr>
          </w:p>
        </w:tc>
        <w:tc>
          <w:tcPr>
            <w:tcW w:w="8220" w:type="dxa"/>
            <w:vAlign w:val="bottom"/>
            <w:tcBorders>
              <w:top w:val="single" w:sz="8" w:color="auto"/>
            </w:tcBorders>
            <w:gridSpan w:val="20"/>
          </w:tcPr>
          <w:p>
            <w:pPr>
              <w:spacing w:after="0"/>
              <w:rPr>
                <w:rFonts w:ascii="Times New Roman" w:cs="Times New Roman" w:eastAsia="Times New Roman" w:hAnsi="Times New Roman"/>
                <w:sz w:val="13"/>
                <w:szCs w:val="13"/>
                <w:color w:val="0000EE"/>
                <w:w w:val="99"/>
              </w:rPr>
            </w:pPr>
            <w:hyperlink r:id="rId214">
              <w:r>
                <w:rPr>
                  <w:rFonts w:ascii="Times New Roman" w:cs="Times New Roman" w:eastAsia="Times New Roman" w:hAnsi="Times New Roman"/>
                  <w:sz w:val="13"/>
                  <w:szCs w:val="13"/>
                  <w:color w:val="0000EE"/>
                  <w:w w:val="99"/>
                </w:rPr>
                <w:t>Amendment No. 1 to Purchase Agreement dated as of January 23, 2020, by and among Digital Realty Trust, Inc., Digital Intrepid Holding B.V. and Interxion</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20" w:type="dxa"/>
            <w:vAlign w:val="bottom"/>
            <w:gridSpan w:val="20"/>
          </w:tcPr>
          <w:p>
            <w:pPr>
              <w:spacing w:after="0" w:line="132" w:lineRule="exact"/>
              <w:rPr>
                <w:rFonts w:ascii="Times New Roman" w:cs="Times New Roman" w:eastAsia="Times New Roman" w:hAnsi="Times New Roman"/>
                <w:sz w:val="13"/>
                <w:szCs w:val="13"/>
                <w:color w:val="0000EE"/>
                <w:w w:val="97"/>
              </w:rPr>
            </w:pPr>
            <w:hyperlink r:id="rId214">
              <w:r>
                <w:rPr>
                  <w:rFonts w:ascii="Times New Roman" w:cs="Times New Roman" w:eastAsia="Times New Roman" w:hAnsi="Times New Roman"/>
                  <w:sz w:val="13"/>
                  <w:szCs w:val="13"/>
                  <w:color w:val="0000EE"/>
                  <w:w w:val="97"/>
                </w:rPr>
                <w:t>Holding N.V. (incorporated by reference to Exhibit 2.1 to the Current Report on Form 8-K of Digital Realty Trust, Inc. (File No. 001-32336) filed on January 27,</w:t>
              </w:r>
            </w:hyperlink>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top w:val="single" w:sz="8" w:color="0000EE"/>
              <w:bottom w:val="single" w:sz="8" w:color="0000EE"/>
            </w:tcBorders>
            <w:gridSpan w:val="2"/>
          </w:tcPr>
          <w:p>
            <w:pPr>
              <w:spacing w:after="0" w:line="132" w:lineRule="exact"/>
              <w:rPr>
                <w:rFonts w:ascii="Times New Roman" w:cs="Times New Roman" w:eastAsia="Times New Roman" w:hAnsi="Times New Roman"/>
                <w:sz w:val="13"/>
                <w:szCs w:val="13"/>
                <w:color w:val="0000EE"/>
                <w:w w:val="95"/>
              </w:rPr>
            </w:pPr>
            <w:hyperlink r:id="rId214">
              <w:r>
                <w:rPr>
                  <w:rFonts w:ascii="Times New Roman" w:cs="Times New Roman" w:eastAsia="Times New Roman" w:hAnsi="Times New Roman"/>
                  <w:sz w:val="13"/>
                  <w:szCs w:val="13"/>
                  <w:color w:val="0000EE"/>
                  <w:w w:val="95"/>
                </w:rPr>
                <w:t>2020).</w:t>
              </w:r>
            </w:hyperlink>
          </w:p>
        </w:tc>
        <w:tc>
          <w:tcPr>
            <w:tcW w:w="340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080" w:type="dxa"/>
            <w:vAlign w:val="bottom"/>
            <w:tcBorders>
              <w:top w:val="single" w:sz="8" w:color="0000EE"/>
            </w:tcBorders>
          </w:tcPr>
          <w:p>
            <w:pPr>
              <w:spacing w:after="0"/>
              <w:rPr>
                <w:sz w:val="11"/>
                <w:szCs w:val="11"/>
                <w:color w:val="auto"/>
              </w:rPr>
            </w:pPr>
          </w:p>
        </w:tc>
        <w:tc>
          <w:tcPr>
            <w:tcW w:w="84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9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3.1</w:t>
            </w:r>
          </w:p>
        </w:tc>
        <w:tc>
          <w:tcPr>
            <w:tcW w:w="160" w:type="dxa"/>
            <w:vAlign w:val="bottom"/>
          </w:tcPr>
          <w:p>
            <w:pPr>
              <w:spacing w:after="0"/>
              <w:rPr>
                <w:sz w:val="24"/>
                <w:szCs w:val="24"/>
                <w:color w:val="auto"/>
              </w:rPr>
            </w:pPr>
          </w:p>
        </w:tc>
        <w:tc>
          <w:tcPr>
            <w:tcW w:w="8200" w:type="dxa"/>
            <w:vAlign w:val="bottom"/>
            <w:tcBorders>
              <w:bottom w:val="single" w:sz="8" w:color="0000EE"/>
            </w:tcBorders>
            <w:gridSpan w:val="19"/>
          </w:tcPr>
          <w:p>
            <w:pPr>
              <w:spacing w:after="0"/>
              <w:rPr>
                <w:rFonts w:ascii="Times New Roman" w:cs="Times New Roman" w:eastAsia="Times New Roman" w:hAnsi="Times New Roman"/>
                <w:sz w:val="13"/>
                <w:szCs w:val="13"/>
                <w:color w:val="0000EE"/>
                <w:w w:val="97"/>
              </w:rPr>
            </w:pPr>
            <w:hyperlink r:id="rId215">
              <w:r>
                <w:rPr>
                  <w:rFonts w:ascii="Times New Roman" w:cs="Times New Roman" w:eastAsia="Times New Roman" w:hAnsi="Times New Roman"/>
                  <w:sz w:val="13"/>
                  <w:szCs w:val="13"/>
                  <w:color w:val="0000EE"/>
                  <w:w w:val="97"/>
                </w:rPr>
                <w:t>Articles of Amendment and Restatement of Digital Realty Trust, Inc., as amended (incorporated by reference to Exhibit 3.1 to the Combined Quarterly Report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700" w:type="dxa"/>
            <w:vAlign w:val="bottom"/>
            <w:tcBorders>
              <w:bottom w:val="single" w:sz="8" w:color="0000EE"/>
            </w:tcBorders>
            <w:gridSpan w:val="8"/>
          </w:tcPr>
          <w:p>
            <w:pPr>
              <w:spacing w:after="0" w:line="132" w:lineRule="exact"/>
              <w:rPr>
                <w:rFonts w:ascii="Times New Roman" w:cs="Times New Roman" w:eastAsia="Times New Roman" w:hAnsi="Times New Roman"/>
                <w:sz w:val="13"/>
                <w:szCs w:val="13"/>
                <w:color w:val="0000EE"/>
                <w:w w:val="96"/>
              </w:rPr>
            </w:pPr>
            <w:hyperlink r:id="rId215">
              <w:r>
                <w:rPr>
                  <w:rFonts w:ascii="Times New Roman" w:cs="Times New Roman" w:eastAsia="Times New Roman" w:hAnsi="Times New Roman"/>
                  <w:sz w:val="13"/>
                  <w:szCs w:val="13"/>
                  <w:color w:val="0000EE"/>
                  <w:w w:val="96"/>
                </w:rPr>
                <w:t>Form 10-Q of Digital Realty Trust, Inc. and Digital Realty Trust, L.P. (File Nos. 001-32336 and 000-54023) filed on May 11, 2020).</w:t>
              </w:r>
            </w:hyperlink>
          </w:p>
        </w:tc>
        <w:tc>
          <w:tcPr>
            <w:tcW w:w="152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160" w:type="dxa"/>
            <w:vAlign w:val="bottom"/>
          </w:tcPr>
          <w:p>
            <w:pPr>
              <w:spacing w:after="0"/>
              <w:rPr>
                <w:sz w:val="24"/>
                <w:szCs w:val="24"/>
                <w:color w:val="auto"/>
              </w:rPr>
            </w:pPr>
          </w:p>
        </w:tc>
        <w:tc>
          <w:tcPr>
            <w:tcW w:w="8040" w:type="dxa"/>
            <w:vAlign w:val="bottom"/>
            <w:tcBorders>
              <w:bottom w:val="single" w:sz="8" w:color="0000EE"/>
            </w:tcBorders>
            <w:gridSpan w:val="15"/>
          </w:tcPr>
          <w:p>
            <w:pPr>
              <w:spacing w:after="0"/>
              <w:rPr>
                <w:rFonts w:ascii="Times New Roman" w:cs="Times New Roman" w:eastAsia="Times New Roman" w:hAnsi="Times New Roman"/>
                <w:sz w:val="13"/>
                <w:szCs w:val="13"/>
                <w:color w:val="0000EE"/>
                <w:w w:val="97"/>
              </w:rPr>
            </w:pPr>
            <w:hyperlink r:id="rId216">
              <w:r>
                <w:rPr>
                  <w:rFonts w:ascii="Times New Roman" w:cs="Times New Roman" w:eastAsia="Times New Roman" w:hAnsi="Times New Roman"/>
                  <w:sz w:val="13"/>
                  <w:szCs w:val="13"/>
                  <w:color w:val="0000EE"/>
                  <w:w w:val="97"/>
                </w:rPr>
                <w:t>Eighth Amended and Restated Bylaws of Digital Realty Trust, Inc. (incorporated by reference to Exhibit 3.2 to the Combined Annual Report on Form 10-K of</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20" w:type="dxa"/>
            <w:vAlign w:val="bottom"/>
            <w:gridSpan w:val="20"/>
          </w:tcPr>
          <w:p>
            <w:pPr>
              <w:spacing w:after="0" w:line="132" w:lineRule="exact"/>
              <w:rPr>
                <w:rFonts w:ascii="Times New Roman" w:cs="Times New Roman" w:eastAsia="Times New Roman" w:hAnsi="Times New Roman"/>
                <w:sz w:val="13"/>
                <w:szCs w:val="13"/>
                <w:color w:val="0000EE"/>
              </w:rPr>
            </w:pPr>
            <w:hyperlink r:id="rId216">
              <w:r>
                <w:rPr>
                  <w:rFonts w:ascii="Times New Roman" w:cs="Times New Roman" w:eastAsia="Times New Roman" w:hAnsi="Times New Roman"/>
                  <w:sz w:val="13"/>
                  <w:szCs w:val="13"/>
                  <w:color w:val="0000EE"/>
                </w:rPr>
                <w:t>Digital Realty Trust, Inc. and Digital Realty Trust, L.P. (File Nos. 001-32336 and 000-54023) filed on February 25, 2019).</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3.3</w:t>
            </w:r>
          </w:p>
        </w:tc>
        <w:tc>
          <w:tcPr>
            <w:tcW w:w="160" w:type="dxa"/>
            <w:vAlign w:val="bottom"/>
          </w:tcPr>
          <w:p>
            <w:pPr>
              <w:spacing w:after="0"/>
              <w:rPr>
                <w:sz w:val="24"/>
                <w:szCs w:val="24"/>
                <w:color w:val="auto"/>
              </w:rPr>
            </w:pPr>
          </w:p>
        </w:tc>
        <w:tc>
          <w:tcPr>
            <w:tcW w:w="7680" w:type="dxa"/>
            <w:vAlign w:val="bottom"/>
            <w:tcBorders>
              <w:bottom w:val="single" w:sz="8" w:color="0000EE"/>
            </w:tcBorders>
            <w:gridSpan w:val="9"/>
          </w:tcPr>
          <w:p>
            <w:pPr>
              <w:spacing w:after="0"/>
              <w:rPr>
                <w:rFonts w:ascii="Times New Roman" w:cs="Times New Roman" w:eastAsia="Times New Roman" w:hAnsi="Times New Roman"/>
                <w:sz w:val="13"/>
                <w:szCs w:val="13"/>
                <w:color w:val="0000EE"/>
                <w:w w:val="96"/>
              </w:rPr>
            </w:pPr>
            <w:hyperlink r:id="rId217">
              <w:r>
                <w:rPr>
                  <w:rFonts w:ascii="Times New Roman" w:cs="Times New Roman" w:eastAsia="Times New Roman" w:hAnsi="Times New Roman"/>
                  <w:sz w:val="13"/>
                  <w:szCs w:val="13"/>
                  <w:color w:val="0000EE"/>
                  <w:w w:val="96"/>
                </w:rPr>
                <w:t>Certificate of Limited Partnership of Digital Realty Trust, L.P. (incorporated by reference to Exhibit 3.1 to Digital Realty Trust, L.P.’s General Form for</w:t>
              </w:r>
            </w:hyperlink>
          </w:p>
        </w:tc>
        <w:tc>
          <w:tcPr>
            <w:tcW w:w="5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60" w:type="dxa"/>
            <w:vAlign w:val="bottom"/>
            <w:tcBorders>
              <w:bottom w:val="single" w:sz="8" w:color="0000EE"/>
            </w:tcBorders>
            <w:gridSpan w:val="5"/>
          </w:tcPr>
          <w:p>
            <w:pPr>
              <w:spacing w:after="0" w:line="132" w:lineRule="exact"/>
              <w:rPr>
                <w:rFonts w:ascii="Times New Roman" w:cs="Times New Roman" w:eastAsia="Times New Roman" w:hAnsi="Times New Roman"/>
                <w:sz w:val="13"/>
                <w:szCs w:val="13"/>
                <w:color w:val="0000EE"/>
                <w:w w:val="97"/>
              </w:rPr>
            </w:pPr>
            <w:hyperlink r:id="rId217">
              <w:r>
                <w:rPr>
                  <w:rFonts w:ascii="Times New Roman" w:cs="Times New Roman" w:eastAsia="Times New Roman" w:hAnsi="Times New Roman"/>
                  <w:sz w:val="13"/>
                  <w:szCs w:val="13"/>
                  <w:color w:val="0000EE"/>
                  <w:w w:val="97"/>
                </w:rPr>
                <w:t>Registration of Securities on Form 10 filed on June 25, 2010 (File No. 000-54023)).</w:t>
              </w:r>
            </w:hyperlink>
          </w:p>
        </w:tc>
        <w:tc>
          <w:tcPr>
            <w:tcW w:w="3960" w:type="dxa"/>
            <w:vAlign w:val="bottom"/>
            <w:gridSpan w:val="15"/>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3.4</w:t>
            </w:r>
          </w:p>
        </w:tc>
        <w:tc>
          <w:tcPr>
            <w:tcW w:w="160" w:type="dxa"/>
            <w:vAlign w:val="bottom"/>
          </w:tcPr>
          <w:p>
            <w:pPr>
              <w:spacing w:after="0"/>
              <w:rPr>
                <w:sz w:val="24"/>
                <w:szCs w:val="24"/>
                <w:color w:val="auto"/>
              </w:rPr>
            </w:pPr>
          </w:p>
        </w:tc>
        <w:tc>
          <w:tcPr>
            <w:tcW w:w="7940" w:type="dxa"/>
            <w:vAlign w:val="bottom"/>
            <w:tcBorders>
              <w:bottom w:val="single" w:sz="8" w:color="0000EE"/>
            </w:tcBorders>
            <w:gridSpan w:val="12"/>
          </w:tcPr>
          <w:p>
            <w:pPr>
              <w:spacing w:after="0"/>
              <w:rPr>
                <w:rFonts w:ascii="Times New Roman" w:cs="Times New Roman" w:eastAsia="Times New Roman" w:hAnsi="Times New Roman"/>
                <w:sz w:val="13"/>
                <w:szCs w:val="13"/>
                <w:color w:val="0000EE"/>
                <w:w w:val="96"/>
              </w:rPr>
            </w:pPr>
            <w:hyperlink r:id="rId218">
              <w:r>
                <w:rPr>
                  <w:rFonts w:ascii="Times New Roman" w:cs="Times New Roman" w:eastAsia="Times New Roman" w:hAnsi="Times New Roman"/>
                  <w:sz w:val="13"/>
                  <w:szCs w:val="13"/>
                  <w:color w:val="0000EE"/>
                  <w:w w:val="96"/>
                </w:rPr>
                <w:t>Nineteenth Amended and Restated Agreement of Limited Partnership of Digital Realty Trust, L.P. (incorporated by reference to Exhibit 3.1 to the Combined</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20" w:type="dxa"/>
            <w:vAlign w:val="bottom"/>
            <w:gridSpan w:val="20"/>
          </w:tcPr>
          <w:p>
            <w:pPr>
              <w:spacing w:after="0"/>
              <w:rPr>
                <w:rFonts w:ascii="Times New Roman" w:cs="Times New Roman" w:eastAsia="Times New Roman" w:hAnsi="Times New Roman"/>
                <w:sz w:val="13"/>
                <w:szCs w:val="13"/>
                <w:u w:val="single" w:color="auto"/>
                <w:color w:val="0000EE"/>
              </w:rPr>
            </w:pPr>
            <w:hyperlink r:id="rId218">
              <w:r>
                <w:rPr>
                  <w:rFonts w:ascii="Times New Roman" w:cs="Times New Roman" w:eastAsia="Times New Roman" w:hAnsi="Times New Roman"/>
                  <w:sz w:val="13"/>
                  <w:szCs w:val="13"/>
                  <w:u w:val="single" w:color="auto"/>
                  <w:color w:val="0000EE"/>
                </w:rPr>
                <w:t>Current Report on Form 8-K of Digital Realty Trust, Inc. and Digital Realty Trust, L.P. (File Nos. 001-32336 and 000-54023) filed on October 10, 2019).</w:t>
              </w:r>
            </w:hyperlink>
          </w:p>
        </w:tc>
        <w:tc>
          <w:tcPr>
            <w:tcW w:w="0" w:type="dxa"/>
            <w:vAlign w:val="bottom"/>
          </w:tcPr>
          <w:p>
            <w:pPr>
              <w:spacing w:after="0"/>
              <w:rPr>
                <w:sz w:val="1"/>
                <w:szCs w:val="1"/>
                <w:color w:val="auto"/>
              </w:rPr>
            </w:pPr>
          </w:p>
        </w:tc>
      </w:tr>
      <w:tr>
        <w:trPr>
          <w:trHeight w:val="275"/>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4.1</w:t>
            </w:r>
          </w:p>
        </w:tc>
        <w:tc>
          <w:tcPr>
            <w:tcW w:w="160" w:type="dxa"/>
            <w:vAlign w:val="bottom"/>
          </w:tcPr>
          <w:p>
            <w:pPr>
              <w:spacing w:after="0"/>
              <w:rPr>
                <w:sz w:val="23"/>
                <w:szCs w:val="23"/>
                <w:color w:val="auto"/>
              </w:rPr>
            </w:pPr>
          </w:p>
        </w:tc>
        <w:tc>
          <w:tcPr>
            <w:tcW w:w="7800" w:type="dxa"/>
            <w:vAlign w:val="bottom"/>
            <w:tcBorders>
              <w:bottom w:val="single" w:sz="8" w:color="0000EE"/>
            </w:tcBorders>
            <w:gridSpan w:val="10"/>
          </w:tcPr>
          <w:p>
            <w:pPr>
              <w:spacing w:after="0"/>
              <w:rPr>
                <w:rFonts w:ascii="Times New Roman" w:cs="Times New Roman" w:eastAsia="Times New Roman" w:hAnsi="Times New Roman"/>
                <w:sz w:val="13"/>
                <w:szCs w:val="13"/>
                <w:color w:val="0000EE"/>
                <w:w w:val="96"/>
              </w:rPr>
            </w:pPr>
            <w:hyperlink r:id="rId219">
              <w:r>
                <w:rPr>
                  <w:rFonts w:ascii="Times New Roman" w:cs="Times New Roman" w:eastAsia="Times New Roman" w:hAnsi="Times New Roman"/>
                  <w:sz w:val="13"/>
                  <w:szCs w:val="13"/>
                  <w:color w:val="0000EE"/>
                  <w:w w:val="96"/>
                </w:rPr>
                <w:t>Specimen Certificate for Common Stock for Digital Realty Trust, Inc. (incorporated by reference to Exhibit 4.1 to Digital Realty Trust, Inc.’s Registration</w:t>
              </w:r>
            </w:hyperlink>
          </w:p>
        </w:tc>
        <w:tc>
          <w:tcPr>
            <w:tcW w:w="42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20" w:type="dxa"/>
            <w:vAlign w:val="bottom"/>
            <w:gridSpan w:val="20"/>
          </w:tcPr>
          <w:p>
            <w:pPr>
              <w:spacing w:after="0" w:line="132" w:lineRule="exact"/>
              <w:rPr>
                <w:rFonts w:ascii="Times New Roman" w:cs="Times New Roman" w:eastAsia="Times New Roman" w:hAnsi="Times New Roman"/>
                <w:sz w:val="13"/>
                <w:szCs w:val="13"/>
                <w:color w:val="0000EE"/>
              </w:rPr>
            </w:pPr>
            <w:hyperlink r:id="rId219">
              <w:r>
                <w:rPr>
                  <w:rFonts w:ascii="Times New Roman" w:cs="Times New Roman" w:eastAsia="Times New Roman" w:hAnsi="Times New Roman"/>
                  <w:sz w:val="13"/>
                  <w:szCs w:val="13"/>
                  <w:color w:val="0000EE"/>
                </w:rPr>
                <w:t>Statement on Form S-11 (Registration No. 333-117865) (File No. 001-32336) filed on October 26, 2004).</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4.2</w:t>
            </w:r>
          </w:p>
        </w:tc>
        <w:tc>
          <w:tcPr>
            <w:tcW w:w="160" w:type="dxa"/>
            <w:vAlign w:val="bottom"/>
          </w:tcPr>
          <w:p>
            <w:pPr>
              <w:spacing w:after="0"/>
              <w:rPr>
                <w:sz w:val="24"/>
                <w:szCs w:val="24"/>
                <w:color w:val="auto"/>
              </w:rPr>
            </w:pPr>
          </w:p>
        </w:tc>
        <w:tc>
          <w:tcPr>
            <w:tcW w:w="8180" w:type="dxa"/>
            <w:vAlign w:val="bottom"/>
            <w:tcBorders>
              <w:bottom w:val="single" w:sz="8" w:color="0000EE"/>
            </w:tcBorders>
            <w:gridSpan w:val="18"/>
          </w:tcPr>
          <w:p>
            <w:pPr>
              <w:spacing w:after="0"/>
              <w:rPr>
                <w:rFonts w:ascii="Times New Roman" w:cs="Times New Roman" w:eastAsia="Times New Roman" w:hAnsi="Times New Roman"/>
                <w:sz w:val="13"/>
                <w:szCs w:val="13"/>
                <w:color w:val="0000EE"/>
                <w:w w:val="96"/>
              </w:rPr>
            </w:pPr>
            <w:hyperlink r:id="rId220">
              <w:r>
                <w:rPr>
                  <w:rFonts w:ascii="Times New Roman" w:cs="Times New Roman" w:eastAsia="Times New Roman" w:hAnsi="Times New Roman"/>
                  <w:sz w:val="13"/>
                  <w:szCs w:val="13"/>
                  <w:color w:val="0000EE"/>
                  <w:w w:val="96"/>
                </w:rPr>
                <w:t>Registration Rights Agreement, dated as of October 27, 2004, by and among Digital Realty Trust, Inc., Digital Realty Trust, L.P. and the Unit Holders, as defined</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20" w:type="dxa"/>
            <w:vAlign w:val="bottom"/>
            <w:gridSpan w:val="20"/>
          </w:tcPr>
          <w:p>
            <w:pPr>
              <w:spacing w:after="0" w:line="132" w:lineRule="exact"/>
              <w:rPr>
                <w:rFonts w:ascii="Times New Roman" w:cs="Times New Roman" w:eastAsia="Times New Roman" w:hAnsi="Times New Roman"/>
                <w:sz w:val="13"/>
                <w:szCs w:val="13"/>
                <w:color w:val="0000EE"/>
              </w:rPr>
            </w:pPr>
            <w:hyperlink r:id="rId220">
              <w:r>
                <w:rPr>
                  <w:rFonts w:ascii="Times New Roman" w:cs="Times New Roman" w:eastAsia="Times New Roman" w:hAnsi="Times New Roman"/>
                  <w:sz w:val="13"/>
                  <w:szCs w:val="13"/>
                  <w:color w:val="0000EE"/>
                </w:rPr>
                <w:t>therein (incorporated by reference to Exhibit 10.2 to Digital Realty Trust, Inc.’s Quarterly Report on Form 10-Q (File No. 001-32336) filed on December 13,</w:t>
              </w:r>
            </w:hyperlink>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top w:val="single" w:sz="8" w:color="0000EE"/>
              <w:bottom w:val="single" w:sz="8" w:color="0000EE"/>
            </w:tcBorders>
            <w:gridSpan w:val="2"/>
          </w:tcPr>
          <w:p>
            <w:pPr>
              <w:spacing w:after="0" w:line="132" w:lineRule="exact"/>
              <w:rPr>
                <w:rFonts w:ascii="Times New Roman" w:cs="Times New Roman" w:eastAsia="Times New Roman" w:hAnsi="Times New Roman"/>
                <w:sz w:val="13"/>
                <w:szCs w:val="13"/>
                <w:color w:val="0000EE"/>
                <w:w w:val="95"/>
              </w:rPr>
            </w:pPr>
            <w:hyperlink r:id="rId220">
              <w:r>
                <w:rPr>
                  <w:rFonts w:ascii="Times New Roman" w:cs="Times New Roman" w:eastAsia="Times New Roman" w:hAnsi="Times New Roman"/>
                  <w:sz w:val="13"/>
                  <w:szCs w:val="13"/>
                  <w:color w:val="0000EE"/>
                  <w:w w:val="95"/>
                </w:rPr>
                <w:t>2004).</w:t>
              </w:r>
            </w:hyperlink>
          </w:p>
        </w:tc>
        <w:tc>
          <w:tcPr>
            <w:tcW w:w="340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080" w:type="dxa"/>
            <w:vAlign w:val="bottom"/>
            <w:tcBorders>
              <w:top w:val="single" w:sz="8" w:color="0000EE"/>
            </w:tcBorders>
          </w:tcPr>
          <w:p>
            <w:pPr>
              <w:spacing w:after="0"/>
              <w:rPr>
                <w:sz w:val="11"/>
                <w:szCs w:val="11"/>
                <w:color w:val="auto"/>
              </w:rPr>
            </w:pPr>
          </w:p>
        </w:tc>
        <w:tc>
          <w:tcPr>
            <w:tcW w:w="84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9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4.3</w:t>
            </w:r>
          </w:p>
        </w:tc>
        <w:tc>
          <w:tcPr>
            <w:tcW w:w="160" w:type="dxa"/>
            <w:vAlign w:val="bottom"/>
          </w:tcPr>
          <w:p>
            <w:pPr>
              <w:spacing w:after="0"/>
              <w:rPr>
                <w:sz w:val="24"/>
                <w:szCs w:val="24"/>
                <w:color w:val="auto"/>
              </w:rPr>
            </w:pPr>
          </w:p>
        </w:tc>
        <w:tc>
          <w:tcPr>
            <w:tcW w:w="7940" w:type="dxa"/>
            <w:vAlign w:val="bottom"/>
            <w:tcBorders>
              <w:bottom w:val="single" w:sz="8" w:color="0000EE"/>
            </w:tcBorders>
            <w:gridSpan w:val="12"/>
          </w:tcPr>
          <w:p>
            <w:pPr>
              <w:spacing w:after="0"/>
              <w:rPr>
                <w:rFonts w:ascii="Times New Roman" w:cs="Times New Roman" w:eastAsia="Times New Roman" w:hAnsi="Times New Roman"/>
                <w:sz w:val="13"/>
                <w:szCs w:val="13"/>
                <w:color w:val="0000EE"/>
                <w:w w:val="96"/>
              </w:rPr>
            </w:pPr>
            <w:hyperlink r:id="rId221">
              <w:r>
                <w:rPr>
                  <w:rFonts w:ascii="Times New Roman" w:cs="Times New Roman" w:eastAsia="Times New Roman" w:hAnsi="Times New Roman"/>
                  <w:sz w:val="13"/>
                  <w:szCs w:val="13"/>
                  <w:color w:val="0000EE"/>
                  <w:w w:val="96"/>
                </w:rPr>
                <w:t>Indenture, dated as of March 8, 2011, among Digital Realty Trust, L.P., as issuer, Digital Realty Trust, Inc., as guarantor, and Deutsche Bank Trust Company</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80" w:type="dxa"/>
            <w:vAlign w:val="bottom"/>
            <w:tcBorders>
              <w:bottom w:val="single" w:sz="8" w:color="0000EE"/>
            </w:tcBorders>
            <w:gridSpan w:val="11"/>
          </w:tcPr>
          <w:p>
            <w:pPr>
              <w:spacing w:after="0" w:line="132" w:lineRule="exact"/>
              <w:rPr>
                <w:rFonts w:ascii="Times New Roman" w:cs="Times New Roman" w:eastAsia="Times New Roman" w:hAnsi="Times New Roman"/>
                <w:sz w:val="13"/>
                <w:szCs w:val="13"/>
                <w:color w:val="0000EE"/>
                <w:w w:val="97"/>
              </w:rPr>
            </w:pPr>
            <w:hyperlink r:id="rId221">
              <w:r>
                <w:rPr>
                  <w:rFonts w:ascii="Times New Roman" w:cs="Times New Roman" w:eastAsia="Times New Roman" w:hAnsi="Times New Roman"/>
                  <w:sz w:val="13"/>
                  <w:szCs w:val="13"/>
                  <w:color w:val="0000EE"/>
                  <w:w w:val="97"/>
                </w:rPr>
                <w:t>Americas, as trustee (incorporated by reference to Exhibit 4.1 to the Combined Current Report on Form 8-K of Digital Realty Trust, Inc. and Digital Realty</w:t>
              </w:r>
            </w:hyperlink>
          </w:p>
        </w:tc>
        <w:tc>
          <w:tcPr>
            <w:tcW w:w="34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740" w:type="dxa"/>
            <w:vAlign w:val="bottom"/>
            <w:tcBorders>
              <w:bottom w:val="single" w:sz="8" w:color="0000EE"/>
            </w:tcBorders>
            <w:gridSpan w:val="3"/>
          </w:tcPr>
          <w:p>
            <w:pPr>
              <w:spacing w:after="0" w:line="132" w:lineRule="exact"/>
              <w:rPr>
                <w:rFonts w:ascii="Times New Roman" w:cs="Times New Roman" w:eastAsia="Times New Roman" w:hAnsi="Times New Roman"/>
                <w:sz w:val="13"/>
                <w:szCs w:val="13"/>
                <w:color w:val="0000EE"/>
                <w:w w:val="96"/>
              </w:rPr>
            </w:pPr>
            <w:hyperlink r:id="rId221">
              <w:r>
                <w:rPr>
                  <w:rFonts w:ascii="Times New Roman" w:cs="Times New Roman" w:eastAsia="Times New Roman" w:hAnsi="Times New Roman"/>
                  <w:sz w:val="13"/>
                  <w:szCs w:val="13"/>
                  <w:color w:val="0000EE"/>
                  <w:w w:val="96"/>
                </w:rPr>
                <w:t>Trust, L.P. (File Nos. 001-32336 and 000-54023) filed on March 8, 2011).</w:t>
              </w:r>
            </w:hyperlink>
          </w:p>
        </w:tc>
        <w:tc>
          <w:tcPr>
            <w:tcW w:w="4480" w:type="dxa"/>
            <w:vAlign w:val="bottom"/>
            <w:gridSpan w:val="17"/>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4.4</w:t>
            </w:r>
          </w:p>
        </w:tc>
        <w:tc>
          <w:tcPr>
            <w:tcW w:w="160" w:type="dxa"/>
            <w:vAlign w:val="bottom"/>
          </w:tcPr>
          <w:p>
            <w:pPr>
              <w:spacing w:after="0"/>
              <w:rPr>
                <w:sz w:val="24"/>
                <w:szCs w:val="24"/>
                <w:color w:val="auto"/>
              </w:rPr>
            </w:pPr>
          </w:p>
        </w:tc>
        <w:tc>
          <w:tcPr>
            <w:tcW w:w="8040" w:type="dxa"/>
            <w:vAlign w:val="bottom"/>
            <w:tcBorders>
              <w:bottom w:val="single" w:sz="8" w:color="0000EE"/>
            </w:tcBorders>
            <w:gridSpan w:val="15"/>
          </w:tcPr>
          <w:p>
            <w:pPr>
              <w:spacing w:after="0"/>
              <w:rPr>
                <w:rFonts w:ascii="Times New Roman" w:cs="Times New Roman" w:eastAsia="Times New Roman" w:hAnsi="Times New Roman"/>
                <w:sz w:val="13"/>
                <w:szCs w:val="13"/>
                <w:color w:val="0000EE"/>
                <w:w w:val="96"/>
              </w:rPr>
            </w:pPr>
            <w:hyperlink r:id="rId222">
              <w:r>
                <w:rPr>
                  <w:rFonts w:ascii="Times New Roman" w:cs="Times New Roman" w:eastAsia="Times New Roman" w:hAnsi="Times New Roman"/>
                  <w:sz w:val="13"/>
                  <w:szCs w:val="13"/>
                  <w:color w:val="0000EE"/>
                  <w:w w:val="96"/>
                </w:rPr>
                <w:t>Indenture, dated as of September 24, 2012, among Digital Realty Trust, L.P., as issuer, Digital Realty Trust, Inc., as guarantor, and Wells Fargo Bank, National</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0" w:type="dxa"/>
            <w:vAlign w:val="bottom"/>
            <w:tcBorders>
              <w:bottom w:val="single" w:sz="8" w:color="0000EE"/>
            </w:tcBorders>
            <w:gridSpan w:val="14"/>
          </w:tcPr>
          <w:p>
            <w:pPr>
              <w:spacing w:after="0" w:line="132" w:lineRule="exact"/>
              <w:rPr>
                <w:rFonts w:ascii="Times New Roman" w:cs="Times New Roman" w:eastAsia="Times New Roman" w:hAnsi="Times New Roman"/>
                <w:sz w:val="13"/>
                <w:szCs w:val="13"/>
                <w:color w:val="0000EE"/>
                <w:w w:val="97"/>
              </w:rPr>
            </w:pPr>
            <w:hyperlink r:id="rId222">
              <w:r>
                <w:rPr>
                  <w:rFonts w:ascii="Times New Roman" w:cs="Times New Roman" w:eastAsia="Times New Roman" w:hAnsi="Times New Roman"/>
                  <w:sz w:val="13"/>
                  <w:szCs w:val="13"/>
                  <w:color w:val="0000EE"/>
                  <w:w w:val="97"/>
                </w:rPr>
                <w:t>Association, as trustee (incorporated by reference to Exhibit 4.1 to the Combined Current Report on Form 8-K of Digital Realty Trust, Inc. and Digital Realty</w:t>
              </w:r>
            </w:hyperlink>
          </w:p>
        </w:tc>
        <w:tc>
          <w:tcPr>
            <w:tcW w:w="2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20" w:type="dxa"/>
            <w:vAlign w:val="bottom"/>
            <w:tcBorders>
              <w:bottom w:val="single" w:sz="8" w:color="0000EE"/>
            </w:tcBorders>
            <w:gridSpan w:val="4"/>
          </w:tcPr>
          <w:p>
            <w:pPr>
              <w:spacing w:after="0" w:line="132" w:lineRule="exact"/>
              <w:rPr>
                <w:rFonts w:ascii="Times New Roman" w:cs="Times New Roman" w:eastAsia="Times New Roman" w:hAnsi="Times New Roman"/>
                <w:sz w:val="13"/>
                <w:szCs w:val="13"/>
                <w:color w:val="0000EE"/>
                <w:w w:val="96"/>
              </w:rPr>
            </w:pPr>
            <w:hyperlink r:id="rId222">
              <w:r>
                <w:rPr>
                  <w:rFonts w:ascii="Times New Roman" w:cs="Times New Roman" w:eastAsia="Times New Roman" w:hAnsi="Times New Roman"/>
                  <w:sz w:val="13"/>
                  <w:szCs w:val="13"/>
                  <w:color w:val="0000EE"/>
                  <w:w w:val="96"/>
                </w:rPr>
                <w:t>Trust, L.P. (File Nos. 001-32336 and 000-54023) filed on September 24, 2012).</w:t>
              </w:r>
            </w:hyperlink>
          </w:p>
        </w:tc>
        <w:tc>
          <w:tcPr>
            <w:tcW w:w="4200" w:type="dxa"/>
            <w:vAlign w:val="bottom"/>
            <w:gridSpan w:val="16"/>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4.5</w:t>
            </w:r>
          </w:p>
        </w:tc>
        <w:tc>
          <w:tcPr>
            <w:tcW w:w="160" w:type="dxa"/>
            <w:vAlign w:val="bottom"/>
          </w:tcPr>
          <w:p>
            <w:pPr>
              <w:spacing w:after="0"/>
              <w:rPr>
                <w:sz w:val="24"/>
                <w:szCs w:val="24"/>
                <w:color w:val="auto"/>
              </w:rPr>
            </w:pPr>
          </w:p>
        </w:tc>
        <w:tc>
          <w:tcPr>
            <w:tcW w:w="8220" w:type="dxa"/>
            <w:vAlign w:val="bottom"/>
            <w:gridSpan w:val="20"/>
          </w:tcPr>
          <w:p>
            <w:pPr>
              <w:spacing w:after="0"/>
              <w:rPr>
                <w:rFonts w:ascii="Times New Roman" w:cs="Times New Roman" w:eastAsia="Times New Roman" w:hAnsi="Times New Roman"/>
                <w:sz w:val="13"/>
                <w:szCs w:val="13"/>
                <w:color w:val="0000EE"/>
                <w:w w:val="99"/>
              </w:rPr>
            </w:pPr>
            <w:hyperlink r:id="rId223">
              <w:r>
                <w:rPr>
                  <w:rFonts w:ascii="Times New Roman" w:cs="Times New Roman" w:eastAsia="Times New Roman" w:hAnsi="Times New Roman"/>
                  <w:sz w:val="13"/>
                  <w:szCs w:val="13"/>
                  <w:color w:val="0000EE"/>
                  <w:w w:val="99"/>
                </w:rPr>
                <w:t>Supplemental Indenture No. 1, dated as of September 24, 2012, among Digital Realty Trust, L.P., as issuer, Digital Realty Trust, Inc., as guarantor, and Wells</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20" w:type="dxa"/>
            <w:vAlign w:val="bottom"/>
            <w:gridSpan w:val="11"/>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20" w:type="dxa"/>
            <w:vAlign w:val="bottom"/>
            <w:gridSpan w:val="20"/>
          </w:tcPr>
          <w:p>
            <w:pPr>
              <w:spacing w:after="0" w:line="132" w:lineRule="exact"/>
              <w:rPr>
                <w:rFonts w:ascii="Times New Roman" w:cs="Times New Roman" w:eastAsia="Times New Roman" w:hAnsi="Times New Roman"/>
                <w:sz w:val="13"/>
                <w:szCs w:val="13"/>
                <w:color w:val="0000EE"/>
                <w:w w:val="99"/>
              </w:rPr>
            </w:pPr>
            <w:hyperlink r:id="rId223">
              <w:r>
                <w:rPr>
                  <w:rFonts w:ascii="Times New Roman" w:cs="Times New Roman" w:eastAsia="Times New Roman" w:hAnsi="Times New Roman"/>
                  <w:sz w:val="13"/>
                  <w:szCs w:val="13"/>
                  <w:color w:val="0000EE"/>
                  <w:w w:val="99"/>
                </w:rPr>
                <w:t>Fargo Bank, National Association, as trustee, including the form of 3.625% Notes due 2022 and the guarantee (incorporated by reference to Exhibit 4.2 to the</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60" w:type="dxa"/>
            <w:vAlign w:val="bottom"/>
            <w:gridSpan w:val="1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20" w:type="dxa"/>
            <w:vAlign w:val="bottom"/>
            <w:gridSpan w:val="20"/>
          </w:tcPr>
          <w:p>
            <w:pPr>
              <w:spacing w:after="0" w:line="132" w:lineRule="exact"/>
              <w:rPr>
                <w:rFonts w:ascii="Times New Roman" w:cs="Times New Roman" w:eastAsia="Times New Roman" w:hAnsi="Times New Roman"/>
                <w:sz w:val="13"/>
                <w:szCs w:val="13"/>
                <w:color w:val="0000EE"/>
                <w:w w:val="98"/>
              </w:rPr>
            </w:pPr>
            <w:hyperlink r:id="rId223">
              <w:r>
                <w:rPr>
                  <w:rFonts w:ascii="Times New Roman" w:cs="Times New Roman" w:eastAsia="Times New Roman" w:hAnsi="Times New Roman"/>
                  <w:sz w:val="13"/>
                  <w:szCs w:val="13"/>
                  <w:color w:val="0000EE"/>
                  <w:w w:val="98"/>
                </w:rPr>
                <w:t>Combined Current Report on Form 8-K of Digital Realty Trust, Inc. and Digital Realty Trust, L.P. (File Nos. 001-32336 and 000-54023) filed on September 24,</w:t>
              </w:r>
            </w:hyperlink>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top w:val="single" w:sz="8" w:color="0000EE"/>
              <w:bottom w:val="single" w:sz="8" w:color="0000EE"/>
            </w:tcBorders>
          </w:tcPr>
          <w:p>
            <w:pPr>
              <w:spacing w:after="0" w:line="132" w:lineRule="exact"/>
              <w:rPr>
                <w:rFonts w:ascii="Times New Roman" w:cs="Times New Roman" w:eastAsia="Times New Roman" w:hAnsi="Times New Roman"/>
                <w:sz w:val="13"/>
                <w:szCs w:val="13"/>
                <w:color w:val="0000EE"/>
                <w:w w:val="89"/>
              </w:rPr>
            </w:pPr>
            <w:hyperlink r:id="rId223">
              <w:r>
                <w:rPr>
                  <w:rFonts w:ascii="Times New Roman" w:cs="Times New Roman" w:eastAsia="Times New Roman" w:hAnsi="Times New Roman"/>
                  <w:sz w:val="13"/>
                  <w:szCs w:val="13"/>
                  <w:color w:val="0000EE"/>
                  <w:w w:val="89"/>
                </w:rPr>
                <w:t>2012).</w:t>
              </w:r>
            </w:hyperlink>
          </w:p>
        </w:tc>
        <w:tc>
          <w:tcPr>
            <w:tcW w:w="20" w:type="dxa"/>
            <w:vAlign w:val="bottom"/>
            <w:tcBorders>
              <w:top w:val="single" w:sz="8" w:color="0000EE"/>
            </w:tcBorders>
          </w:tcPr>
          <w:p>
            <w:pPr>
              <w:spacing w:after="0"/>
              <w:rPr>
                <w:sz w:val="11"/>
                <w:szCs w:val="11"/>
                <w:color w:val="auto"/>
              </w:rPr>
            </w:pPr>
          </w:p>
        </w:tc>
        <w:tc>
          <w:tcPr>
            <w:tcW w:w="340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080" w:type="dxa"/>
            <w:vAlign w:val="bottom"/>
            <w:tcBorders>
              <w:top w:val="single" w:sz="8" w:color="0000EE"/>
            </w:tcBorders>
          </w:tcPr>
          <w:p>
            <w:pPr>
              <w:spacing w:after="0"/>
              <w:rPr>
                <w:sz w:val="11"/>
                <w:szCs w:val="11"/>
                <w:color w:val="auto"/>
              </w:rPr>
            </w:pPr>
          </w:p>
        </w:tc>
        <w:tc>
          <w:tcPr>
            <w:tcW w:w="84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9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gridSpan w:val="4"/>
          </w:tcPr>
          <w:p>
            <w:pPr>
              <w:ind w:left="3640"/>
              <w:spacing w:after="0"/>
              <w:rPr>
                <w:sz w:val="20"/>
                <w:szCs w:val="20"/>
                <w:color w:val="auto"/>
              </w:rPr>
            </w:pPr>
            <w:r>
              <w:rPr>
                <w:rFonts w:ascii="Times New Roman" w:cs="Times New Roman" w:eastAsia="Times New Roman" w:hAnsi="Times New Roman"/>
                <w:sz w:val="13"/>
                <w:szCs w:val="13"/>
                <w:color w:val="auto"/>
              </w:rPr>
              <w:t>191</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02" w:right="1440" w:bottom="1440" w:gutter="0" w:footer="0" w:header="0"/>
        </w:sectPr>
      </w:pPr>
    </w:p>
    <w:bookmarkStart w:id="196" w:name="page197"/>
    <w:bookmarkEnd w:id="19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4.6</w:t>
            </w:r>
          </w:p>
        </w:tc>
        <w:tc>
          <w:tcPr>
            <w:tcW w:w="7960" w:type="dxa"/>
            <w:vAlign w:val="bottom"/>
            <w:tcBorders>
              <w:bottom w:val="single" w:sz="8" w:color="0000EE"/>
            </w:tcBorders>
            <w:gridSpan w:val="11"/>
          </w:tcPr>
          <w:p>
            <w:pPr>
              <w:spacing w:after="0"/>
              <w:rPr>
                <w:rFonts w:ascii="Times New Roman" w:cs="Times New Roman" w:eastAsia="Times New Roman" w:hAnsi="Times New Roman"/>
                <w:sz w:val="13"/>
                <w:szCs w:val="13"/>
                <w:color w:val="0000EE"/>
                <w:w w:val="96"/>
              </w:rPr>
            </w:pPr>
            <w:hyperlink r:id="rId224">
              <w:r>
                <w:rPr>
                  <w:rFonts w:ascii="Times New Roman" w:cs="Times New Roman" w:eastAsia="Times New Roman" w:hAnsi="Times New Roman"/>
                  <w:sz w:val="13"/>
                  <w:szCs w:val="13"/>
                  <w:color w:val="0000EE"/>
                  <w:w w:val="96"/>
                </w:rPr>
                <w:t>Indenture, dated as of January 18, 2013, among Digital Stout Holding, LLC, Digital Realty Trust, Inc., Digital Realty Trust, L.P., Deutsche Trustee Company</w:t>
              </w:r>
            </w:hyperlink>
          </w:p>
        </w:tc>
        <w:tc>
          <w:tcPr>
            <w:tcW w:w="260" w:type="dxa"/>
            <w:vAlign w:val="bottom"/>
            <w:gridSpan w:val="9"/>
          </w:tcPr>
          <w:p>
            <w:pPr>
              <w:spacing w:after="0"/>
              <w:rPr>
                <w:sz w:val="12"/>
                <w:szCs w:val="12"/>
                <w:color w:val="auto"/>
              </w:rPr>
            </w:pPr>
          </w:p>
        </w:tc>
      </w:tr>
      <w:tr>
        <w:trPr>
          <w:trHeight w:val="132"/>
        </w:trPr>
        <w:tc>
          <w:tcPr>
            <w:tcW w:w="740" w:type="dxa"/>
            <w:vAlign w:val="bottom"/>
          </w:tcPr>
          <w:p>
            <w:pPr>
              <w:spacing w:after="0"/>
              <w:rPr>
                <w:sz w:val="11"/>
                <w:szCs w:val="11"/>
                <w:color w:val="auto"/>
              </w:rPr>
            </w:pPr>
          </w:p>
        </w:tc>
        <w:tc>
          <w:tcPr>
            <w:tcW w:w="8220" w:type="dxa"/>
            <w:vAlign w:val="bottom"/>
            <w:gridSpan w:val="20"/>
          </w:tcPr>
          <w:p>
            <w:pPr>
              <w:spacing w:after="0" w:line="132" w:lineRule="exact"/>
              <w:rPr>
                <w:rFonts w:ascii="Times New Roman" w:cs="Times New Roman" w:eastAsia="Times New Roman" w:hAnsi="Times New Roman"/>
                <w:sz w:val="13"/>
                <w:szCs w:val="13"/>
                <w:color w:val="0000EE"/>
                <w:w w:val="99"/>
              </w:rPr>
            </w:pPr>
            <w:hyperlink r:id="rId224">
              <w:r>
                <w:rPr>
                  <w:rFonts w:ascii="Times New Roman" w:cs="Times New Roman" w:eastAsia="Times New Roman" w:hAnsi="Times New Roman"/>
                  <w:sz w:val="13"/>
                  <w:szCs w:val="13"/>
                  <w:color w:val="0000EE"/>
                  <w:w w:val="99"/>
                </w:rPr>
                <w:t>Limited, as trustee, Deutsche Bank AG, London Branch, as paying agent and a transfer agent, and Deutsche Bank Luxembourg S.A., as registrar and a transfer</w:t>
              </w:r>
            </w:hyperlink>
          </w:p>
        </w:tc>
      </w:tr>
      <w:tr>
        <w:trPr>
          <w:trHeight w:val="20"/>
        </w:trPr>
        <w:tc>
          <w:tcPr>
            <w:tcW w:w="74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060" w:type="dxa"/>
            <w:vAlign w:val="bottom"/>
            <w:tcBorders>
              <w:bottom w:val="single" w:sz="8" w:color="0000EE"/>
            </w:tcBorders>
            <w:gridSpan w:val="14"/>
          </w:tcPr>
          <w:p>
            <w:pPr>
              <w:spacing w:after="0" w:line="132" w:lineRule="exact"/>
              <w:rPr>
                <w:rFonts w:ascii="Times New Roman" w:cs="Times New Roman" w:eastAsia="Times New Roman" w:hAnsi="Times New Roman"/>
                <w:sz w:val="13"/>
                <w:szCs w:val="13"/>
                <w:color w:val="0000EE"/>
                <w:w w:val="97"/>
              </w:rPr>
            </w:pPr>
            <w:hyperlink r:id="rId224">
              <w:r>
                <w:rPr>
                  <w:rFonts w:ascii="Times New Roman" w:cs="Times New Roman" w:eastAsia="Times New Roman" w:hAnsi="Times New Roman"/>
                  <w:sz w:val="13"/>
                  <w:szCs w:val="13"/>
                  <w:color w:val="0000EE"/>
                  <w:w w:val="97"/>
                </w:rPr>
                <w:t>agent, including the form of the 4.250% Guaranteed Notes due 2025 (incorporated by reference to Exhibit 4.1 to the Combined Current Report on Form 8-K of</w:t>
              </w:r>
            </w:hyperlink>
          </w:p>
        </w:tc>
        <w:tc>
          <w:tcPr>
            <w:tcW w:w="160" w:type="dxa"/>
            <w:vAlign w:val="bottom"/>
            <w:gridSpan w:val="6"/>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20" w:type="dxa"/>
            <w:vAlign w:val="bottom"/>
            <w:gridSpan w:val="20"/>
          </w:tcPr>
          <w:p>
            <w:pPr>
              <w:spacing w:after="0" w:line="132" w:lineRule="exact"/>
              <w:rPr>
                <w:rFonts w:ascii="Times New Roman" w:cs="Times New Roman" w:eastAsia="Times New Roman" w:hAnsi="Times New Roman"/>
                <w:sz w:val="13"/>
                <w:szCs w:val="13"/>
                <w:color w:val="0000EE"/>
              </w:rPr>
            </w:pPr>
            <w:hyperlink r:id="rId224">
              <w:r>
                <w:rPr>
                  <w:rFonts w:ascii="Times New Roman" w:cs="Times New Roman" w:eastAsia="Times New Roman" w:hAnsi="Times New Roman"/>
                  <w:sz w:val="13"/>
                  <w:szCs w:val="13"/>
                  <w:color w:val="0000EE"/>
                </w:rPr>
                <w:t>Digital Realty Trust, Inc. and Digital Realty Trust, L.P. (File Nos. 001-32336 and 000-54023) filed on January 25, 2013).</w:t>
              </w:r>
            </w:hyperlink>
          </w:p>
        </w:tc>
      </w:tr>
      <w:tr>
        <w:trPr>
          <w:trHeight w:val="20"/>
        </w:trPr>
        <w:tc>
          <w:tcPr>
            <w:tcW w:w="74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4.7</w:t>
            </w:r>
          </w:p>
        </w:tc>
        <w:tc>
          <w:tcPr>
            <w:tcW w:w="8220" w:type="dxa"/>
            <w:vAlign w:val="bottom"/>
            <w:tcBorders>
              <w:bottom w:val="single" w:sz="8" w:color="0000EE"/>
            </w:tcBorders>
            <w:gridSpan w:val="20"/>
          </w:tcPr>
          <w:p>
            <w:pPr>
              <w:spacing w:after="0"/>
              <w:rPr>
                <w:rFonts w:ascii="Times New Roman" w:cs="Times New Roman" w:eastAsia="Times New Roman" w:hAnsi="Times New Roman"/>
                <w:sz w:val="13"/>
                <w:szCs w:val="13"/>
                <w:color w:val="0000EE"/>
                <w:w w:val="96"/>
              </w:rPr>
            </w:pPr>
            <w:hyperlink r:id="rId225">
              <w:r>
                <w:rPr>
                  <w:rFonts w:ascii="Times New Roman" w:cs="Times New Roman" w:eastAsia="Times New Roman" w:hAnsi="Times New Roman"/>
                  <w:sz w:val="13"/>
                  <w:szCs w:val="13"/>
                  <w:color w:val="0000EE"/>
                  <w:w w:val="96"/>
                </w:rPr>
                <w:t>Specimen Certificate for Digital Realty Trust, Inc.’s 5.875% Series G Cumulative Redeemable Preferred Stock (incorporated by reference to Exhibit 4.1 to Digital</w:t>
              </w:r>
            </w:hyperlink>
          </w:p>
        </w:tc>
      </w:tr>
      <w:tr>
        <w:trPr>
          <w:trHeight w:val="132"/>
        </w:trPr>
        <w:tc>
          <w:tcPr>
            <w:tcW w:w="740" w:type="dxa"/>
            <w:vAlign w:val="bottom"/>
          </w:tcPr>
          <w:p>
            <w:pPr>
              <w:spacing w:after="0"/>
              <w:rPr>
                <w:sz w:val="11"/>
                <w:szCs w:val="11"/>
                <w:color w:val="auto"/>
              </w:rPr>
            </w:pPr>
          </w:p>
        </w:tc>
        <w:tc>
          <w:tcPr>
            <w:tcW w:w="5160" w:type="dxa"/>
            <w:vAlign w:val="bottom"/>
            <w:tcBorders>
              <w:bottom w:val="single" w:sz="8" w:color="0000EE"/>
            </w:tcBorders>
            <w:gridSpan w:val="3"/>
          </w:tcPr>
          <w:p>
            <w:pPr>
              <w:spacing w:after="0" w:line="132" w:lineRule="exact"/>
              <w:rPr>
                <w:rFonts w:ascii="Times New Roman" w:cs="Times New Roman" w:eastAsia="Times New Roman" w:hAnsi="Times New Roman"/>
                <w:sz w:val="13"/>
                <w:szCs w:val="13"/>
                <w:color w:val="0000EE"/>
                <w:w w:val="96"/>
              </w:rPr>
            </w:pPr>
            <w:hyperlink r:id="rId225">
              <w:r>
                <w:rPr>
                  <w:rFonts w:ascii="Times New Roman" w:cs="Times New Roman" w:eastAsia="Times New Roman" w:hAnsi="Times New Roman"/>
                  <w:sz w:val="13"/>
                  <w:szCs w:val="13"/>
                  <w:color w:val="0000EE"/>
                  <w:w w:val="96"/>
                </w:rPr>
                <w:t>Realty Trust, Inc.’s Registration Statement on Form 8-A (File No. 001-32336) filed on April 4, 2013).</w:t>
              </w:r>
            </w:hyperlink>
          </w:p>
        </w:tc>
        <w:tc>
          <w:tcPr>
            <w:tcW w:w="3060" w:type="dxa"/>
            <w:vAlign w:val="bottom"/>
            <w:gridSpan w:val="17"/>
          </w:tcPr>
          <w:p>
            <w:pPr>
              <w:spacing w:after="0"/>
              <w:rPr>
                <w:sz w:val="11"/>
                <w:szCs w:val="1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4.8</w:t>
            </w:r>
          </w:p>
        </w:tc>
        <w:tc>
          <w:tcPr>
            <w:tcW w:w="8220" w:type="dxa"/>
            <w:vAlign w:val="bottom"/>
            <w:tcBorders>
              <w:bottom w:val="single" w:sz="8" w:color="0000EE"/>
            </w:tcBorders>
            <w:gridSpan w:val="20"/>
          </w:tcPr>
          <w:p>
            <w:pPr>
              <w:spacing w:after="0"/>
              <w:rPr>
                <w:rFonts w:ascii="Times New Roman" w:cs="Times New Roman" w:eastAsia="Times New Roman" w:hAnsi="Times New Roman"/>
                <w:sz w:val="13"/>
                <w:szCs w:val="13"/>
                <w:color w:val="0000EE"/>
                <w:w w:val="96"/>
              </w:rPr>
            </w:pPr>
            <w:hyperlink r:id="rId226">
              <w:r>
                <w:rPr>
                  <w:rFonts w:ascii="Times New Roman" w:cs="Times New Roman" w:eastAsia="Times New Roman" w:hAnsi="Times New Roman"/>
                  <w:sz w:val="13"/>
                  <w:szCs w:val="13"/>
                  <w:color w:val="0000EE"/>
                  <w:w w:val="96"/>
                </w:rPr>
                <w:t>Indenture, dated as of April 1, 2014, among Digital Stout Holding, LLC, Digital Realty Trust, Inc., Digital Realty Trust, L.P., Deutsche Trustee Company Limited,</w:t>
              </w:r>
            </w:hyperlink>
          </w:p>
        </w:tc>
      </w:tr>
      <w:tr>
        <w:trPr>
          <w:trHeight w:val="132"/>
        </w:trPr>
        <w:tc>
          <w:tcPr>
            <w:tcW w:w="740" w:type="dxa"/>
            <w:vAlign w:val="bottom"/>
          </w:tcPr>
          <w:p>
            <w:pPr>
              <w:spacing w:after="0"/>
              <w:rPr>
                <w:sz w:val="11"/>
                <w:szCs w:val="11"/>
                <w:color w:val="auto"/>
              </w:rPr>
            </w:pPr>
          </w:p>
        </w:tc>
        <w:tc>
          <w:tcPr>
            <w:tcW w:w="7920" w:type="dxa"/>
            <w:vAlign w:val="bottom"/>
            <w:tcBorders>
              <w:bottom w:val="single" w:sz="8" w:color="0000EE"/>
            </w:tcBorders>
            <w:gridSpan w:val="10"/>
          </w:tcPr>
          <w:p>
            <w:pPr>
              <w:spacing w:after="0" w:line="132" w:lineRule="exact"/>
              <w:rPr>
                <w:rFonts w:ascii="Times New Roman" w:cs="Times New Roman" w:eastAsia="Times New Roman" w:hAnsi="Times New Roman"/>
                <w:sz w:val="13"/>
                <w:szCs w:val="13"/>
                <w:color w:val="0000EE"/>
                <w:w w:val="97"/>
              </w:rPr>
            </w:pPr>
            <w:hyperlink r:id="rId226">
              <w:r>
                <w:rPr>
                  <w:rFonts w:ascii="Times New Roman" w:cs="Times New Roman" w:eastAsia="Times New Roman" w:hAnsi="Times New Roman"/>
                  <w:sz w:val="13"/>
                  <w:szCs w:val="13"/>
                  <w:color w:val="0000EE"/>
                  <w:w w:val="97"/>
                </w:rPr>
                <w:t>as trustee, Deutsche Bank AG, London Branch, as paying agent and a transfer agent, and Deutsche Bank Luxembourg S.A., as registrar and a transfer agent,</w:t>
              </w:r>
            </w:hyperlink>
          </w:p>
        </w:tc>
        <w:tc>
          <w:tcPr>
            <w:tcW w:w="300" w:type="dxa"/>
            <w:vAlign w:val="bottom"/>
            <w:gridSpan w:val="10"/>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7780" w:type="dxa"/>
            <w:vAlign w:val="bottom"/>
            <w:tcBorders>
              <w:bottom w:val="single" w:sz="8" w:color="0000EE"/>
            </w:tcBorders>
            <w:gridSpan w:val="9"/>
          </w:tcPr>
          <w:p>
            <w:pPr>
              <w:spacing w:after="0" w:line="132" w:lineRule="exact"/>
              <w:rPr>
                <w:rFonts w:ascii="Times New Roman" w:cs="Times New Roman" w:eastAsia="Times New Roman" w:hAnsi="Times New Roman"/>
                <w:sz w:val="13"/>
                <w:szCs w:val="13"/>
                <w:color w:val="0000EE"/>
                <w:w w:val="97"/>
              </w:rPr>
            </w:pPr>
            <w:hyperlink r:id="rId226">
              <w:r>
                <w:rPr>
                  <w:rFonts w:ascii="Times New Roman" w:cs="Times New Roman" w:eastAsia="Times New Roman" w:hAnsi="Times New Roman"/>
                  <w:sz w:val="13"/>
                  <w:szCs w:val="13"/>
                  <w:color w:val="0000EE"/>
                  <w:w w:val="97"/>
                </w:rPr>
                <w:t>including the form of the 4.750% Guaranteed Notes due 2023 (incorporated by reference to Exhibit 4.1 to the Combined Current Report of Digital Realty</w:t>
              </w:r>
            </w:hyperlink>
          </w:p>
        </w:tc>
        <w:tc>
          <w:tcPr>
            <w:tcW w:w="440" w:type="dxa"/>
            <w:vAlign w:val="bottom"/>
            <w:gridSpan w:val="11"/>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20" w:type="dxa"/>
            <w:vAlign w:val="bottom"/>
            <w:gridSpan w:val="20"/>
          </w:tcPr>
          <w:p>
            <w:pPr>
              <w:spacing w:after="0" w:line="132" w:lineRule="exact"/>
              <w:rPr>
                <w:rFonts w:ascii="Times New Roman" w:cs="Times New Roman" w:eastAsia="Times New Roman" w:hAnsi="Times New Roman"/>
                <w:sz w:val="13"/>
                <w:szCs w:val="13"/>
                <w:color w:val="0000EE"/>
              </w:rPr>
            </w:pPr>
            <w:hyperlink r:id="rId226">
              <w:r>
                <w:rPr>
                  <w:rFonts w:ascii="Times New Roman" w:cs="Times New Roman" w:eastAsia="Times New Roman" w:hAnsi="Times New Roman"/>
                  <w:sz w:val="13"/>
                  <w:szCs w:val="13"/>
                  <w:color w:val="0000EE"/>
                </w:rPr>
                <w:t>Trust, Inc. and Digital Realty Trust, L.P. on Form 8-K (File Nos. 001-32336 and 000-54023) filed on April 1, 2014).</w:t>
              </w:r>
            </w:hyperlink>
          </w:p>
        </w:tc>
      </w:tr>
      <w:tr>
        <w:trPr>
          <w:trHeight w:val="20"/>
        </w:trPr>
        <w:tc>
          <w:tcPr>
            <w:tcW w:w="74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4.9</w:t>
            </w:r>
          </w:p>
        </w:tc>
        <w:tc>
          <w:tcPr>
            <w:tcW w:w="8220" w:type="dxa"/>
            <w:vAlign w:val="bottom"/>
            <w:gridSpan w:val="20"/>
          </w:tcPr>
          <w:p>
            <w:pPr>
              <w:spacing w:after="0"/>
              <w:rPr>
                <w:rFonts w:ascii="Times New Roman" w:cs="Times New Roman" w:eastAsia="Times New Roman" w:hAnsi="Times New Roman"/>
                <w:sz w:val="13"/>
                <w:szCs w:val="13"/>
                <w:color w:val="0000EE"/>
              </w:rPr>
            </w:pPr>
            <w:hyperlink r:id="rId227">
              <w:r>
                <w:rPr>
                  <w:rFonts w:ascii="Times New Roman" w:cs="Times New Roman" w:eastAsia="Times New Roman" w:hAnsi="Times New Roman"/>
                  <w:sz w:val="13"/>
                  <w:szCs w:val="13"/>
                  <w:color w:val="0000EE"/>
                </w:rPr>
                <w:t>Indenture, dated as of June 23, 2015, among Digital Realty Trust, L.P., as issuer, Digital Realty Trust, Inc., as guarantor, and Wells Fargo Bank, National</w:t>
              </w:r>
            </w:hyperlink>
          </w:p>
        </w:tc>
      </w:tr>
      <w:tr>
        <w:trPr>
          <w:trHeight w:val="20"/>
        </w:trPr>
        <w:tc>
          <w:tcPr>
            <w:tcW w:w="74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040" w:type="dxa"/>
            <w:vAlign w:val="bottom"/>
            <w:tcBorders>
              <w:bottom w:val="single" w:sz="8" w:color="0000EE"/>
            </w:tcBorders>
            <w:gridSpan w:val="13"/>
          </w:tcPr>
          <w:p>
            <w:pPr>
              <w:spacing w:after="0" w:line="132" w:lineRule="exact"/>
              <w:rPr>
                <w:rFonts w:ascii="Times New Roman" w:cs="Times New Roman" w:eastAsia="Times New Roman" w:hAnsi="Times New Roman"/>
                <w:sz w:val="13"/>
                <w:szCs w:val="13"/>
                <w:color w:val="0000EE"/>
                <w:w w:val="97"/>
              </w:rPr>
            </w:pPr>
            <w:hyperlink r:id="rId227">
              <w:r>
                <w:rPr>
                  <w:rFonts w:ascii="Times New Roman" w:cs="Times New Roman" w:eastAsia="Times New Roman" w:hAnsi="Times New Roman"/>
                  <w:sz w:val="13"/>
                  <w:szCs w:val="13"/>
                  <w:color w:val="0000EE"/>
                  <w:w w:val="97"/>
                </w:rPr>
                <w:t>Association, as trustee (incorporated by reference to Exhibit 4.1 to the Combined Current Report on Form 8-K of Digital Realty Trust, Inc. and Digital Realty</w:t>
              </w:r>
            </w:hyperlink>
          </w:p>
        </w:tc>
        <w:tc>
          <w:tcPr>
            <w:tcW w:w="180" w:type="dxa"/>
            <w:vAlign w:val="bottom"/>
            <w:gridSpan w:val="7"/>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20" w:type="dxa"/>
            <w:vAlign w:val="bottom"/>
            <w:gridSpan w:val="20"/>
          </w:tcPr>
          <w:p>
            <w:pPr>
              <w:spacing w:after="0" w:line="132" w:lineRule="exact"/>
              <w:rPr>
                <w:rFonts w:ascii="Times New Roman" w:cs="Times New Roman" w:eastAsia="Times New Roman" w:hAnsi="Times New Roman"/>
                <w:sz w:val="13"/>
                <w:szCs w:val="13"/>
                <w:color w:val="0000EE"/>
              </w:rPr>
            </w:pPr>
            <w:hyperlink r:id="rId227">
              <w:r>
                <w:rPr>
                  <w:rFonts w:ascii="Times New Roman" w:cs="Times New Roman" w:eastAsia="Times New Roman" w:hAnsi="Times New Roman"/>
                  <w:sz w:val="13"/>
                  <w:szCs w:val="13"/>
                  <w:color w:val="0000EE"/>
                </w:rPr>
                <w:t>Trust, L.P. (File Nos. 001-32336 and 000-54023) filed on June 23, 2015).</w:t>
              </w:r>
            </w:hyperlink>
          </w:p>
        </w:tc>
      </w:tr>
      <w:tr>
        <w:trPr>
          <w:trHeight w:val="20"/>
        </w:trPr>
        <w:tc>
          <w:tcPr>
            <w:tcW w:w="74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4.10</w:t>
            </w:r>
          </w:p>
        </w:tc>
        <w:tc>
          <w:tcPr>
            <w:tcW w:w="7980" w:type="dxa"/>
            <w:vAlign w:val="bottom"/>
            <w:tcBorders>
              <w:bottom w:val="single" w:sz="8" w:color="0000EE"/>
            </w:tcBorders>
            <w:gridSpan w:val="12"/>
          </w:tcPr>
          <w:p>
            <w:pPr>
              <w:spacing w:after="0"/>
              <w:rPr>
                <w:rFonts w:ascii="Times New Roman" w:cs="Times New Roman" w:eastAsia="Times New Roman" w:hAnsi="Times New Roman"/>
                <w:sz w:val="13"/>
                <w:szCs w:val="13"/>
                <w:color w:val="0000EE"/>
                <w:w w:val="96"/>
              </w:rPr>
            </w:pPr>
            <w:hyperlink r:id="rId228">
              <w:r>
                <w:rPr>
                  <w:rFonts w:ascii="Times New Roman" w:cs="Times New Roman" w:eastAsia="Times New Roman" w:hAnsi="Times New Roman"/>
                  <w:sz w:val="13"/>
                  <w:szCs w:val="13"/>
                  <w:color w:val="0000EE"/>
                  <w:w w:val="96"/>
                </w:rPr>
                <w:t>Supplemental Indenture No. 1, dated as of June 23, 2015, among Digital Realty Trust, L.P., as issuer, Digital Realty Trust, Inc., as guarantor, and Wells Fargo</w:t>
              </w:r>
            </w:hyperlink>
          </w:p>
        </w:tc>
        <w:tc>
          <w:tcPr>
            <w:tcW w:w="240" w:type="dxa"/>
            <w:vAlign w:val="bottom"/>
            <w:gridSpan w:val="8"/>
          </w:tcPr>
          <w:p>
            <w:pPr>
              <w:spacing w:after="0"/>
              <w:rPr>
                <w:sz w:val="24"/>
                <w:szCs w:val="24"/>
                <w:color w:val="auto"/>
              </w:rPr>
            </w:pPr>
          </w:p>
        </w:tc>
      </w:tr>
      <w:tr>
        <w:trPr>
          <w:trHeight w:val="132"/>
        </w:trPr>
        <w:tc>
          <w:tcPr>
            <w:tcW w:w="740" w:type="dxa"/>
            <w:vAlign w:val="bottom"/>
          </w:tcPr>
          <w:p>
            <w:pPr>
              <w:spacing w:after="0"/>
              <w:rPr>
                <w:sz w:val="11"/>
                <w:szCs w:val="11"/>
                <w:color w:val="auto"/>
              </w:rPr>
            </w:pPr>
          </w:p>
        </w:tc>
        <w:tc>
          <w:tcPr>
            <w:tcW w:w="8220" w:type="dxa"/>
            <w:vAlign w:val="bottom"/>
            <w:tcBorders>
              <w:bottom w:val="single" w:sz="8" w:color="0000EE"/>
            </w:tcBorders>
            <w:gridSpan w:val="20"/>
          </w:tcPr>
          <w:p>
            <w:pPr>
              <w:spacing w:after="0" w:line="132" w:lineRule="exact"/>
              <w:rPr>
                <w:rFonts w:ascii="Times New Roman" w:cs="Times New Roman" w:eastAsia="Times New Roman" w:hAnsi="Times New Roman"/>
                <w:sz w:val="13"/>
                <w:szCs w:val="13"/>
                <w:color w:val="0000EE"/>
                <w:w w:val="97"/>
              </w:rPr>
            </w:pPr>
            <w:hyperlink r:id="rId228">
              <w:r>
                <w:rPr>
                  <w:rFonts w:ascii="Times New Roman" w:cs="Times New Roman" w:eastAsia="Times New Roman" w:hAnsi="Times New Roman"/>
                  <w:sz w:val="13"/>
                  <w:szCs w:val="13"/>
                  <w:color w:val="0000EE"/>
                  <w:w w:val="97"/>
                </w:rPr>
                <w:t>Bank, National Association, as trustee, including the form of 3.950% Notes due 2022 and the guarantee (incorporated by reference to Exhibit 4.2 to the Combined</w:t>
              </w:r>
            </w:hyperlink>
          </w:p>
        </w:tc>
      </w:tr>
      <w:tr>
        <w:trPr>
          <w:trHeight w:val="160"/>
        </w:trPr>
        <w:tc>
          <w:tcPr>
            <w:tcW w:w="740" w:type="dxa"/>
            <w:vAlign w:val="bottom"/>
          </w:tcPr>
          <w:p>
            <w:pPr>
              <w:spacing w:after="0"/>
              <w:rPr>
                <w:sz w:val="13"/>
                <w:szCs w:val="13"/>
                <w:color w:val="auto"/>
              </w:rPr>
            </w:pPr>
          </w:p>
        </w:tc>
        <w:tc>
          <w:tcPr>
            <w:tcW w:w="8220" w:type="dxa"/>
            <w:vAlign w:val="bottom"/>
            <w:gridSpan w:val="20"/>
          </w:tcPr>
          <w:p>
            <w:pPr>
              <w:spacing w:after="0"/>
              <w:rPr>
                <w:rFonts w:ascii="Times New Roman" w:cs="Times New Roman" w:eastAsia="Times New Roman" w:hAnsi="Times New Roman"/>
                <w:sz w:val="13"/>
                <w:szCs w:val="13"/>
                <w:u w:val="single" w:color="auto"/>
                <w:color w:val="0000EE"/>
              </w:rPr>
            </w:pPr>
            <w:hyperlink r:id="rId228">
              <w:r>
                <w:rPr>
                  <w:rFonts w:ascii="Times New Roman" w:cs="Times New Roman" w:eastAsia="Times New Roman" w:hAnsi="Times New Roman"/>
                  <w:sz w:val="13"/>
                  <w:szCs w:val="13"/>
                  <w:u w:val="single" w:color="auto"/>
                  <w:color w:val="0000EE"/>
                </w:rPr>
                <w:t>Current Report on Form 8-K of Digital Realty Trust, Inc. and Digital Realty Trust, L.P. (File Nos. 001-32336 and 000-54023) filed on June 23, 2015).</w:t>
              </w:r>
            </w:hyperlink>
          </w:p>
        </w:tc>
      </w:tr>
      <w:tr>
        <w:trPr>
          <w:trHeight w:val="275"/>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4.11</w:t>
            </w:r>
          </w:p>
        </w:tc>
        <w:tc>
          <w:tcPr>
            <w:tcW w:w="8220" w:type="dxa"/>
            <w:vAlign w:val="bottom"/>
            <w:gridSpan w:val="20"/>
          </w:tcPr>
          <w:p>
            <w:pPr>
              <w:spacing w:after="0"/>
              <w:rPr>
                <w:rFonts w:ascii="Times New Roman" w:cs="Times New Roman" w:eastAsia="Times New Roman" w:hAnsi="Times New Roman"/>
                <w:sz w:val="13"/>
                <w:szCs w:val="13"/>
                <w:color w:val="0000EE"/>
                <w:w w:val="97"/>
              </w:rPr>
            </w:pPr>
            <w:hyperlink r:id="rId229">
              <w:r>
                <w:rPr>
                  <w:rFonts w:ascii="Times New Roman" w:cs="Times New Roman" w:eastAsia="Times New Roman" w:hAnsi="Times New Roman"/>
                  <w:sz w:val="13"/>
                  <w:szCs w:val="13"/>
                  <w:color w:val="0000EE"/>
                  <w:w w:val="97"/>
                </w:rPr>
                <w:t>Specimen Certificate for Digital Realty Trust, Inc.’s 6.350% Series I Cumulative Redeemable Preferred Stock (incorporated by reference to Exhibit 4.1 to Digital</w:t>
              </w:r>
            </w:hyperlink>
          </w:p>
        </w:tc>
      </w:tr>
      <w:tr>
        <w:trPr>
          <w:trHeight w:val="132"/>
        </w:trPr>
        <w:tc>
          <w:tcPr>
            <w:tcW w:w="740" w:type="dxa"/>
            <w:vAlign w:val="bottom"/>
          </w:tcPr>
          <w:p>
            <w:pPr>
              <w:spacing w:after="0"/>
              <w:rPr>
                <w:sz w:val="11"/>
                <w:szCs w:val="11"/>
                <w:color w:val="auto"/>
              </w:rPr>
            </w:pPr>
          </w:p>
        </w:tc>
        <w:tc>
          <w:tcPr>
            <w:tcW w:w="8160" w:type="dxa"/>
            <w:vAlign w:val="bottom"/>
            <w:tcBorders>
              <w:top w:val="single" w:sz="8" w:color="0000EE"/>
            </w:tcBorders>
            <w:gridSpan w:val="18"/>
          </w:tcPr>
          <w:p>
            <w:pPr>
              <w:spacing w:after="0" w:line="132" w:lineRule="exact"/>
              <w:rPr>
                <w:rFonts w:ascii="Times New Roman" w:cs="Times New Roman" w:eastAsia="Times New Roman" w:hAnsi="Times New Roman"/>
                <w:sz w:val="13"/>
                <w:szCs w:val="13"/>
                <w:color w:val="0000EE"/>
              </w:rPr>
            </w:pPr>
            <w:hyperlink r:id="rId229">
              <w:r>
                <w:rPr>
                  <w:rFonts w:ascii="Times New Roman" w:cs="Times New Roman" w:eastAsia="Times New Roman" w:hAnsi="Times New Roman"/>
                  <w:sz w:val="13"/>
                  <w:szCs w:val="13"/>
                  <w:color w:val="0000EE"/>
                </w:rPr>
                <w:t>Realty Trust, Inc.’s Registration Statement on Form 8-A (File No. 001-32336) filed on August 21, 2015).</w:t>
              </w:r>
            </w:hyperlink>
          </w:p>
        </w:tc>
        <w:tc>
          <w:tcPr>
            <w:tcW w:w="60" w:type="dxa"/>
            <w:vAlign w:val="bottom"/>
            <w:gridSpan w:val="2"/>
          </w:tcPr>
          <w:p>
            <w:pPr>
              <w:spacing w:after="0"/>
              <w:rPr>
                <w:sz w:val="11"/>
                <w:szCs w:val="11"/>
                <w:color w:val="auto"/>
              </w:rPr>
            </w:pPr>
          </w:p>
        </w:tc>
      </w:tr>
      <w:tr>
        <w:trPr>
          <w:trHeight w:val="20"/>
        </w:trPr>
        <w:tc>
          <w:tcPr>
            <w:tcW w:w="74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4.12</w:t>
            </w:r>
          </w:p>
        </w:tc>
        <w:tc>
          <w:tcPr>
            <w:tcW w:w="8120" w:type="dxa"/>
            <w:vAlign w:val="bottom"/>
            <w:tcBorders>
              <w:bottom w:val="single" w:sz="8" w:color="0000EE"/>
            </w:tcBorders>
            <w:gridSpan w:val="16"/>
          </w:tcPr>
          <w:p>
            <w:pPr>
              <w:spacing w:after="0"/>
              <w:rPr>
                <w:rFonts w:ascii="Times New Roman" w:cs="Times New Roman" w:eastAsia="Times New Roman" w:hAnsi="Times New Roman"/>
                <w:sz w:val="13"/>
                <w:szCs w:val="13"/>
                <w:color w:val="0000EE"/>
                <w:w w:val="96"/>
              </w:rPr>
            </w:pPr>
            <w:hyperlink r:id="rId230">
              <w:r>
                <w:rPr>
                  <w:rFonts w:ascii="Times New Roman" w:cs="Times New Roman" w:eastAsia="Times New Roman" w:hAnsi="Times New Roman"/>
                  <w:sz w:val="13"/>
                  <w:szCs w:val="13"/>
                  <w:color w:val="0000EE"/>
                  <w:w w:val="96"/>
                </w:rPr>
                <w:t>Indenture, dated as of October 1, 2015, among Digital Delta Holdings, LLC as issuer, Digital Realty Trust, Inc. and Digital Realty Trust, L.P., as guarantors, and</w:t>
              </w:r>
            </w:hyperlink>
          </w:p>
        </w:tc>
        <w:tc>
          <w:tcPr>
            <w:tcW w:w="100" w:type="dxa"/>
            <w:vAlign w:val="bottom"/>
            <w:gridSpan w:val="4"/>
          </w:tcPr>
          <w:p>
            <w:pPr>
              <w:spacing w:after="0"/>
              <w:rPr>
                <w:sz w:val="24"/>
                <w:szCs w:val="24"/>
                <w:color w:val="auto"/>
              </w:rPr>
            </w:pPr>
          </w:p>
        </w:tc>
      </w:tr>
      <w:tr>
        <w:trPr>
          <w:trHeight w:val="132"/>
        </w:trPr>
        <w:tc>
          <w:tcPr>
            <w:tcW w:w="740" w:type="dxa"/>
            <w:vAlign w:val="bottom"/>
          </w:tcPr>
          <w:p>
            <w:pPr>
              <w:spacing w:after="0"/>
              <w:rPr>
                <w:sz w:val="11"/>
                <w:szCs w:val="11"/>
                <w:color w:val="auto"/>
              </w:rPr>
            </w:pPr>
          </w:p>
        </w:tc>
        <w:tc>
          <w:tcPr>
            <w:tcW w:w="8180" w:type="dxa"/>
            <w:vAlign w:val="bottom"/>
            <w:tcBorders>
              <w:bottom w:val="single" w:sz="8" w:color="0000EE"/>
            </w:tcBorders>
            <w:gridSpan w:val="19"/>
          </w:tcPr>
          <w:p>
            <w:pPr>
              <w:spacing w:after="0" w:line="132" w:lineRule="exact"/>
              <w:rPr>
                <w:rFonts w:ascii="Times New Roman" w:cs="Times New Roman" w:eastAsia="Times New Roman" w:hAnsi="Times New Roman"/>
                <w:sz w:val="13"/>
                <w:szCs w:val="13"/>
                <w:color w:val="0000EE"/>
                <w:w w:val="96"/>
              </w:rPr>
            </w:pPr>
            <w:hyperlink r:id="rId230">
              <w:r>
                <w:rPr>
                  <w:rFonts w:ascii="Times New Roman" w:cs="Times New Roman" w:eastAsia="Times New Roman" w:hAnsi="Times New Roman"/>
                  <w:sz w:val="13"/>
                  <w:szCs w:val="13"/>
                  <w:color w:val="0000EE"/>
                  <w:w w:val="96"/>
                </w:rPr>
                <w:t>Wells Fargo Bank, National Association, as trustee, including the form of the Notes and the guarantees (incorporated by reference to Exhibit 4.1 to the Combined</w:t>
              </w:r>
            </w:hyperlink>
          </w:p>
        </w:tc>
        <w:tc>
          <w:tcPr>
            <w:tcW w:w="40" w:type="dxa"/>
            <w:vAlign w:val="bottom"/>
          </w:tcPr>
          <w:p>
            <w:pPr>
              <w:spacing w:after="0"/>
              <w:rPr>
                <w:sz w:val="11"/>
                <w:szCs w:val="11"/>
                <w:color w:val="auto"/>
              </w:rPr>
            </w:pPr>
          </w:p>
        </w:tc>
      </w:tr>
      <w:tr>
        <w:trPr>
          <w:trHeight w:val="160"/>
        </w:trPr>
        <w:tc>
          <w:tcPr>
            <w:tcW w:w="740" w:type="dxa"/>
            <w:vAlign w:val="bottom"/>
          </w:tcPr>
          <w:p>
            <w:pPr>
              <w:spacing w:after="0"/>
              <w:rPr>
                <w:sz w:val="13"/>
                <w:szCs w:val="13"/>
                <w:color w:val="auto"/>
              </w:rPr>
            </w:pPr>
          </w:p>
        </w:tc>
        <w:tc>
          <w:tcPr>
            <w:tcW w:w="8220" w:type="dxa"/>
            <w:vAlign w:val="bottom"/>
            <w:gridSpan w:val="20"/>
          </w:tcPr>
          <w:p>
            <w:pPr>
              <w:spacing w:after="0"/>
              <w:rPr>
                <w:rFonts w:ascii="Times New Roman" w:cs="Times New Roman" w:eastAsia="Times New Roman" w:hAnsi="Times New Roman"/>
                <w:sz w:val="13"/>
                <w:szCs w:val="13"/>
                <w:u w:val="single" w:color="auto"/>
                <w:color w:val="0000EE"/>
              </w:rPr>
            </w:pPr>
            <w:hyperlink r:id="rId230">
              <w:r>
                <w:rPr>
                  <w:rFonts w:ascii="Times New Roman" w:cs="Times New Roman" w:eastAsia="Times New Roman" w:hAnsi="Times New Roman"/>
                  <w:sz w:val="13"/>
                  <w:szCs w:val="13"/>
                  <w:u w:val="single" w:color="auto"/>
                  <w:color w:val="0000EE"/>
                </w:rPr>
                <w:t>Current Report on Form 8-K of Digital Realty Trust, Inc. and Digital Realty Trust, L.P. (File Nos. 001-32336 and 000-54023) filed on October 2, 2015).</w:t>
              </w:r>
            </w:hyperlink>
          </w:p>
        </w:tc>
      </w:tr>
      <w:tr>
        <w:trPr>
          <w:trHeight w:val="275"/>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4.13</w:t>
            </w:r>
          </w:p>
        </w:tc>
        <w:tc>
          <w:tcPr>
            <w:tcW w:w="8220" w:type="dxa"/>
            <w:vAlign w:val="bottom"/>
            <w:gridSpan w:val="20"/>
          </w:tcPr>
          <w:p>
            <w:pPr>
              <w:spacing w:after="0"/>
              <w:rPr>
                <w:rFonts w:ascii="Times New Roman" w:cs="Times New Roman" w:eastAsia="Times New Roman" w:hAnsi="Times New Roman"/>
                <w:sz w:val="13"/>
                <w:szCs w:val="13"/>
                <w:color w:val="0000EE"/>
                <w:w w:val="98"/>
              </w:rPr>
            </w:pPr>
            <w:hyperlink r:id="rId231">
              <w:r>
                <w:rPr>
                  <w:rFonts w:ascii="Times New Roman" w:cs="Times New Roman" w:eastAsia="Times New Roman" w:hAnsi="Times New Roman"/>
                  <w:sz w:val="13"/>
                  <w:szCs w:val="13"/>
                  <w:color w:val="0000EE"/>
                  <w:w w:val="98"/>
                </w:rPr>
                <w:t>Registration Rights Agreement, dated October 1, 2015, among Digital Delta Holdings, LLC, Digital Realty Trust, Inc., Digital Realty Trust, L.P. and Citigroup</w:t>
              </w:r>
            </w:hyperlink>
          </w:p>
        </w:tc>
      </w:tr>
      <w:tr>
        <w:trPr>
          <w:trHeight w:val="132"/>
        </w:trPr>
        <w:tc>
          <w:tcPr>
            <w:tcW w:w="740" w:type="dxa"/>
            <w:vAlign w:val="bottom"/>
          </w:tcPr>
          <w:p>
            <w:pPr>
              <w:spacing w:after="0"/>
              <w:rPr>
                <w:sz w:val="11"/>
                <w:szCs w:val="11"/>
                <w:color w:val="auto"/>
              </w:rPr>
            </w:pPr>
          </w:p>
        </w:tc>
        <w:tc>
          <w:tcPr>
            <w:tcW w:w="7960" w:type="dxa"/>
            <w:vAlign w:val="bottom"/>
            <w:tcBorders>
              <w:top w:val="single" w:sz="8" w:color="0000EE"/>
              <w:bottom w:val="single" w:sz="8" w:color="0000EE"/>
            </w:tcBorders>
            <w:gridSpan w:val="11"/>
          </w:tcPr>
          <w:p>
            <w:pPr>
              <w:spacing w:after="0" w:line="132" w:lineRule="exact"/>
              <w:rPr>
                <w:rFonts w:ascii="Times New Roman" w:cs="Times New Roman" w:eastAsia="Times New Roman" w:hAnsi="Times New Roman"/>
                <w:sz w:val="13"/>
                <w:szCs w:val="13"/>
                <w:color w:val="0000EE"/>
                <w:w w:val="96"/>
              </w:rPr>
            </w:pPr>
            <w:hyperlink r:id="rId231">
              <w:r>
                <w:rPr>
                  <w:rFonts w:ascii="Times New Roman" w:cs="Times New Roman" w:eastAsia="Times New Roman" w:hAnsi="Times New Roman"/>
                  <w:sz w:val="13"/>
                  <w:szCs w:val="13"/>
                  <w:color w:val="0000EE"/>
                  <w:w w:val="96"/>
                </w:rPr>
                <w:t>Global Markets Inc., Merrill Lynch, Pierce, Fenner &amp; Smith Incorporated and Morgan Stanley &amp; Co. LLC, as representatives of the several initial purchasers</w:t>
              </w:r>
            </w:hyperlink>
          </w:p>
        </w:tc>
        <w:tc>
          <w:tcPr>
            <w:tcW w:w="80" w:type="dxa"/>
            <w:vAlign w:val="bottom"/>
            <w:tcBorders>
              <w:top w:val="single" w:sz="8" w:color="0000EE"/>
            </w:tcBorders>
            <w:gridSpan w:val="2"/>
          </w:tcPr>
          <w:p>
            <w:pPr>
              <w:spacing w:after="0"/>
              <w:rPr>
                <w:sz w:val="11"/>
                <w:szCs w:val="11"/>
                <w:color w:val="auto"/>
              </w:rPr>
            </w:pPr>
          </w:p>
        </w:tc>
        <w:tc>
          <w:tcPr>
            <w:tcW w:w="180" w:type="dxa"/>
            <w:vAlign w:val="bottom"/>
            <w:gridSpan w:val="7"/>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20" w:type="dxa"/>
            <w:vAlign w:val="bottom"/>
            <w:gridSpan w:val="20"/>
          </w:tcPr>
          <w:p>
            <w:pPr>
              <w:spacing w:after="0" w:line="132" w:lineRule="exact"/>
              <w:rPr>
                <w:rFonts w:ascii="Times New Roman" w:cs="Times New Roman" w:eastAsia="Times New Roman" w:hAnsi="Times New Roman"/>
                <w:sz w:val="13"/>
                <w:szCs w:val="13"/>
                <w:color w:val="0000EE"/>
                <w:w w:val="97"/>
              </w:rPr>
            </w:pPr>
            <w:hyperlink r:id="rId231">
              <w:r>
                <w:rPr>
                  <w:rFonts w:ascii="Times New Roman" w:cs="Times New Roman" w:eastAsia="Times New Roman" w:hAnsi="Times New Roman"/>
                  <w:sz w:val="13"/>
                  <w:szCs w:val="13"/>
                  <w:color w:val="0000EE"/>
                  <w:w w:val="97"/>
                </w:rPr>
                <w:t>named therein (incorporated by reference to Exhibit 4.2 to the Combined Current Report on Form 8-K of Digital Realty Trust, Inc. and Digital Realty Trust, L.P.</w:t>
              </w:r>
            </w:hyperlink>
          </w:p>
        </w:tc>
      </w:tr>
      <w:tr>
        <w:trPr>
          <w:trHeight w:val="132"/>
        </w:trPr>
        <w:tc>
          <w:tcPr>
            <w:tcW w:w="740" w:type="dxa"/>
            <w:vAlign w:val="bottom"/>
          </w:tcPr>
          <w:p>
            <w:pPr>
              <w:spacing w:after="0"/>
              <w:rPr>
                <w:sz w:val="11"/>
                <w:szCs w:val="11"/>
                <w:color w:val="auto"/>
              </w:rPr>
            </w:pPr>
          </w:p>
        </w:tc>
        <w:tc>
          <w:tcPr>
            <w:tcW w:w="8120" w:type="dxa"/>
            <w:vAlign w:val="bottom"/>
            <w:tcBorders>
              <w:top w:val="single" w:sz="8" w:color="0000EE"/>
            </w:tcBorders>
            <w:gridSpan w:val="16"/>
          </w:tcPr>
          <w:p>
            <w:pPr>
              <w:spacing w:after="0" w:line="132" w:lineRule="exact"/>
              <w:rPr>
                <w:rFonts w:ascii="Times New Roman" w:cs="Times New Roman" w:eastAsia="Times New Roman" w:hAnsi="Times New Roman"/>
                <w:sz w:val="13"/>
                <w:szCs w:val="13"/>
                <w:color w:val="0000EE"/>
              </w:rPr>
            </w:pPr>
            <w:hyperlink r:id="rId231">
              <w:r>
                <w:rPr>
                  <w:rFonts w:ascii="Times New Roman" w:cs="Times New Roman" w:eastAsia="Times New Roman" w:hAnsi="Times New Roman"/>
                  <w:sz w:val="13"/>
                  <w:szCs w:val="13"/>
                  <w:color w:val="0000EE"/>
                </w:rPr>
                <w:t>(File Nos. 001-32336 and 000-54023) filed on October 2, 2015).</w:t>
              </w:r>
            </w:hyperlink>
          </w:p>
        </w:tc>
        <w:tc>
          <w:tcPr>
            <w:tcW w:w="100" w:type="dxa"/>
            <w:vAlign w:val="bottom"/>
            <w:gridSpan w:val="4"/>
          </w:tcPr>
          <w:p>
            <w:pPr>
              <w:spacing w:after="0"/>
              <w:rPr>
                <w:sz w:val="11"/>
                <w:szCs w:val="11"/>
                <w:color w:val="auto"/>
              </w:rPr>
            </w:pPr>
          </w:p>
        </w:tc>
      </w:tr>
      <w:tr>
        <w:trPr>
          <w:trHeight w:val="20"/>
        </w:trPr>
        <w:tc>
          <w:tcPr>
            <w:tcW w:w="74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4.14</w:t>
            </w:r>
          </w:p>
        </w:tc>
        <w:tc>
          <w:tcPr>
            <w:tcW w:w="8220" w:type="dxa"/>
            <w:vAlign w:val="bottom"/>
            <w:gridSpan w:val="20"/>
          </w:tcPr>
          <w:p>
            <w:pPr>
              <w:spacing w:after="0"/>
              <w:rPr>
                <w:rFonts w:ascii="Times New Roman" w:cs="Times New Roman" w:eastAsia="Times New Roman" w:hAnsi="Times New Roman"/>
                <w:sz w:val="13"/>
                <w:szCs w:val="13"/>
                <w:color w:val="0000EE"/>
                <w:w w:val="97"/>
              </w:rPr>
            </w:pPr>
            <w:hyperlink r:id="rId232">
              <w:r>
                <w:rPr>
                  <w:rFonts w:ascii="Times New Roman" w:cs="Times New Roman" w:eastAsia="Times New Roman" w:hAnsi="Times New Roman"/>
                  <w:sz w:val="13"/>
                  <w:szCs w:val="13"/>
                  <w:color w:val="0000EE"/>
                  <w:w w:val="97"/>
                </w:rPr>
                <w:t>Indenture, dated as of April 15, 2016, among Digital Euro Finco, LLC, Digital Realty Trust, Inc., Digital Realty Trust, L.P., Deutsche Trustee Company Limited,</w:t>
              </w:r>
            </w:hyperlink>
          </w:p>
        </w:tc>
      </w:tr>
      <w:tr>
        <w:trPr>
          <w:trHeight w:val="132"/>
        </w:trPr>
        <w:tc>
          <w:tcPr>
            <w:tcW w:w="740" w:type="dxa"/>
            <w:vAlign w:val="bottom"/>
          </w:tcPr>
          <w:p>
            <w:pPr>
              <w:spacing w:after="0"/>
              <w:rPr>
                <w:sz w:val="11"/>
                <w:szCs w:val="11"/>
                <w:color w:val="auto"/>
              </w:rPr>
            </w:pPr>
          </w:p>
        </w:tc>
        <w:tc>
          <w:tcPr>
            <w:tcW w:w="7920" w:type="dxa"/>
            <w:vAlign w:val="bottom"/>
            <w:tcBorders>
              <w:top w:val="single" w:sz="8" w:color="0000EE"/>
              <w:bottom w:val="single" w:sz="8" w:color="0000EE"/>
            </w:tcBorders>
            <w:gridSpan w:val="10"/>
          </w:tcPr>
          <w:p>
            <w:pPr>
              <w:spacing w:after="0" w:line="132" w:lineRule="exact"/>
              <w:rPr>
                <w:rFonts w:ascii="Times New Roman" w:cs="Times New Roman" w:eastAsia="Times New Roman" w:hAnsi="Times New Roman"/>
                <w:sz w:val="13"/>
                <w:szCs w:val="13"/>
                <w:color w:val="0000EE"/>
                <w:w w:val="97"/>
              </w:rPr>
            </w:pPr>
            <w:hyperlink r:id="rId232">
              <w:r>
                <w:rPr>
                  <w:rFonts w:ascii="Times New Roman" w:cs="Times New Roman" w:eastAsia="Times New Roman" w:hAnsi="Times New Roman"/>
                  <w:sz w:val="13"/>
                  <w:szCs w:val="13"/>
                  <w:color w:val="0000EE"/>
                  <w:w w:val="97"/>
                </w:rPr>
                <w:t>as trustee, Deutsche Bank AG, London Branch, as paying agent and a transfer agent, and Deutsche Bank Luxembourg S.A., as registrar and a transfer agent,</w:t>
              </w:r>
            </w:hyperlink>
          </w:p>
        </w:tc>
        <w:tc>
          <w:tcPr>
            <w:tcW w:w="220" w:type="dxa"/>
            <w:vAlign w:val="bottom"/>
            <w:tcBorders>
              <w:top w:val="single" w:sz="8" w:color="0000EE"/>
            </w:tcBorders>
            <w:gridSpan w:val="7"/>
          </w:tcPr>
          <w:p>
            <w:pPr>
              <w:spacing w:after="0"/>
              <w:rPr>
                <w:sz w:val="11"/>
                <w:szCs w:val="11"/>
                <w:color w:val="auto"/>
              </w:rPr>
            </w:pPr>
          </w:p>
        </w:tc>
        <w:tc>
          <w:tcPr>
            <w:tcW w:w="80" w:type="dxa"/>
            <w:vAlign w:val="bottom"/>
            <w:gridSpan w:val="3"/>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20" w:type="dxa"/>
            <w:vAlign w:val="bottom"/>
            <w:gridSpan w:val="20"/>
          </w:tcPr>
          <w:p>
            <w:pPr>
              <w:spacing w:after="0" w:line="132" w:lineRule="exact"/>
              <w:rPr>
                <w:rFonts w:ascii="Times New Roman" w:cs="Times New Roman" w:eastAsia="Times New Roman" w:hAnsi="Times New Roman"/>
                <w:sz w:val="13"/>
                <w:szCs w:val="13"/>
                <w:color w:val="0000EE"/>
                <w:w w:val="98"/>
              </w:rPr>
            </w:pPr>
            <w:hyperlink r:id="rId232">
              <w:r>
                <w:rPr>
                  <w:rFonts w:ascii="Times New Roman" w:cs="Times New Roman" w:eastAsia="Times New Roman" w:hAnsi="Times New Roman"/>
                  <w:sz w:val="13"/>
                  <w:szCs w:val="13"/>
                  <w:color w:val="0000EE"/>
                  <w:w w:val="98"/>
                </w:rPr>
                <w:t>including the form of the 2.625% Guaranteed Notes due 2024 (incorporated by reference to Exhibit 4.2 to the Combined Current Report on Form 8-K of Digital</w:t>
              </w:r>
            </w:hyperlink>
          </w:p>
        </w:tc>
      </w:tr>
      <w:tr>
        <w:trPr>
          <w:trHeight w:val="132"/>
        </w:trPr>
        <w:tc>
          <w:tcPr>
            <w:tcW w:w="740" w:type="dxa"/>
            <w:vAlign w:val="bottom"/>
          </w:tcPr>
          <w:p>
            <w:pPr>
              <w:spacing w:after="0"/>
              <w:rPr>
                <w:sz w:val="11"/>
                <w:szCs w:val="11"/>
                <w:color w:val="auto"/>
              </w:rPr>
            </w:pPr>
          </w:p>
        </w:tc>
        <w:tc>
          <w:tcPr>
            <w:tcW w:w="8100" w:type="dxa"/>
            <w:vAlign w:val="bottom"/>
            <w:tcBorders>
              <w:top w:val="single" w:sz="8" w:color="0000EE"/>
            </w:tcBorders>
            <w:gridSpan w:val="15"/>
          </w:tcPr>
          <w:p>
            <w:pPr>
              <w:spacing w:after="0" w:line="132" w:lineRule="exact"/>
              <w:rPr>
                <w:rFonts w:ascii="Times New Roman" w:cs="Times New Roman" w:eastAsia="Times New Roman" w:hAnsi="Times New Roman"/>
                <w:sz w:val="13"/>
                <w:szCs w:val="13"/>
                <w:color w:val="0000EE"/>
              </w:rPr>
            </w:pPr>
            <w:hyperlink r:id="rId232">
              <w:r>
                <w:rPr>
                  <w:rFonts w:ascii="Times New Roman" w:cs="Times New Roman" w:eastAsia="Times New Roman" w:hAnsi="Times New Roman"/>
                  <w:sz w:val="13"/>
                  <w:szCs w:val="13"/>
                  <w:color w:val="0000EE"/>
                </w:rPr>
                <w:t>Realty Trust, Inc. and Digital Realty Trust, L.P. (File Nos. 001-32336 and 000-54023) filed on April 19, 2016).</w:t>
              </w:r>
            </w:hyperlink>
          </w:p>
        </w:tc>
        <w:tc>
          <w:tcPr>
            <w:tcW w:w="120" w:type="dxa"/>
            <w:vAlign w:val="bottom"/>
            <w:gridSpan w:val="5"/>
          </w:tcPr>
          <w:p>
            <w:pPr>
              <w:spacing w:after="0"/>
              <w:rPr>
                <w:sz w:val="11"/>
                <w:szCs w:val="11"/>
                <w:color w:val="auto"/>
              </w:rPr>
            </w:pPr>
          </w:p>
        </w:tc>
      </w:tr>
      <w:tr>
        <w:trPr>
          <w:trHeight w:val="616"/>
        </w:trPr>
        <w:tc>
          <w:tcPr>
            <w:tcW w:w="740" w:type="dxa"/>
            <w:vAlign w:val="bottom"/>
          </w:tcPr>
          <w:p>
            <w:pPr>
              <w:spacing w:after="0"/>
              <w:rPr>
                <w:sz w:val="24"/>
                <w:szCs w:val="24"/>
                <w:color w:val="auto"/>
              </w:rPr>
            </w:pPr>
          </w:p>
        </w:tc>
        <w:tc>
          <w:tcPr>
            <w:tcW w:w="5160" w:type="dxa"/>
            <w:vAlign w:val="bottom"/>
            <w:tcBorders>
              <w:top w:val="single" w:sz="8" w:color="0000EE"/>
            </w:tcBorders>
            <w:gridSpan w:val="3"/>
          </w:tcPr>
          <w:p>
            <w:pPr>
              <w:ind w:left="3640"/>
              <w:spacing w:after="0"/>
              <w:rPr>
                <w:sz w:val="20"/>
                <w:szCs w:val="20"/>
                <w:color w:val="auto"/>
              </w:rPr>
            </w:pPr>
            <w:r>
              <w:rPr>
                <w:rFonts w:ascii="Times New Roman" w:cs="Times New Roman" w:eastAsia="Times New Roman" w:hAnsi="Times New Roman"/>
                <w:sz w:val="13"/>
                <w:szCs w:val="13"/>
                <w:color w:val="auto"/>
              </w:rPr>
              <w:t>192</w:t>
            </w: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0"/>
        </w:trPr>
        <w:tc>
          <w:tcPr>
            <w:tcW w:w="7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197" w:name="page198"/>
    <w:bookmarkEnd w:id="197"/>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4.15</w:t>
            </w:r>
          </w:p>
        </w:tc>
        <w:tc>
          <w:tcPr>
            <w:tcW w:w="8040" w:type="dxa"/>
            <w:vAlign w:val="bottom"/>
            <w:tcBorders>
              <w:bottom w:val="single" w:sz="8" w:color="0000EE"/>
            </w:tcBorders>
            <w:gridSpan w:val="11"/>
          </w:tcPr>
          <w:p>
            <w:pPr>
              <w:spacing w:after="0"/>
              <w:rPr>
                <w:rFonts w:ascii="Times New Roman" w:cs="Times New Roman" w:eastAsia="Times New Roman" w:hAnsi="Times New Roman"/>
                <w:sz w:val="13"/>
                <w:szCs w:val="13"/>
                <w:color w:val="0000EE"/>
                <w:w w:val="96"/>
              </w:rPr>
            </w:pPr>
            <w:hyperlink r:id="rId233">
              <w:r>
                <w:rPr>
                  <w:rFonts w:ascii="Times New Roman" w:cs="Times New Roman" w:eastAsia="Times New Roman" w:hAnsi="Times New Roman"/>
                  <w:sz w:val="13"/>
                  <w:szCs w:val="13"/>
                  <w:color w:val="0000EE"/>
                  <w:w w:val="96"/>
                </w:rPr>
                <w:t>Supplemental Indenture No. 2, dated as of August 7, 2017, among Digital Realty Trust, L.P., as issuer, Digital Realty Trust, Inc., as guarantor, and Wells Fargo</w:t>
              </w:r>
            </w:hyperlink>
          </w:p>
        </w:tc>
        <w:tc>
          <w:tcPr>
            <w:tcW w:w="160" w:type="dxa"/>
            <w:vAlign w:val="bottom"/>
            <w:gridSpan w:val="4"/>
          </w:tcPr>
          <w:p>
            <w:pPr>
              <w:spacing w:after="0"/>
              <w:rPr>
                <w:sz w:val="12"/>
                <w:szCs w:val="12"/>
                <w:color w:val="auto"/>
              </w:rPr>
            </w:pPr>
          </w:p>
        </w:tc>
      </w:tr>
      <w:tr>
        <w:trPr>
          <w:trHeight w:val="132"/>
        </w:trPr>
        <w:tc>
          <w:tcPr>
            <w:tcW w:w="740" w:type="dxa"/>
            <w:vAlign w:val="bottom"/>
          </w:tcPr>
          <w:p>
            <w:pPr>
              <w:spacing w:after="0"/>
              <w:rPr>
                <w:sz w:val="11"/>
                <w:szCs w:val="11"/>
                <w:color w:val="auto"/>
              </w:rPr>
            </w:pPr>
          </w:p>
        </w:tc>
        <w:tc>
          <w:tcPr>
            <w:tcW w:w="8060" w:type="dxa"/>
            <w:vAlign w:val="bottom"/>
            <w:tcBorders>
              <w:bottom w:val="single" w:sz="8" w:color="0000EE"/>
            </w:tcBorders>
            <w:gridSpan w:val="12"/>
          </w:tcPr>
          <w:p>
            <w:pPr>
              <w:spacing w:after="0" w:line="132" w:lineRule="exact"/>
              <w:rPr>
                <w:rFonts w:ascii="Times New Roman" w:cs="Times New Roman" w:eastAsia="Times New Roman" w:hAnsi="Times New Roman"/>
                <w:sz w:val="13"/>
                <w:szCs w:val="13"/>
                <w:color w:val="0000EE"/>
                <w:w w:val="97"/>
              </w:rPr>
            </w:pPr>
            <w:hyperlink r:id="rId233">
              <w:r>
                <w:rPr>
                  <w:rFonts w:ascii="Times New Roman" w:cs="Times New Roman" w:eastAsia="Times New Roman" w:hAnsi="Times New Roman"/>
                  <w:sz w:val="13"/>
                  <w:szCs w:val="13"/>
                  <w:color w:val="0000EE"/>
                  <w:w w:val="97"/>
                </w:rPr>
                <w:t>Bank, National Association, as trustee, including the form of 2.750% Notes due 2023, the form of 3.700% Notes due 2027 and the guarantees (incorporated by</w:t>
              </w:r>
            </w:hyperlink>
          </w:p>
        </w:tc>
        <w:tc>
          <w:tcPr>
            <w:tcW w:w="140" w:type="dxa"/>
            <w:vAlign w:val="bottom"/>
            <w:gridSpan w:val="3"/>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100" w:type="dxa"/>
            <w:vAlign w:val="bottom"/>
            <w:tcBorders>
              <w:bottom w:val="single" w:sz="8" w:color="0000EE"/>
            </w:tcBorders>
            <w:gridSpan w:val="14"/>
          </w:tcPr>
          <w:p>
            <w:pPr>
              <w:spacing w:after="0" w:line="132" w:lineRule="exact"/>
              <w:rPr>
                <w:rFonts w:ascii="Times New Roman" w:cs="Times New Roman" w:eastAsia="Times New Roman" w:hAnsi="Times New Roman"/>
                <w:sz w:val="13"/>
                <w:szCs w:val="13"/>
                <w:color w:val="0000EE"/>
                <w:w w:val="96"/>
              </w:rPr>
            </w:pPr>
            <w:hyperlink r:id="rId233">
              <w:r>
                <w:rPr>
                  <w:rFonts w:ascii="Times New Roman" w:cs="Times New Roman" w:eastAsia="Times New Roman" w:hAnsi="Times New Roman"/>
                  <w:sz w:val="13"/>
                  <w:szCs w:val="13"/>
                  <w:color w:val="0000EE"/>
                  <w:w w:val="96"/>
                </w:rPr>
                <w:t>reference to Exhibit 4.2 to the Combined Current Report on Form 8-K of Digital Realty Trust, Inc. and Digital Realty Trust, L.P. (File Nos. 001-32336 and 000-</w:t>
              </w:r>
            </w:hyperlink>
          </w:p>
        </w:tc>
        <w:tc>
          <w:tcPr>
            <w:tcW w:w="100" w:type="dxa"/>
            <w:vAlign w:val="bottom"/>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00" w:type="dxa"/>
            <w:vAlign w:val="bottom"/>
            <w:gridSpan w:val="15"/>
          </w:tcPr>
          <w:p>
            <w:pPr>
              <w:spacing w:after="0" w:line="132" w:lineRule="exact"/>
              <w:rPr>
                <w:rFonts w:ascii="Times New Roman" w:cs="Times New Roman" w:eastAsia="Times New Roman" w:hAnsi="Times New Roman"/>
                <w:sz w:val="13"/>
                <w:szCs w:val="13"/>
                <w:color w:val="0000EE"/>
              </w:rPr>
            </w:pPr>
            <w:hyperlink r:id="rId233">
              <w:r>
                <w:rPr>
                  <w:rFonts w:ascii="Times New Roman" w:cs="Times New Roman" w:eastAsia="Times New Roman" w:hAnsi="Times New Roman"/>
                  <w:sz w:val="13"/>
                  <w:szCs w:val="13"/>
                  <w:color w:val="0000EE"/>
                </w:rPr>
                <w:t>54023) filed on August 9, 2017).</w:t>
              </w:r>
            </w:hyperlink>
          </w:p>
        </w:tc>
      </w:tr>
      <w:tr>
        <w:trPr>
          <w:trHeight w:val="20"/>
        </w:trPr>
        <w:tc>
          <w:tcPr>
            <w:tcW w:w="74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84"/>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4.16</w:t>
            </w:r>
          </w:p>
        </w:tc>
        <w:tc>
          <w:tcPr>
            <w:tcW w:w="8200" w:type="dxa"/>
            <w:vAlign w:val="bottom"/>
            <w:gridSpan w:val="15"/>
          </w:tcPr>
          <w:p>
            <w:pPr>
              <w:spacing w:after="0"/>
              <w:rPr>
                <w:rFonts w:ascii="Times New Roman" w:cs="Times New Roman" w:eastAsia="Times New Roman" w:hAnsi="Times New Roman"/>
                <w:sz w:val="13"/>
                <w:szCs w:val="13"/>
                <w:color w:val="0000EE"/>
                <w:w w:val="98"/>
              </w:rPr>
            </w:pPr>
            <w:hyperlink r:id="rId234">
              <w:r>
                <w:rPr>
                  <w:rFonts w:ascii="Times New Roman" w:cs="Times New Roman" w:eastAsia="Times New Roman" w:hAnsi="Times New Roman"/>
                  <w:sz w:val="13"/>
                  <w:szCs w:val="13"/>
                  <w:color w:val="0000EE"/>
                  <w:w w:val="98"/>
                </w:rPr>
                <w:t>First Supplemental Indenture, dated as of September 14, 2017, among Digital Realty Trust, Inc., DuPont Fabros Technology, L.P., the guarantor parties thereto</w:t>
              </w:r>
            </w:hyperlink>
          </w:p>
        </w:tc>
      </w:tr>
      <w:tr>
        <w:trPr>
          <w:trHeight w:val="132"/>
        </w:trPr>
        <w:tc>
          <w:tcPr>
            <w:tcW w:w="740" w:type="dxa"/>
            <w:vAlign w:val="bottom"/>
          </w:tcPr>
          <w:p>
            <w:pPr>
              <w:spacing w:after="0"/>
              <w:rPr>
                <w:sz w:val="11"/>
                <w:szCs w:val="11"/>
                <w:color w:val="auto"/>
              </w:rPr>
            </w:pPr>
          </w:p>
        </w:tc>
        <w:tc>
          <w:tcPr>
            <w:tcW w:w="8040" w:type="dxa"/>
            <w:vAlign w:val="bottom"/>
            <w:tcBorders>
              <w:top w:val="single" w:sz="8" w:color="0000EE"/>
            </w:tcBorders>
            <w:gridSpan w:val="11"/>
          </w:tcPr>
          <w:p>
            <w:pPr>
              <w:spacing w:after="0" w:line="132" w:lineRule="exact"/>
              <w:rPr>
                <w:rFonts w:ascii="Times New Roman" w:cs="Times New Roman" w:eastAsia="Times New Roman" w:hAnsi="Times New Roman"/>
                <w:sz w:val="13"/>
                <w:szCs w:val="13"/>
                <w:color w:val="0000EE"/>
              </w:rPr>
            </w:pPr>
            <w:hyperlink r:id="rId234">
              <w:r>
                <w:rPr>
                  <w:rFonts w:ascii="Times New Roman" w:cs="Times New Roman" w:eastAsia="Times New Roman" w:hAnsi="Times New Roman"/>
                  <w:sz w:val="13"/>
                  <w:szCs w:val="13"/>
                  <w:color w:val="0000EE"/>
                </w:rPr>
                <w:t>and U.S. Bank National Association, as Trustee (incorporated by reference to Exhibit 4.1 to the Combined Current Report on Form 8-K of Digital Realty</w:t>
              </w:r>
            </w:hyperlink>
          </w:p>
        </w:tc>
        <w:tc>
          <w:tcPr>
            <w:tcW w:w="160" w:type="dxa"/>
            <w:vAlign w:val="bottom"/>
            <w:gridSpan w:val="4"/>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7740" w:type="dxa"/>
            <w:vAlign w:val="bottom"/>
            <w:tcBorders>
              <w:top w:val="single" w:sz="8" w:color="0000EE"/>
            </w:tcBorders>
            <w:gridSpan w:val="7"/>
          </w:tcPr>
          <w:p>
            <w:pPr>
              <w:spacing w:after="0" w:line="132" w:lineRule="exact"/>
              <w:rPr>
                <w:rFonts w:ascii="Times New Roman" w:cs="Times New Roman" w:eastAsia="Times New Roman" w:hAnsi="Times New Roman"/>
                <w:sz w:val="13"/>
                <w:szCs w:val="13"/>
                <w:color w:val="0000EE"/>
              </w:rPr>
            </w:pPr>
            <w:hyperlink r:id="rId234">
              <w:r>
                <w:rPr>
                  <w:rFonts w:ascii="Times New Roman" w:cs="Times New Roman" w:eastAsia="Times New Roman" w:hAnsi="Times New Roman"/>
                  <w:sz w:val="13"/>
                  <w:szCs w:val="13"/>
                  <w:color w:val="0000EE"/>
                </w:rPr>
                <w:t>Trust, Inc. and Digital Realty Trust, L.P. (File Nos. 001-32336 and 000-54023) filed on September 14, 2017).</w:t>
              </w:r>
            </w:hyperlink>
          </w:p>
        </w:tc>
        <w:tc>
          <w:tcPr>
            <w:tcW w:w="460" w:type="dxa"/>
            <w:vAlign w:val="bottom"/>
            <w:gridSpan w:val="8"/>
          </w:tcPr>
          <w:p>
            <w:pPr>
              <w:spacing w:after="0"/>
              <w:rPr>
                <w:sz w:val="11"/>
                <w:szCs w:val="11"/>
                <w:color w:val="auto"/>
              </w:rPr>
            </w:pPr>
          </w:p>
        </w:tc>
      </w:tr>
      <w:tr>
        <w:trPr>
          <w:trHeight w:val="20"/>
        </w:trPr>
        <w:tc>
          <w:tcPr>
            <w:tcW w:w="740" w:type="dxa"/>
            <w:vAlign w:val="bottom"/>
          </w:tcPr>
          <w:p>
            <w:pPr>
              <w:spacing w:after="0" w:line="20" w:lineRule="exact"/>
              <w:rPr>
                <w:sz w:val="1"/>
                <w:szCs w:val="1"/>
                <w:color w:val="auto"/>
              </w:rPr>
            </w:pPr>
          </w:p>
        </w:tc>
        <w:tc>
          <w:tcPr>
            <w:tcW w:w="55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84"/>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4.17</w:t>
            </w:r>
          </w:p>
        </w:tc>
        <w:tc>
          <w:tcPr>
            <w:tcW w:w="8080" w:type="dxa"/>
            <w:vAlign w:val="bottom"/>
            <w:tcBorders>
              <w:bottom w:val="single" w:sz="8" w:color="0000EE"/>
            </w:tcBorders>
            <w:gridSpan w:val="13"/>
          </w:tcPr>
          <w:p>
            <w:pPr>
              <w:spacing w:after="0"/>
              <w:rPr>
                <w:rFonts w:ascii="Times New Roman" w:cs="Times New Roman" w:eastAsia="Times New Roman" w:hAnsi="Times New Roman"/>
                <w:sz w:val="13"/>
                <w:szCs w:val="13"/>
                <w:color w:val="0000EE"/>
                <w:w w:val="96"/>
              </w:rPr>
            </w:pPr>
            <w:hyperlink r:id="rId235">
              <w:r>
                <w:rPr>
                  <w:rFonts w:ascii="Times New Roman" w:cs="Times New Roman" w:eastAsia="Times New Roman" w:hAnsi="Times New Roman"/>
                  <w:sz w:val="13"/>
                  <w:szCs w:val="13"/>
                  <w:color w:val="0000EE"/>
                  <w:w w:val="96"/>
                </w:rPr>
                <w:t>Third Supplemental Indenture, dated as of September 14, 2017, among Digital Realty Trust, Inc., DuPont Fabros Technology, L.P., the guarantor parties thereto</w:t>
              </w:r>
            </w:hyperlink>
          </w:p>
        </w:tc>
        <w:tc>
          <w:tcPr>
            <w:tcW w:w="120" w:type="dxa"/>
            <w:vAlign w:val="bottom"/>
            <w:gridSpan w:val="2"/>
          </w:tcPr>
          <w:p>
            <w:pPr>
              <w:spacing w:after="0"/>
              <w:rPr>
                <w:sz w:val="24"/>
                <w:szCs w:val="24"/>
                <w:color w:val="auto"/>
              </w:rPr>
            </w:pPr>
          </w:p>
        </w:tc>
      </w:tr>
      <w:tr>
        <w:trPr>
          <w:trHeight w:val="132"/>
        </w:trPr>
        <w:tc>
          <w:tcPr>
            <w:tcW w:w="740" w:type="dxa"/>
            <w:vAlign w:val="bottom"/>
          </w:tcPr>
          <w:p>
            <w:pPr>
              <w:spacing w:after="0"/>
              <w:rPr>
                <w:sz w:val="11"/>
                <w:szCs w:val="11"/>
                <w:color w:val="auto"/>
              </w:rPr>
            </w:pPr>
          </w:p>
        </w:tc>
        <w:tc>
          <w:tcPr>
            <w:tcW w:w="8200" w:type="dxa"/>
            <w:vAlign w:val="bottom"/>
            <w:gridSpan w:val="15"/>
          </w:tcPr>
          <w:p>
            <w:pPr>
              <w:spacing w:after="0" w:line="132" w:lineRule="exact"/>
              <w:rPr>
                <w:rFonts w:ascii="Times New Roman" w:cs="Times New Roman" w:eastAsia="Times New Roman" w:hAnsi="Times New Roman"/>
                <w:sz w:val="13"/>
                <w:szCs w:val="13"/>
                <w:color w:val="0000EE"/>
              </w:rPr>
            </w:pPr>
            <w:hyperlink r:id="rId235">
              <w:r>
                <w:rPr>
                  <w:rFonts w:ascii="Times New Roman" w:cs="Times New Roman" w:eastAsia="Times New Roman" w:hAnsi="Times New Roman"/>
                  <w:sz w:val="13"/>
                  <w:szCs w:val="13"/>
                  <w:color w:val="0000EE"/>
                </w:rPr>
                <w:t>and U.S. Bank National Association, as Trustee (incorporated by reference to Exhibit 4.2 to the Combined Current Report on Form 8-K of Digital Realty</w:t>
              </w:r>
            </w:hyperlink>
          </w:p>
        </w:tc>
      </w:tr>
      <w:tr>
        <w:trPr>
          <w:trHeight w:val="132"/>
        </w:trPr>
        <w:tc>
          <w:tcPr>
            <w:tcW w:w="740" w:type="dxa"/>
            <w:vAlign w:val="bottom"/>
          </w:tcPr>
          <w:p>
            <w:pPr>
              <w:spacing w:after="0"/>
              <w:rPr>
                <w:sz w:val="11"/>
                <w:szCs w:val="11"/>
                <w:color w:val="auto"/>
              </w:rPr>
            </w:pPr>
          </w:p>
        </w:tc>
        <w:tc>
          <w:tcPr>
            <w:tcW w:w="7740" w:type="dxa"/>
            <w:vAlign w:val="bottom"/>
            <w:tcBorders>
              <w:top w:val="single" w:sz="8" w:color="0000EE"/>
            </w:tcBorders>
            <w:gridSpan w:val="7"/>
          </w:tcPr>
          <w:p>
            <w:pPr>
              <w:spacing w:after="0" w:line="132" w:lineRule="exact"/>
              <w:rPr>
                <w:rFonts w:ascii="Times New Roman" w:cs="Times New Roman" w:eastAsia="Times New Roman" w:hAnsi="Times New Roman"/>
                <w:sz w:val="13"/>
                <w:szCs w:val="13"/>
                <w:color w:val="0000EE"/>
              </w:rPr>
            </w:pPr>
            <w:hyperlink r:id="rId235">
              <w:r>
                <w:rPr>
                  <w:rFonts w:ascii="Times New Roman" w:cs="Times New Roman" w:eastAsia="Times New Roman" w:hAnsi="Times New Roman"/>
                  <w:sz w:val="13"/>
                  <w:szCs w:val="13"/>
                  <w:color w:val="0000EE"/>
                </w:rPr>
                <w:t>Trust, Inc. and Digital Realty Trust, L.P. (File Nos. 001-32336 and 000-54023) filed on September 14, 2017).</w:t>
              </w:r>
            </w:hyperlink>
          </w:p>
        </w:tc>
        <w:tc>
          <w:tcPr>
            <w:tcW w:w="460" w:type="dxa"/>
            <w:vAlign w:val="bottom"/>
            <w:gridSpan w:val="8"/>
          </w:tcPr>
          <w:p>
            <w:pPr>
              <w:spacing w:after="0"/>
              <w:rPr>
                <w:sz w:val="11"/>
                <w:szCs w:val="11"/>
                <w:color w:val="auto"/>
              </w:rPr>
            </w:pPr>
          </w:p>
        </w:tc>
      </w:tr>
      <w:tr>
        <w:trPr>
          <w:trHeight w:val="20"/>
        </w:trPr>
        <w:tc>
          <w:tcPr>
            <w:tcW w:w="740" w:type="dxa"/>
            <w:vAlign w:val="bottom"/>
          </w:tcPr>
          <w:p>
            <w:pPr>
              <w:spacing w:after="0" w:line="20" w:lineRule="exact"/>
              <w:rPr>
                <w:sz w:val="1"/>
                <w:szCs w:val="1"/>
                <w:color w:val="auto"/>
              </w:rPr>
            </w:pPr>
          </w:p>
        </w:tc>
        <w:tc>
          <w:tcPr>
            <w:tcW w:w="55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84"/>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4.18</w:t>
            </w:r>
          </w:p>
        </w:tc>
        <w:tc>
          <w:tcPr>
            <w:tcW w:w="7780" w:type="dxa"/>
            <w:vAlign w:val="bottom"/>
            <w:tcBorders>
              <w:bottom w:val="single" w:sz="8" w:color="0000EE"/>
            </w:tcBorders>
            <w:gridSpan w:val="8"/>
          </w:tcPr>
          <w:p>
            <w:pPr>
              <w:spacing w:after="0"/>
              <w:rPr>
                <w:rFonts w:ascii="Times New Roman" w:cs="Times New Roman" w:eastAsia="Times New Roman" w:hAnsi="Times New Roman"/>
                <w:sz w:val="13"/>
                <w:szCs w:val="13"/>
                <w:color w:val="0000EE"/>
                <w:w w:val="96"/>
              </w:rPr>
            </w:pPr>
            <w:hyperlink r:id="rId236">
              <w:r>
                <w:rPr>
                  <w:rFonts w:ascii="Times New Roman" w:cs="Times New Roman" w:eastAsia="Times New Roman" w:hAnsi="Times New Roman"/>
                  <w:sz w:val="13"/>
                  <w:szCs w:val="13"/>
                  <w:color w:val="0000EE"/>
                  <w:w w:val="96"/>
                </w:rPr>
                <w:t>Indenture, dated as of July 21, 2017, among Digital Stout Holding, LLC, Digital Realty Trust, Inc., Digital Realty Trust, L.P., Deutsche Trustee Company</w:t>
              </w:r>
            </w:hyperlink>
          </w:p>
        </w:tc>
        <w:tc>
          <w:tcPr>
            <w:tcW w:w="420" w:type="dxa"/>
            <w:vAlign w:val="bottom"/>
            <w:gridSpan w:val="7"/>
          </w:tcPr>
          <w:p>
            <w:pPr>
              <w:spacing w:after="0"/>
              <w:rPr>
                <w:sz w:val="24"/>
                <w:szCs w:val="24"/>
                <w:color w:val="auto"/>
              </w:rPr>
            </w:pPr>
          </w:p>
        </w:tc>
      </w:tr>
      <w:tr>
        <w:trPr>
          <w:trHeight w:val="132"/>
        </w:trPr>
        <w:tc>
          <w:tcPr>
            <w:tcW w:w="740" w:type="dxa"/>
            <w:vAlign w:val="bottom"/>
          </w:tcPr>
          <w:p>
            <w:pPr>
              <w:spacing w:after="0"/>
              <w:rPr>
                <w:sz w:val="11"/>
                <w:szCs w:val="11"/>
                <w:color w:val="auto"/>
              </w:rPr>
            </w:pPr>
          </w:p>
        </w:tc>
        <w:tc>
          <w:tcPr>
            <w:tcW w:w="8200" w:type="dxa"/>
            <w:vAlign w:val="bottom"/>
            <w:gridSpan w:val="15"/>
          </w:tcPr>
          <w:p>
            <w:pPr>
              <w:spacing w:after="0" w:line="132" w:lineRule="exact"/>
              <w:rPr>
                <w:rFonts w:ascii="Times New Roman" w:cs="Times New Roman" w:eastAsia="Times New Roman" w:hAnsi="Times New Roman"/>
                <w:sz w:val="13"/>
                <w:szCs w:val="13"/>
                <w:color w:val="0000EE"/>
                <w:w w:val="98"/>
              </w:rPr>
            </w:pPr>
            <w:hyperlink r:id="rId236">
              <w:r>
                <w:rPr>
                  <w:rFonts w:ascii="Times New Roman" w:cs="Times New Roman" w:eastAsia="Times New Roman" w:hAnsi="Times New Roman"/>
                  <w:sz w:val="13"/>
                  <w:szCs w:val="13"/>
                  <w:color w:val="0000EE"/>
                  <w:w w:val="98"/>
                </w:rPr>
                <w:t>Limited, as trustee, Deutsche Bank AG, London Branch, as paying agent and a transfer agent, and Deutsche Bank Luxembourg S.A., as registrar and a transfer</w:t>
              </w:r>
            </w:hyperlink>
          </w:p>
        </w:tc>
      </w:tr>
      <w:tr>
        <w:trPr>
          <w:trHeight w:val="20"/>
        </w:trPr>
        <w:tc>
          <w:tcPr>
            <w:tcW w:w="740" w:type="dxa"/>
            <w:vAlign w:val="bottom"/>
          </w:tcPr>
          <w:p>
            <w:pPr>
              <w:spacing w:after="0" w:line="20" w:lineRule="exact"/>
              <w:rPr>
                <w:sz w:val="1"/>
                <w:szCs w:val="1"/>
                <w:color w:val="auto"/>
              </w:rPr>
            </w:pPr>
          </w:p>
        </w:tc>
        <w:tc>
          <w:tcPr>
            <w:tcW w:w="57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060" w:type="dxa"/>
            <w:vAlign w:val="bottom"/>
            <w:tcBorders>
              <w:bottom w:val="single" w:sz="8" w:color="0000EE"/>
            </w:tcBorders>
            <w:gridSpan w:val="12"/>
          </w:tcPr>
          <w:p>
            <w:pPr>
              <w:spacing w:after="0" w:line="132" w:lineRule="exact"/>
              <w:rPr>
                <w:rFonts w:ascii="Times New Roman" w:cs="Times New Roman" w:eastAsia="Times New Roman" w:hAnsi="Times New Roman"/>
                <w:sz w:val="13"/>
                <w:szCs w:val="13"/>
                <w:color w:val="0000EE"/>
                <w:w w:val="97"/>
              </w:rPr>
            </w:pPr>
            <w:hyperlink r:id="rId236">
              <w:r>
                <w:rPr>
                  <w:rFonts w:ascii="Times New Roman" w:cs="Times New Roman" w:eastAsia="Times New Roman" w:hAnsi="Times New Roman"/>
                  <w:sz w:val="13"/>
                  <w:szCs w:val="13"/>
                  <w:color w:val="0000EE"/>
                  <w:w w:val="97"/>
                </w:rPr>
                <w:t>agent, including the form of the 2.750% Guaranteed Notes due 2024 (incorporated by reference to Exhibit 4.1 to the Combined Current Report on Form 8-K of</w:t>
              </w:r>
            </w:hyperlink>
          </w:p>
        </w:tc>
        <w:tc>
          <w:tcPr>
            <w:tcW w:w="140" w:type="dxa"/>
            <w:vAlign w:val="bottom"/>
            <w:gridSpan w:val="3"/>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00" w:type="dxa"/>
            <w:vAlign w:val="bottom"/>
            <w:gridSpan w:val="15"/>
          </w:tcPr>
          <w:p>
            <w:pPr>
              <w:spacing w:after="0" w:line="132" w:lineRule="exact"/>
              <w:rPr>
                <w:rFonts w:ascii="Times New Roman" w:cs="Times New Roman" w:eastAsia="Times New Roman" w:hAnsi="Times New Roman"/>
                <w:sz w:val="13"/>
                <w:szCs w:val="13"/>
                <w:color w:val="0000EE"/>
              </w:rPr>
            </w:pPr>
            <w:hyperlink r:id="rId236">
              <w:r>
                <w:rPr>
                  <w:rFonts w:ascii="Times New Roman" w:cs="Times New Roman" w:eastAsia="Times New Roman" w:hAnsi="Times New Roman"/>
                  <w:sz w:val="13"/>
                  <w:szCs w:val="13"/>
                  <w:color w:val="0000EE"/>
                </w:rPr>
                <w:t>Digital Realty Trust, Inc. and Digital Realty Trust, L.P. (File Nos. 001-32336 and 000-54023) filed on July 21, 2017).</w:t>
              </w:r>
            </w:hyperlink>
          </w:p>
        </w:tc>
      </w:tr>
      <w:tr>
        <w:trPr>
          <w:trHeight w:val="20"/>
        </w:trPr>
        <w:tc>
          <w:tcPr>
            <w:tcW w:w="740" w:type="dxa"/>
            <w:vAlign w:val="bottom"/>
          </w:tcPr>
          <w:p>
            <w:pPr>
              <w:spacing w:after="0" w:line="20" w:lineRule="exact"/>
              <w:rPr>
                <w:sz w:val="1"/>
                <w:szCs w:val="1"/>
                <w:color w:val="auto"/>
              </w:rPr>
            </w:pPr>
          </w:p>
        </w:tc>
        <w:tc>
          <w:tcPr>
            <w:tcW w:w="57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284"/>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4.19</w:t>
            </w:r>
          </w:p>
        </w:tc>
        <w:tc>
          <w:tcPr>
            <w:tcW w:w="7780" w:type="dxa"/>
            <w:vAlign w:val="bottom"/>
            <w:tcBorders>
              <w:bottom w:val="single" w:sz="8" w:color="0000EE"/>
            </w:tcBorders>
            <w:gridSpan w:val="8"/>
          </w:tcPr>
          <w:p>
            <w:pPr>
              <w:spacing w:after="0"/>
              <w:rPr>
                <w:rFonts w:ascii="Times New Roman" w:cs="Times New Roman" w:eastAsia="Times New Roman" w:hAnsi="Times New Roman"/>
                <w:sz w:val="13"/>
                <w:szCs w:val="13"/>
                <w:color w:val="0000EE"/>
                <w:w w:val="96"/>
              </w:rPr>
            </w:pPr>
            <w:hyperlink r:id="rId237">
              <w:r>
                <w:rPr>
                  <w:rFonts w:ascii="Times New Roman" w:cs="Times New Roman" w:eastAsia="Times New Roman" w:hAnsi="Times New Roman"/>
                  <w:sz w:val="13"/>
                  <w:szCs w:val="13"/>
                  <w:color w:val="0000EE"/>
                  <w:w w:val="96"/>
                </w:rPr>
                <w:t>Indenture, dated as of July 21, 2017, among Digital Stout Holding, LLC, Digital Realty Trust, Inc., Digital Realty Trust, L.P., Deutsche Trustee Company</w:t>
              </w:r>
            </w:hyperlink>
          </w:p>
        </w:tc>
        <w:tc>
          <w:tcPr>
            <w:tcW w:w="420" w:type="dxa"/>
            <w:vAlign w:val="bottom"/>
            <w:gridSpan w:val="7"/>
          </w:tcPr>
          <w:p>
            <w:pPr>
              <w:spacing w:after="0"/>
              <w:rPr>
                <w:sz w:val="24"/>
                <w:szCs w:val="24"/>
                <w:color w:val="auto"/>
              </w:rPr>
            </w:pPr>
          </w:p>
        </w:tc>
      </w:tr>
      <w:tr>
        <w:trPr>
          <w:trHeight w:val="132"/>
        </w:trPr>
        <w:tc>
          <w:tcPr>
            <w:tcW w:w="740" w:type="dxa"/>
            <w:vAlign w:val="bottom"/>
          </w:tcPr>
          <w:p>
            <w:pPr>
              <w:spacing w:after="0"/>
              <w:rPr>
                <w:sz w:val="11"/>
                <w:szCs w:val="11"/>
                <w:color w:val="auto"/>
              </w:rPr>
            </w:pPr>
          </w:p>
        </w:tc>
        <w:tc>
          <w:tcPr>
            <w:tcW w:w="8200" w:type="dxa"/>
            <w:vAlign w:val="bottom"/>
            <w:gridSpan w:val="15"/>
          </w:tcPr>
          <w:p>
            <w:pPr>
              <w:spacing w:after="0" w:line="132" w:lineRule="exact"/>
              <w:rPr>
                <w:rFonts w:ascii="Times New Roman" w:cs="Times New Roman" w:eastAsia="Times New Roman" w:hAnsi="Times New Roman"/>
                <w:sz w:val="13"/>
                <w:szCs w:val="13"/>
                <w:color w:val="0000EE"/>
                <w:w w:val="98"/>
              </w:rPr>
            </w:pPr>
            <w:hyperlink r:id="rId237">
              <w:r>
                <w:rPr>
                  <w:rFonts w:ascii="Times New Roman" w:cs="Times New Roman" w:eastAsia="Times New Roman" w:hAnsi="Times New Roman"/>
                  <w:sz w:val="13"/>
                  <w:szCs w:val="13"/>
                  <w:color w:val="0000EE"/>
                  <w:w w:val="98"/>
                </w:rPr>
                <w:t>Limited, as trustee, Deutsche Bank AG, London Branch, as paying agent and a transfer agent, and Deutsche Bank Luxembourg S.A., as registrar and a transfer</w:t>
              </w:r>
            </w:hyperlink>
          </w:p>
        </w:tc>
      </w:tr>
      <w:tr>
        <w:trPr>
          <w:trHeight w:val="20"/>
        </w:trPr>
        <w:tc>
          <w:tcPr>
            <w:tcW w:w="740" w:type="dxa"/>
            <w:vAlign w:val="bottom"/>
          </w:tcPr>
          <w:p>
            <w:pPr>
              <w:spacing w:after="0" w:line="20" w:lineRule="exact"/>
              <w:rPr>
                <w:sz w:val="1"/>
                <w:szCs w:val="1"/>
                <w:color w:val="auto"/>
              </w:rPr>
            </w:pPr>
          </w:p>
        </w:tc>
        <w:tc>
          <w:tcPr>
            <w:tcW w:w="570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060" w:type="dxa"/>
            <w:vAlign w:val="bottom"/>
            <w:tcBorders>
              <w:bottom w:val="single" w:sz="8" w:color="0000EE"/>
            </w:tcBorders>
            <w:gridSpan w:val="12"/>
          </w:tcPr>
          <w:p>
            <w:pPr>
              <w:spacing w:after="0" w:line="132" w:lineRule="exact"/>
              <w:rPr>
                <w:rFonts w:ascii="Times New Roman" w:cs="Times New Roman" w:eastAsia="Times New Roman" w:hAnsi="Times New Roman"/>
                <w:sz w:val="13"/>
                <w:szCs w:val="13"/>
                <w:color w:val="0000EE"/>
                <w:w w:val="97"/>
              </w:rPr>
            </w:pPr>
            <w:hyperlink r:id="rId237">
              <w:r>
                <w:rPr>
                  <w:rFonts w:ascii="Times New Roman" w:cs="Times New Roman" w:eastAsia="Times New Roman" w:hAnsi="Times New Roman"/>
                  <w:sz w:val="13"/>
                  <w:szCs w:val="13"/>
                  <w:color w:val="0000EE"/>
                  <w:w w:val="97"/>
                </w:rPr>
                <w:t>agent, including the form of the 3.300% Guaranteed Notes due 2029 (incorporated by reference to Exhibit 4.2 to the Combined Current Report on Form 8-K of</w:t>
              </w:r>
            </w:hyperlink>
          </w:p>
        </w:tc>
        <w:tc>
          <w:tcPr>
            <w:tcW w:w="140" w:type="dxa"/>
            <w:vAlign w:val="bottom"/>
            <w:gridSpan w:val="3"/>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00" w:type="dxa"/>
            <w:vAlign w:val="bottom"/>
            <w:gridSpan w:val="15"/>
          </w:tcPr>
          <w:p>
            <w:pPr>
              <w:spacing w:after="0" w:line="132" w:lineRule="exact"/>
              <w:rPr>
                <w:rFonts w:ascii="Times New Roman" w:cs="Times New Roman" w:eastAsia="Times New Roman" w:hAnsi="Times New Roman"/>
                <w:sz w:val="13"/>
                <w:szCs w:val="13"/>
                <w:color w:val="0000EE"/>
              </w:rPr>
            </w:pPr>
            <w:hyperlink r:id="rId237">
              <w:r>
                <w:rPr>
                  <w:rFonts w:ascii="Times New Roman" w:cs="Times New Roman" w:eastAsia="Times New Roman" w:hAnsi="Times New Roman"/>
                  <w:sz w:val="13"/>
                  <w:szCs w:val="13"/>
                  <w:color w:val="0000EE"/>
                </w:rPr>
                <w:t>Digital Realty Trust, Inc. and Digital Realty Trust, L.P. (File Nos. 001-32336 and 000-54023) filed on July 21, 2017).</w:t>
              </w:r>
            </w:hyperlink>
          </w:p>
        </w:tc>
      </w:tr>
      <w:tr>
        <w:trPr>
          <w:trHeight w:val="20"/>
        </w:trPr>
        <w:tc>
          <w:tcPr>
            <w:tcW w:w="740" w:type="dxa"/>
            <w:vAlign w:val="bottom"/>
          </w:tcPr>
          <w:p>
            <w:pPr>
              <w:spacing w:after="0" w:line="20" w:lineRule="exact"/>
              <w:rPr>
                <w:sz w:val="1"/>
                <w:szCs w:val="1"/>
                <w:color w:val="auto"/>
              </w:rPr>
            </w:pPr>
          </w:p>
        </w:tc>
        <w:tc>
          <w:tcPr>
            <w:tcW w:w="57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284"/>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4.20</w:t>
            </w:r>
          </w:p>
        </w:tc>
        <w:tc>
          <w:tcPr>
            <w:tcW w:w="8200" w:type="dxa"/>
            <w:vAlign w:val="bottom"/>
            <w:tcBorders>
              <w:bottom w:val="single" w:sz="8" w:color="0000EE"/>
            </w:tcBorders>
            <w:gridSpan w:val="15"/>
          </w:tcPr>
          <w:p>
            <w:pPr>
              <w:spacing w:after="0"/>
              <w:rPr>
                <w:rFonts w:ascii="Times New Roman" w:cs="Times New Roman" w:eastAsia="Times New Roman" w:hAnsi="Times New Roman"/>
                <w:sz w:val="13"/>
                <w:szCs w:val="13"/>
                <w:color w:val="0000EE"/>
                <w:w w:val="96"/>
              </w:rPr>
            </w:pPr>
            <w:hyperlink r:id="rId238">
              <w:r>
                <w:rPr>
                  <w:rFonts w:ascii="Times New Roman" w:cs="Times New Roman" w:eastAsia="Times New Roman" w:hAnsi="Times New Roman"/>
                  <w:sz w:val="13"/>
                  <w:szCs w:val="13"/>
                  <w:color w:val="0000EE"/>
                  <w:w w:val="96"/>
                </w:rPr>
                <w:t>Specimen Certificate for Digital Realty Trust, Inc.’s 6.625% Series C Cumulative Redeemable Perpetual Preferred Stock (incorporated by reference to Exhibit 4.1</w:t>
              </w:r>
            </w:hyperlink>
          </w:p>
        </w:tc>
      </w:tr>
      <w:tr>
        <w:trPr>
          <w:trHeight w:val="132"/>
        </w:trPr>
        <w:tc>
          <w:tcPr>
            <w:tcW w:w="740" w:type="dxa"/>
            <w:vAlign w:val="bottom"/>
          </w:tcPr>
          <w:p>
            <w:pPr>
              <w:spacing w:after="0"/>
              <w:rPr>
                <w:sz w:val="11"/>
                <w:szCs w:val="11"/>
                <w:color w:val="auto"/>
              </w:rPr>
            </w:pPr>
          </w:p>
        </w:tc>
        <w:tc>
          <w:tcPr>
            <w:tcW w:w="8200" w:type="dxa"/>
            <w:vAlign w:val="bottom"/>
            <w:gridSpan w:val="15"/>
          </w:tcPr>
          <w:p>
            <w:pPr>
              <w:spacing w:after="0" w:line="132" w:lineRule="exact"/>
              <w:rPr>
                <w:rFonts w:ascii="Times New Roman" w:cs="Times New Roman" w:eastAsia="Times New Roman" w:hAnsi="Times New Roman"/>
                <w:sz w:val="13"/>
                <w:szCs w:val="13"/>
                <w:color w:val="0000EE"/>
              </w:rPr>
            </w:pPr>
            <w:hyperlink r:id="rId238">
              <w:r>
                <w:rPr>
                  <w:rFonts w:ascii="Times New Roman" w:cs="Times New Roman" w:eastAsia="Times New Roman" w:hAnsi="Times New Roman"/>
                  <w:sz w:val="13"/>
                  <w:szCs w:val="13"/>
                  <w:color w:val="0000EE"/>
                </w:rPr>
                <w:t>to the Registration Statement on Form 8-A of Digital Realty Trust, Inc. (File No. 001-32336) filed on September 13, 2017).</w:t>
              </w:r>
            </w:hyperlink>
          </w:p>
        </w:tc>
      </w:tr>
      <w:tr>
        <w:trPr>
          <w:trHeight w:val="20"/>
        </w:trPr>
        <w:tc>
          <w:tcPr>
            <w:tcW w:w="740" w:type="dxa"/>
            <w:vAlign w:val="bottom"/>
          </w:tcPr>
          <w:p>
            <w:pPr>
              <w:spacing w:after="0" w:line="20" w:lineRule="exact"/>
              <w:rPr>
                <w:sz w:val="1"/>
                <w:szCs w:val="1"/>
                <w:color w:val="auto"/>
              </w:rPr>
            </w:pPr>
          </w:p>
        </w:tc>
        <w:tc>
          <w:tcPr>
            <w:tcW w:w="570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303"/>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4.21</w:t>
            </w:r>
          </w:p>
        </w:tc>
        <w:tc>
          <w:tcPr>
            <w:tcW w:w="8200" w:type="dxa"/>
            <w:vAlign w:val="bottom"/>
            <w:gridSpan w:val="15"/>
          </w:tcPr>
          <w:p>
            <w:pPr>
              <w:spacing w:after="0"/>
              <w:rPr>
                <w:rFonts w:ascii="Times New Roman" w:cs="Times New Roman" w:eastAsia="Times New Roman" w:hAnsi="Times New Roman"/>
                <w:sz w:val="13"/>
                <w:szCs w:val="13"/>
                <w:color w:val="0000EE"/>
                <w:w w:val="99"/>
              </w:rPr>
            </w:pPr>
            <w:hyperlink r:id="rId239">
              <w:r>
                <w:rPr>
                  <w:rFonts w:ascii="Times New Roman" w:cs="Times New Roman" w:eastAsia="Times New Roman" w:hAnsi="Times New Roman"/>
                  <w:sz w:val="13"/>
                  <w:szCs w:val="13"/>
                  <w:color w:val="0000EE"/>
                  <w:w w:val="99"/>
                </w:rPr>
                <w:t>Specimen Certificate for Digital Realty Trust, Inc.’s 5.250% Series J Cumulative Redeemable Preferred Stock (incorporated by reference to Exhibit 4.1 to the</w:t>
              </w:r>
            </w:hyperlink>
          </w:p>
        </w:tc>
      </w:tr>
      <w:tr>
        <w:trPr>
          <w:trHeight w:val="132"/>
        </w:trPr>
        <w:tc>
          <w:tcPr>
            <w:tcW w:w="740" w:type="dxa"/>
            <w:vAlign w:val="bottom"/>
          </w:tcPr>
          <w:p>
            <w:pPr>
              <w:spacing w:after="0"/>
              <w:rPr>
                <w:sz w:val="11"/>
                <w:szCs w:val="11"/>
                <w:color w:val="auto"/>
              </w:rPr>
            </w:pPr>
          </w:p>
        </w:tc>
        <w:tc>
          <w:tcPr>
            <w:tcW w:w="5700" w:type="dxa"/>
            <w:vAlign w:val="bottom"/>
            <w:tcBorders>
              <w:top w:val="single" w:sz="8" w:color="0000EE"/>
              <w:bottom w:val="single" w:sz="8" w:color="0000EE"/>
            </w:tcBorders>
            <w:gridSpan w:val="3"/>
          </w:tcPr>
          <w:p>
            <w:pPr>
              <w:spacing w:after="0" w:line="132" w:lineRule="exact"/>
              <w:rPr>
                <w:rFonts w:ascii="Times New Roman" w:cs="Times New Roman" w:eastAsia="Times New Roman" w:hAnsi="Times New Roman"/>
                <w:sz w:val="13"/>
                <w:szCs w:val="13"/>
                <w:color w:val="0000EE"/>
                <w:w w:val="96"/>
              </w:rPr>
            </w:pPr>
            <w:hyperlink r:id="rId239">
              <w:r>
                <w:rPr>
                  <w:rFonts w:ascii="Times New Roman" w:cs="Times New Roman" w:eastAsia="Times New Roman" w:hAnsi="Times New Roman"/>
                  <w:sz w:val="13"/>
                  <w:szCs w:val="13"/>
                  <w:color w:val="0000EE"/>
                  <w:w w:val="96"/>
                </w:rPr>
                <w:t>Registration Statement on Form 8-A of Digital Realty Trust, Inc. (File No. 001-32336) filed on August 4, 2017).</w:t>
              </w:r>
            </w:hyperlink>
          </w:p>
        </w:tc>
        <w:tc>
          <w:tcPr>
            <w:tcW w:w="2280" w:type="dxa"/>
            <w:vAlign w:val="bottom"/>
            <w:tcBorders>
              <w:top w:val="single" w:sz="8" w:color="0000EE"/>
            </w:tcBorders>
            <w:gridSpan w:val="6"/>
          </w:tcPr>
          <w:p>
            <w:pPr>
              <w:spacing w:after="0"/>
              <w:rPr>
                <w:sz w:val="11"/>
                <w:szCs w:val="11"/>
                <w:color w:val="auto"/>
              </w:rPr>
            </w:pPr>
          </w:p>
        </w:tc>
        <w:tc>
          <w:tcPr>
            <w:tcW w:w="220" w:type="dxa"/>
            <w:vAlign w:val="bottom"/>
            <w:gridSpan w:val="6"/>
          </w:tcPr>
          <w:p>
            <w:pPr>
              <w:spacing w:after="0"/>
              <w:rPr>
                <w:sz w:val="11"/>
                <w:szCs w:val="11"/>
                <w:color w:val="auto"/>
              </w:rPr>
            </w:pPr>
          </w:p>
        </w:tc>
      </w:tr>
      <w:tr>
        <w:trPr>
          <w:trHeight w:val="284"/>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4.22</w:t>
            </w:r>
          </w:p>
        </w:tc>
        <w:tc>
          <w:tcPr>
            <w:tcW w:w="8000" w:type="dxa"/>
            <w:vAlign w:val="bottom"/>
            <w:tcBorders>
              <w:bottom w:val="single" w:sz="8" w:color="0000EE"/>
            </w:tcBorders>
            <w:gridSpan w:val="10"/>
          </w:tcPr>
          <w:p>
            <w:pPr>
              <w:spacing w:after="0"/>
              <w:rPr>
                <w:rFonts w:ascii="Times New Roman" w:cs="Times New Roman" w:eastAsia="Times New Roman" w:hAnsi="Times New Roman"/>
                <w:sz w:val="13"/>
                <w:szCs w:val="13"/>
                <w:color w:val="0000EE"/>
                <w:w w:val="96"/>
              </w:rPr>
            </w:pPr>
            <w:hyperlink r:id="rId240">
              <w:r>
                <w:rPr>
                  <w:rFonts w:ascii="Times New Roman" w:cs="Times New Roman" w:eastAsia="Times New Roman" w:hAnsi="Times New Roman"/>
                  <w:sz w:val="13"/>
                  <w:szCs w:val="13"/>
                  <w:color w:val="0000EE"/>
                  <w:w w:val="96"/>
                </w:rPr>
                <w:t>Supplemental Indenture No. 3, dated as of June 21, 2018, among Digital Realty Trust, L.P., as issuer, Digital Realty Trust, Inc., as guarantor, and Wells Fargo</w:t>
              </w:r>
            </w:hyperlink>
          </w:p>
        </w:tc>
        <w:tc>
          <w:tcPr>
            <w:tcW w:w="200" w:type="dxa"/>
            <w:vAlign w:val="bottom"/>
            <w:gridSpan w:val="5"/>
          </w:tcPr>
          <w:p>
            <w:pPr>
              <w:spacing w:after="0"/>
              <w:rPr>
                <w:sz w:val="24"/>
                <w:szCs w:val="24"/>
                <w:color w:val="auto"/>
              </w:rPr>
            </w:pPr>
          </w:p>
        </w:tc>
      </w:tr>
      <w:tr>
        <w:trPr>
          <w:trHeight w:val="132"/>
        </w:trPr>
        <w:tc>
          <w:tcPr>
            <w:tcW w:w="740" w:type="dxa"/>
            <w:vAlign w:val="bottom"/>
          </w:tcPr>
          <w:p>
            <w:pPr>
              <w:spacing w:after="0"/>
              <w:rPr>
                <w:sz w:val="11"/>
                <w:szCs w:val="11"/>
                <w:color w:val="auto"/>
              </w:rPr>
            </w:pPr>
          </w:p>
        </w:tc>
        <w:tc>
          <w:tcPr>
            <w:tcW w:w="8200" w:type="dxa"/>
            <w:vAlign w:val="bottom"/>
            <w:gridSpan w:val="15"/>
          </w:tcPr>
          <w:p>
            <w:pPr>
              <w:spacing w:after="0" w:line="132" w:lineRule="exact"/>
              <w:rPr>
                <w:rFonts w:ascii="Times New Roman" w:cs="Times New Roman" w:eastAsia="Times New Roman" w:hAnsi="Times New Roman"/>
                <w:sz w:val="13"/>
                <w:szCs w:val="13"/>
                <w:color w:val="0000EE"/>
              </w:rPr>
            </w:pPr>
            <w:hyperlink r:id="rId240">
              <w:r>
                <w:rPr>
                  <w:rFonts w:ascii="Times New Roman" w:cs="Times New Roman" w:eastAsia="Times New Roman" w:hAnsi="Times New Roman"/>
                  <w:sz w:val="13"/>
                  <w:szCs w:val="13"/>
                  <w:color w:val="0000EE"/>
                </w:rPr>
                <w:t>Bank, National Association, as trustee, including the form of 4.450% Notes due 2028 and the guarantees (incorporated by reference to Exhibit 4.2 to the</w:t>
              </w:r>
            </w:hyperlink>
          </w:p>
        </w:tc>
      </w:tr>
      <w:tr>
        <w:trPr>
          <w:trHeight w:val="160"/>
        </w:trPr>
        <w:tc>
          <w:tcPr>
            <w:tcW w:w="740" w:type="dxa"/>
            <w:vAlign w:val="bottom"/>
          </w:tcPr>
          <w:p>
            <w:pPr>
              <w:spacing w:after="0"/>
              <w:rPr>
                <w:sz w:val="13"/>
                <w:szCs w:val="13"/>
                <w:color w:val="auto"/>
              </w:rPr>
            </w:pPr>
          </w:p>
        </w:tc>
        <w:tc>
          <w:tcPr>
            <w:tcW w:w="7700" w:type="dxa"/>
            <w:vAlign w:val="bottom"/>
            <w:tcBorders>
              <w:top w:val="single" w:sz="8" w:color="0000EE"/>
            </w:tcBorders>
            <w:gridSpan w:val="6"/>
          </w:tcPr>
          <w:p>
            <w:pPr>
              <w:spacing w:after="0"/>
              <w:rPr>
                <w:rFonts w:ascii="Times New Roman" w:cs="Times New Roman" w:eastAsia="Times New Roman" w:hAnsi="Times New Roman"/>
                <w:sz w:val="13"/>
                <w:szCs w:val="13"/>
                <w:u w:val="single" w:color="auto"/>
                <w:color w:val="0000EE"/>
              </w:rPr>
            </w:pPr>
            <w:hyperlink r:id="rId240">
              <w:r>
                <w:rPr>
                  <w:rFonts w:ascii="Times New Roman" w:cs="Times New Roman" w:eastAsia="Times New Roman" w:hAnsi="Times New Roman"/>
                  <w:sz w:val="13"/>
                  <w:szCs w:val="13"/>
                  <w:u w:val="single" w:color="auto"/>
                  <w:color w:val="0000EE"/>
                </w:rPr>
                <w:t>Combined Current Report on Form 8-K of Digital Realty Trust, L.P. (File Nos. 001-32336 and 000-54023) filed on June 21, 2018).</w:t>
              </w:r>
            </w:hyperlink>
          </w:p>
        </w:tc>
        <w:tc>
          <w:tcPr>
            <w:tcW w:w="500" w:type="dxa"/>
            <w:vAlign w:val="bottom"/>
            <w:gridSpan w:val="9"/>
          </w:tcPr>
          <w:p>
            <w:pPr>
              <w:spacing w:after="0"/>
              <w:rPr>
                <w:sz w:val="13"/>
                <w:szCs w:val="13"/>
                <w:color w:val="auto"/>
              </w:rPr>
            </w:pPr>
          </w:p>
        </w:tc>
      </w:tr>
      <w:tr>
        <w:trPr>
          <w:trHeight w:val="275"/>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4.23</w:t>
            </w:r>
          </w:p>
        </w:tc>
        <w:tc>
          <w:tcPr>
            <w:tcW w:w="8200" w:type="dxa"/>
            <w:vAlign w:val="bottom"/>
            <w:gridSpan w:val="15"/>
          </w:tcPr>
          <w:p>
            <w:pPr>
              <w:spacing w:after="0"/>
              <w:rPr>
                <w:rFonts w:ascii="Times New Roman" w:cs="Times New Roman" w:eastAsia="Times New Roman" w:hAnsi="Times New Roman"/>
                <w:sz w:val="13"/>
                <w:szCs w:val="13"/>
                <w:color w:val="0000EE"/>
                <w:w w:val="99"/>
              </w:rPr>
            </w:pPr>
            <w:hyperlink r:id="rId241">
              <w:r>
                <w:rPr>
                  <w:rFonts w:ascii="Times New Roman" w:cs="Times New Roman" w:eastAsia="Times New Roman" w:hAnsi="Times New Roman"/>
                  <w:sz w:val="13"/>
                  <w:szCs w:val="13"/>
                  <w:color w:val="0000EE"/>
                  <w:w w:val="99"/>
                </w:rPr>
                <w:t>Indenture, dated as of October 17, 2018, among Digital Stout Holding, LLC, Digital Realty Trust, Inc., Digital Realty Trust, L.P., Deutsche Trustee Company</w:t>
              </w:r>
            </w:hyperlink>
          </w:p>
        </w:tc>
      </w:tr>
      <w:tr>
        <w:trPr>
          <w:trHeight w:val="20"/>
        </w:trPr>
        <w:tc>
          <w:tcPr>
            <w:tcW w:w="740" w:type="dxa"/>
            <w:vAlign w:val="bottom"/>
          </w:tcPr>
          <w:p>
            <w:pPr>
              <w:spacing w:after="0" w:line="20" w:lineRule="exact"/>
              <w:rPr>
                <w:sz w:val="1"/>
                <w:szCs w:val="1"/>
                <w:color w:val="auto"/>
              </w:rPr>
            </w:pPr>
          </w:p>
        </w:tc>
        <w:tc>
          <w:tcPr>
            <w:tcW w:w="8000" w:type="dxa"/>
            <w:vAlign w:val="bottom"/>
            <w:gridSpan w:val="10"/>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200" w:type="dxa"/>
            <w:vAlign w:val="bottom"/>
            <w:gridSpan w:val="15"/>
          </w:tcPr>
          <w:p>
            <w:pPr>
              <w:spacing w:after="0" w:line="132" w:lineRule="exact"/>
              <w:rPr>
                <w:rFonts w:ascii="Times New Roman" w:cs="Times New Roman" w:eastAsia="Times New Roman" w:hAnsi="Times New Roman"/>
                <w:sz w:val="13"/>
                <w:szCs w:val="13"/>
                <w:color w:val="0000EE"/>
                <w:w w:val="98"/>
              </w:rPr>
            </w:pPr>
            <w:hyperlink r:id="rId241">
              <w:r>
                <w:rPr>
                  <w:rFonts w:ascii="Times New Roman" w:cs="Times New Roman" w:eastAsia="Times New Roman" w:hAnsi="Times New Roman"/>
                  <w:sz w:val="13"/>
                  <w:szCs w:val="13"/>
                  <w:color w:val="0000EE"/>
                  <w:w w:val="98"/>
                </w:rPr>
                <w:t>Limited, as trustee, Deutsche Bank AG, London Branch, as paying agent and a transfer agent, and Deutsche Bank Luxembourg S.A., as registrar and a transfer</w:t>
              </w:r>
            </w:hyperlink>
          </w:p>
        </w:tc>
      </w:tr>
      <w:tr>
        <w:trPr>
          <w:trHeight w:val="20"/>
        </w:trPr>
        <w:tc>
          <w:tcPr>
            <w:tcW w:w="74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 w:lineRule="exact"/>
        <w:rPr>
          <w:sz w:val="20"/>
          <w:szCs w:val="20"/>
          <w:color w:val="auto"/>
        </w:rPr>
      </w:pPr>
    </w:p>
    <w:p>
      <w:pPr>
        <w:ind w:left="760" w:right="199"/>
        <w:spacing w:after="0" w:line="268" w:lineRule="auto"/>
        <w:rPr>
          <w:rFonts w:ascii="Times New Roman" w:cs="Times New Roman" w:eastAsia="Times New Roman" w:hAnsi="Times New Roman"/>
          <w:sz w:val="13"/>
          <w:szCs w:val="13"/>
          <w:u w:val="single" w:color="auto"/>
          <w:color w:val="0000EE"/>
        </w:rPr>
      </w:pPr>
      <w:hyperlink r:id="rId241">
        <w:r>
          <w:rPr>
            <w:rFonts w:ascii="Times New Roman" w:cs="Times New Roman" w:eastAsia="Times New Roman" w:hAnsi="Times New Roman"/>
            <w:sz w:val="13"/>
            <w:szCs w:val="13"/>
            <w:u w:val="single" w:color="auto"/>
            <w:color w:val="0000EE"/>
          </w:rPr>
          <w:t>agent, including the form of the 3.750% Guaranteed Notes due 2030 (incorporated by reference to Exhibit 4.1 to the Combined Current Report on Form 8-K of</w:t>
        </w:r>
      </w:hyperlink>
      <w:r>
        <w:rPr>
          <w:rFonts w:ascii="Times New Roman" w:cs="Times New Roman" w:eastAsia="Times New Roman" w:hAnsi="Times New Roman"/>
          <w:sz w:val="13"/>
          <w:szCs w:val="13"/>
          <w:u w:val="single" w:color="auto"/>
          <w:color w:val="0000EE"/>
        </w:rPr>
        <w:t xml:space="preserve"> </w:t>
      </w:r>
      <w:hyperlink r:id="rId241">
        <w:r>
          <w:rPr>
            <w:rFonts w:ascii="Times New Roman" w:cs="Times New Roman" w:eastAsia="Times New Roman" w:hAnsi="Times New Roman"/>
            <w:sz w:val="13"/>
            <w:szCs w:val="13"/>
            <w:u w:val="single" w:color="auto"/>
            <w:color w:val="0000EE"/>
          </w:rPr>
          <w:t>Digital Realty Trust, Inc. and Digital Realty Trust, L.P. (File Nos. 001-32336 and 000-54023) filed on October 18, 2018).</w:t>
        </w:r>
      </w:hyperlink>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98" w:name="page199"/>
    <w:bookmarkEnd w:id="19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4.24</w:t>
            </w:r>
          </w:p>
        </w:tc>
        <w:tc>
          <w:tcPr>
            <w:tcW w:w="8220" w:type="dxa"/>
            <w:vAlign w:val="bottom"/>
            <w:gridSpan w:val="16"/>
          </w:tcPr>
          <w:p>
            <w:pPr>
              <w:spacing w:after="0"/>
              <w:rPr>
                <w:rFonts w:ascii="Times New Roman" w:cs="Times New Roman" w:eastAsia="Times New Roman" w:hAnsi="Times New Roman"/>
                <w:sz w:val="13"/>
                <w:szCs w:val="13"/>
                <w:color w:val="0000EE"/>
              </w:rPr>
            </w:pPr>
            <w:hyperlink r:id="rId243">
              <w:r>
                <w:rPr>
                  <w:rFonts w:ascii="Times New Roman" w:cs="Times New Roman" w:eastAsia="Times New Roman" w:hAnsi="Times New Roman"/>
                  <w:sz w:val="13"/>
                  <w:szCs w:val="13"/>
                  <w:color w:val="0000EE"/>
                </w:rPr>
                <w:t>Indenture, dated as of January 16, 2019, among Digital Euro Finco, LLC, as issuer, Digital Realty Trust, L.P. and Digital Realty Trust, Inc., as guarantors,</w:t>
              </w:r>
            </w:hyperlink>
          </w:p>
        </w:tc>
      </w:tr>
      <w:tr>
        <w:trPr>
          <w:trHeight w:val="20"/>
        </w:trPr>
        <w:tc>
          <w:tcPr>
            <w:tcW w:w="740" w:type="dxa"/>
            <w:vAlign w:val="bottom"/>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080" w:type="dxa"/>
            <w:vAlign w:val="bottom"/>
            <w:tcBorders>
              <w:bottom w:val="single" w:sz="8" w:color="0000EE"/>
            </w:tcBorders>
            <w:gridSpan w:val="13"/>
          </w:tcPr>
          <w:p>
            <w:pPr>
              <w:spacing w:after="0" w:line="132" w:lineRule="exact"/>
              <w:rPr>
                <w:rFonts w:ascii="Times New Roman" w:cs="Times New Roman" w:eastAsia="Times New Roman" w:hAnsi="Times New Roman"/>
                <w:sz w:val="13"/>
                <w:szCs w:val="13"/>
                <w:color w:val="0000EE"/>
                <w:w w:val="97"/>
              </w:rPr>
            </w:pPr>
            <w:hyperlink r:id="rId243">
              <w:r>
                <w:rPr>
                  <w:rFonts w:ascii="Times New Roman" w:cs="Times New Roman" w:eastAsia="Times New Roman" w:hAnsi="Times New Roman"/>
                  <w:sz w:val="13"/>
                  <w:szCs w:val="13"/>
                  <w:color w:val="0000EE"/>
                  <w:w w:val="97"/>
                </w:rPr>
                <w:t>Deutsche Trustee Company Limited, as the trustee, Deutsche Bank AG, London Branch, as paying agent and a transfer agent, and Deutsche Bank Luxembourg</w:t>
              </w:r>
            </w:hyperlink>
          </w:p>
        </w:tc>
        <w:tc>
          <w:tcPr>
            <w:tcW w:w="140" w:type="dxa"/>
            <w:vAlign w:val="bottom"/>
            <w:gridSpan w:val="3"/>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7980" w:type="dxa"/>
            <w:vAlign w:val="bottom"/>
            <w:tcBorders>
              <w:bottom w:val="single" w:sz="8" w:color="0000EE"/>
            </w:tcBorders>
            <w:gridSpan w:val="9"/>
          </w:tcPr>
          <w:p>
            <w:pPr>
              <w:spacing w:after="0" w:line="132" w:lineRule="exact"/>
              <w:rPr>
                <w:rFonts w:ascii="Times New Roman" w:cs="Times New Roman" w:eastAsia="Times New Roman" w:hAnsi="Times New Roman"/>
                <w:sz w:val="13"/>
                <w:szCs w:val="13"/>
                <w:color w:val="0000EE"/>
                <w:w w:val="97"/>
              </w:rPr>
            </w:pPr>
            <w:hyperlink r:id="rId243">
              <w:r>
                <w:rPr>
                  <w:rFonts w:ascii="Times New Roman" w:cs="Times New Roman" w:eastAsia="Times New Roman" w:hAnsi="Times New Roman"/>
                  <w:sz w:val="13"/>
                  <w:szCs w:val="13"/>
                  <w:color w:val="0000EE"/>
                  <w:w w:val="97"/>
                </w:rPr>
                <w:t>S.A., as registrar and a transfer agent (incorporated by reference to Exhibit 4.1 to the Combined Current Report on Form 8-K of Digital Realty Trust, Inc. and</w:t>
              </w:r>
            </w:hyperlink>
          </w:p>
        </w:tc>
        <w:tc>
          <w:tcPr>
            <w:tcW w:w="240" w:type="dxa"/>
            <w:vAlign w:val="bottom"/>
            <w:gridSpan w:val="7"/>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4620" w:type="dxa"/>
            <w:vAlign w:val="bottom"/>
            <w:tcBorders>
              <w:bottom w:val="single" w:sz="8" w:color="0000EE"/>
            </w:tcBorders>
          </w:tcPr>
          <w:p>
            <w:pPr>
              <w:spacing w:after="0" w:line="132" w:lineRule="exact"/>
              <w:rPr>
                <w:rFonts w:ascii="Times New Roman" w:cs="Times New Roman" w:eastAsia="Times New Roman" w:hAnsi="Times New Roman"/>
                <w:sz w:val="13"/>
                <w:szCs w:val="13"/>
                <w:color w:val="0000EE"/>
                <w:w w:val="96"/>
              </w:rPr>
            </w:pPr>
            <w:hyperlink r:id="rId243">
              <w:r>
                <w:rPr>
                  <w:rFonts w:ascii="Times New Roman" w:cs="Times New Roman" w:eastAsia="Times New Roman" w:hAnsi="Times New Roman"/>
                  <w:sz w:val="13"/>
                  <w:szCs w:val="13"/>
                  <w:color w:val="0000EE"/>
                  <w:w w:val="96"/>
                </w:rPr>
                <w:t>Digital Realty Trust, L.P. (File Nos. 001-32336 and 000-54023) filed on January 16, 2019).</w:t>
              </w:r>
            </w:hyperlink>
          </w:p>
        </w:tc>
        <w:tc>
          <w:tcPr>
            <w:tcW w:w="3600" w:type="dxa"/>
            <w:vAlign w:val="bottom"/>
            <w:gridSpan w:val="15"/>
          </w:tcPr>
          <w:p>
            <w:pPr>
              <w:spacing w:after="0"/>
              <w:rPr>
                <w:sz w:val="11"/>
                <w:szCs w:val="11"/>
                <w:color w:val="auto"/>
              </w:rPr>
            </w:pPr>
          </w:p>
        </w:tc>
      </w:tr>
      <w:tr>
        <w:trPr>
          <w:trHeight w:val="284"/>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4.25</w:t>
            </w:r>
          </w:p>
        </w:tc>
        <w:tc>
          <w:tcPr>
            <w:tcW w:w="8220" w:type="dxa"/>
            <w:vAlign w:val="bottom"/>
            <w:gridSpan w:val="16"/>
          </w:tcPr>
          <w:p>
            <w:pPr>
              <w:spacing w:after="0"/>
              <w:rPr>
                <w:rFonts w:ascii="Times New Roman" w:cs="Times New Roman" w:eastAsia="Times New Roman" w:hAnsi="Times New Roman"/>
                <w:sz w:val="13"/>
                <w:szCs w:val="13"/>
                <w:color w:val="0000EE"/>
                <w:w w:val="97"/>
              </w:rPr>
            </w:pPr>
            <w:hyperlink r:id="rId244">
              <w:r>
                <w:rPr>
                  <w:rFonts w:ascii="Times New Roman" w:cs="Times New Roman" w:eastAsia="Times New Roman" w:hAnsi="Times New Roman"/>
                  <w:sz w:val="13"/>
                  <w:szCs w:val="13"/>
                  <w:color w:val="0000EE"/>
                  <w:w w:val="97"/>
                </w:rPr>
                <w:t>Form of Specimen Certificate for Digital Realty Trust, Inc.’s 5.850% Series K Cumulative Redeemable Preferred Stock (incorporated by reference to Exhibit 4.1</w:t>
              </w:r>
            </w:hyperlink>
          </w:p>
        </w:tc>
      </w:tr>
      <w:tr>
        <w:trPr>
          <w:trHeight w:val="132"/>
        </w:trPr>
        <w:tc>
          <w:tcPr>
            <w:tcW w:w="740" w:type="dxa"/>
            <w:vAlign w:val="bottom"/>
          </w:tcPr>
          <w:p>
            <w:pPr>
              <w:spacing w:after="0"/>
              <w:rPr>
                <w:sz w:val="11"/>
                <w:szCs w:val="11"/>
                <w:color w:val="auto"/>
              </w:rPr>
            </w:pPr>
          </w:p>
        </w:tc>
        <w:tc>
          <w:tcPr>
            <w:tcW w:w="6040" w:type="dxa"/>
            <w:vAlign w:val="bottom"/>
            <w:tcBorders>
              <w:top w:val="single" w:sz="8" w:color="0000EE"/>
              <w:bottom w:val="single" w:sz="8" w:color="0000EE"/>
            </w:tcBorders>
            <w:gridSpan w:val="4"/>
          </w:tcPr>
          <w:p>
            <w:pPr>
              <w:spacing w:after="0" w:line="132" w:lineRule="exact"/>
              <w:rPr>
                <w:rFonts w:ascii="Times New Roman" w:cs="Times New Roman" w:eastAsia="Times New Roman" w:hAnsi="Times New Roman"/>
                <w:sz w:val="13"/>
                <w:szCs w:val="13"/>
                <w:color w:val="0000EE"/>
                <w:w w:val="96"/>
              </w:rPr>
            </w:pPr>
            <w:hyperlink r:id="rId244">
              <w:r>
                <w:rPr>
                  <w:rFonts w:ascii="Times New Roman" w:cs="Times New Roman" w:eastAsia="Times New Roman" w:hAnsi="Times New Roman"/>
                  <w:sz w:val="13"/>
                  <w:szCs w:val="13"/>
                  <w:color w:val="0000EE"/>
                  <w:w w:val="96"/>
                </w:rPr>
                <w:t>to the Registration Statement on Form 8-A of Digital Realty Trust, Inc. (File No. 001-32336) filed on March 12, 2019).</w:t>
              </w:r>
            </w:hyperlink>
          </w:p>
        </w:tc>
        <w:tc>
          <w:tcPr>
            <w:tcW w:w="2100" w:type="dxa"/>
            <w:vAlign w:val="bottom"/>
            <w:tcBorders>
              <w:top w:val="single" w:sz="8" w:color="0000EE"/>
            </w:tcBorders>
            <w:gridSpan w:val="11"/>
          </w:tcPr>
          <w:p>
            <w:pPr>
              <w:spacing w:after="0"/>
              <w:rPr>
                <w:sz w:val="11"/>
                <w:szCs w:val="11"/>
                <w:color w:val="auto"/>
              </w:rPr>
            </w:pPr>
          </w:p>
        </w:tc>
        <w:tc>
          <w:tcPr>
            <w:tcW w:w="80" w:type="dxa"/>
            <w:vAlign w:val="bottom"/>
          </w:tcPr>
          <w:p>
            <w:pPr>
              <w:spacing w:after="0"/>
              <w:rPr>
                <w:sz w:val="11"/>
                <w:szCs w:val="11"/>
                <w:color w:val="auto"/>
              </w:rPr>
            </w:pPr>
          </w:p>
        </w:tc>
      </w:tr>
      <w:tr>
        <w:trPr>
          <w:trHeight w:val="284"/>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4.26</w:t>
            </w:r>
          </w:p>
        </w:tc>
        <w:tc>
          <w:tcPr>
            <w:tcW w:w="8220" w:type="dxa"/>
            <w:vAlign w:val="bottom"/>
            <w:gridSpan w:val="16"/>
          </w:tcPr>
          <w:p>
            <w:pPr>
              <w:spacing w:after="0"/>
              <w:rPr>
                <w:rFonts w:ascii="Times New Roman" w:cs="Times New Roman" w:eastAsia="Times New Roman" w:hAnsi="Times New Roman"/>
                <w:sz w:val="13"/>
                <w:szCs w:val="13"/>
                <w:color w:val="0000EE"/>
                <w:w w:val="99"/>
              </w:rPr>
            </w:pPr>
            <w:hyperlink r:id="rId245">
              <w:r>
                <w:rPr>
                  <w:rFonts w:ascii="Times New Roman" w:cs="Times New Roman" w:eastAsia="Times New Roman" w:hAnsi="Times New Roman"/>
                  <w:sz w:val="13"/>
                  <w:szCs w:val="13"/>
                  <w:color w:val="0000EE"/>
                  <w:w w:val="99"/>
                </w:rPr>
                <w:t>Supplemental Indenture No. 4, dated as of June 14, 2019, among Digital Realty Trust, L.P., as issuer, Digital Realty Trust, Inc., as guarantor, and Wells Fargo</w:t>
              </w:r>
            </w:hyperlink>
          </w:p>
        </w:tc>
      </w:tr>
      <w:tr>
        <w:trPr>
          <w:trHeight w:val="20"/>
        </w:trPr>
        <w:tc>
          <w:tcPr>
            <w:tcW w:w="740" w:type="dxa"/>
            <w:vAlign w:val="bottom"/>
          </w:tcPr>
          <w:p>
            <w:pPr>
              <w:spacing w:after="0" w:line="20" w:lineRule="exact"/>
              <w:rPr>
                <w:sz w:val="1"/>
                <w:szCs w:val="1"/>
                <w:color w:val="auto"/>
              </w:rPr>
            </w:pPr>
          </w:p>
        </w:tc>
        <w:tc>
          <w:tcPr>
            <w:tcW w:w="5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220" w:type="dxa"/>
            <w:vAlign w:val="bottom"/>
            <w:tcBorders>
              <w:bottom w:val="single" w:sz="8" w:color="0000EE"/>
            </w:tcBorders>
            <w:gridSpan w:val="16"/>
          </w:tcPr>
          <w:p>
            <w:pPr>
              <w:spacing w:after="0" w:line="132" w:lineRule="exact"/>
              <w:rPr>
                <w:rFonts w:ascii="Times New Roman" w:cs="Times New Roman" w:eastAsia="Times New Roman" w:hAnsi="Times New Roman"/>
                <w:sz w:val="13"/>
                <w:szCs w:val="13"/>
                <w:color w:val="0000EE"/>
                <w:w w:val="97"/>
              </w:rPr>
            </w:pPr>
            <w:hyperlink r:id="rId245">
              <w:r>
                <w:rPr>
                  <w:rFonts w:ascii="Times New Roman" w:cs="Times New Roman" w:eastAsia="Times New Roman" w:hAnsi="Times New Roman"/>
                  <w:sz w:val="13"/>
                  <w:szCs w:val="13"/>
                  <w:color w:val="0000EE"/>
                  <w:w w:val="97"/>
                </w:rPr>
                <w:t>Bank, National Association, as trustee, including the form of 3.600% Notes due 2029 and the guarantee (incorporated by reference to Exhibit 4.2 to the Combined</w:t>
              </w:r>
            </w:hyperlink>
          </w:p>
        </w:tc>
      </w:tr>
      <w:tr>
        <w:trPr>
          <w:trHeight w:val="160"/>
        </w:trPr>
        <w:tc>
          <w:tcPr>
            <w:tcW w:w="740" w:type="dxa"/>
            <w:vAlign w:val="bottom"/>
          </w:tcPr>
          <w:p>
            <w:pPr>
              <w:spacing w:after="0"/>
              <w:rPr>
                <w:sz w:val="13"/>
                <w:szCs w:val="13"/>
                <w:color w:val="auto"/>
              </w:rPr>
            </w:pPr>
          </w:p>
        </w:tc>
        <w:tc>
          <w:tcPr>
            <w:tcW w:w="8220" w:type="dxa"/>
            <w:vAlign w:val="bottom"/>
            <w:gridSpan w:val="16"/>
          </w:tcPr>
          <w:p>
            <w:pPr>
              <w:spacing w:after="0"/>
              <w:rPr>
                <w:rFonts w:ascii="Times New Roman" w:cs="Times New Roman" w:eastAsia="Times New Roman" w:hAnsi="Times New Roman"/>
                <w:sz w:val="13"/>
                <w:szCs w:val="13"/>
                <w:u w:val="single" w:color="auto"/>
                <w:color w:val="0000EE"/>
              </w:rPr>
            </w:pPr>
            <w:hyperlink r:id="rId245">
              <w:r>
                <w:rPr>
                  <w:rFonts w:ascii="Times New Roman" w:cs="Times New Roman" w:eastAsia="Times New Roman" w:hAnsi="Times New Roman"/>
                  <w:sz w:val="13"/>
                  <w:szCs w:val="13"/>
                  <w:u w:val="single" w:color="auto"/>
                  <w:color w:val="0000EE"/>
                </w:rPr>
                <w:t>Current Report on Form 8-K of Digital Realty Trust, Inc. and Digital Realty Trust, L.P. (File Nos. 001-32336 and 000-54023) filed on June 14, 2019).</w:t>
              </w:r>
            </w:hyperlink>
          </w:p>
        </w:tc>
      </w:tr>
      <w:tr>
        <w:trPr>
          <w:trHeight w:val="275"/>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4.27</w:t>
            </w:r>
          </w:p>
        </w:tc>
        <w:tc>
          <w:tcPr>
            <w:tcW w:w="8220" w:type="dxa"/>
            <w:vAlign w:val="bottom"/>
            <w:tcBorders>
              <w:bottom w:val="single" w:sz="8" w:color="0000EE"/>
            </w:tcBorders>
            <w:gridSpan w:val="16"/>
          </w:tcPr>
          <w:p>
            <w:pPr>
              <w:spacing w:after="0"/>
              <w:rPr>
                <w:rFonts w:ascii="Times New Roman" w:cs="Times New Roman" w:eastAsia="Times New Roman" w:hAnsi="Times New Roman"/>
                <w:sz w:val="13"/>
                <w:szCs w:val="13"/>
                <w:color w:val="0000EE"/>
                <w:w w:val="96"/>
              </w:rPr>
            </w:pPr>
            <w:hyperlink r:id="rId246">
              <w:r>
                <w:rPr>
                  <w:rFonts w:ascii="Times New Roman" w:cs="Times New Roman" w:eastAsia="Times New Roman" w:hAnsi="Times New Roman"/>
                  <w:sz w:val="13"/>
                  <w:szCs w:val="13"/>
                  <w:color w:val="0000EE"/>
                  <w:w w:val="96"/>
                </w:rPr>
                <w:t>Indenture, dated as of October 9, 2019, among Digital Euro Finco, LLC, Digital Realty Trust, Inc., Digital Realty Trust, L.P., Deutsche Trustee Company Limited,</w:t>
              </w:r>
            </w:hyperlink>
          </w:p>
        </w:tc>
      </w:tr>
      <w:tr>
        <w:trPr>
          <w:trHeight w:val="132"/>
        </w:trPr>
        <w:tc>
          <w:tcPr>
            <w:tcW w:w="740" w:type="dxa"/>
            <w:vAlign w:val="bottom"/>
          </w:tcPr>
          <w:p>
            <w:pPr>
              <w:spacing w:after="0"/>
              <w:rPr>
                <w:sz w:val="11"/>
                <w:szCs w:val="11"/>
                <w:color w:val="auto"/>
              </w:rPr>
            </w:pPr>
          </w:p>
        </w:tc>
        <w:tc>
          <w:tcPr>
            <w:tcW w:w="7960" w:type="dxa"/>
            <w:vAlign w:val="bottom"/>
            <w:tcBorders>
              <w:bottom w:val="single" w:sz="8" w:color="0000EE"/>
            </w:tcBorders>
            <w:gridSpan w:val="8"/>
          </w:tcPr>
          <w:p>
            <w:pPr>
              <w:spacing w:after="0" w:line="132" w:lineRule="exact"/>
              <w:rPr>
                <w:rFonts w:ascii="Times New Roman" w:cs="Times New Roman" w:eastAsia="Times New Roman" w:hAnsi="Times New Roman"/>
                <w:sz w:val="13"/>
                <w:szCs w:val="13"/>
                <w:color w:val="0000EE"/>
                <w:w w:val="97"/>
              </w:rPr>
            </w:pPr>
            <w:hyperlink r:id="rId246">
              <w:r>
                <w:rPr>
                  <w:rFonts w:ascii="Times New Roman" w:cs="Times New Roman" w:eastAsia="Times New Roman" w:hAnsi="Times New Roman"/>
                  <w:sz w:val="13"/>
                  <w:szCs w:val="13"/>
                  <w:color w:val="0000EE"/>
                  <w:w w:val="97"/>
                </w:rPr>
                <w:t>as trustee, Deutsche Bank AG, London Branch, as paying agent and a transfer agent, and Deutsche Bank Luxembourg S.A., as registrar and a transfer agent,</w:t>
              </w:r>
            </w:hyperlink>
          </w:p>
        </w:tc>
        <w:tc>
          <w:tcPr>
            <w:tcW w:w="260" w:type="dxa"/>
            <w:vAlign w:val="bottom"/>
            <w:gridSpan w:val="8"/>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20" w:type="dxa"/>
            <w:vAlign w:val="bottom"/>
            <w:gridSpan w:val="16"/>
          </w:tcPr>
          <w:p>
            <w:pPr>
              <w:spacing w:after="0" w:line="132" w:lineRule="exact"/>
              <w:rPr>
                <w:rFonts w:ascii="Times New Roman" w:cs="Times New Roman" w:eastAsia="Times New Roman" w:hAnsi="Times New Roman"/>
                <w:sz w:val="13"/>
                <w:szCs w:val="13"/>
                <w:color w:val="0000EE"/>
                <w:w w:val="98"/>
              </w:rPr>
            </w:pPr>
            <w:hyperlink r:id="rId246">
              <w:r>
                <w:rPr>
                  <w:rFonts w:ascii="Times New Roman" w:cs="Times New Roman" w:eastAsia="Times New Roman" w:hAnsi="Times New Roman"/>
                  <w:sz w:val="13"/>
                  <w:szCs w:val="13"/>
                  <w:color w:val="0000EE"/>
                  <w:w w:val="98"/>
                </w:rPr>
                <w:t>including the form of the 1.125% Guaranteed Notes due 2028 (incorporated by reference to Exhibit 4.1 to the Combined Current Report on Form 8-K of Digital</w:t>
              </w:r>
            </w:hyperlink>
          </w:p>
        </w:tc>
      </w:tr>
      <w:tr>
        <w:trPr>
          <w:trHeight w:val="132"/>
        </w:trPr>
        <w:tc>
          <w:tcPr>
            <w:tcW w:w="740" w:type="dxa"/>
            <w:vAlign w:val="bottom"/>
          </w:tcPr>
          <w:p>
            <w:pPr>
              <w:spacing w:after="0"/>
              <w:rPr>
                <w:sz w:val="11"/>
                <w:szCs w:val="11"/>
                <w:color w:val="auto"/>
              </w:rPr>
            </w:pPr>
          </w:p>
        </w:tc>
        <w:tc>
          <w:tcPr>
            <w:tcW w:w="5700" w:type="dxa"/>
            <w:vAlign w:val="bottom"/>
            <w:tcBorders>
              <w:top w:val="single" w:sz="8" w:color="0000EE"/>
              <w:bottom w:val="single" w:sz="8" w:color="0000EE"/>
            </w:tcBorders>
            <w:gridSpan w:val="2"/>
          </w:tcPr>
          <w:p>
            <w:pPr>
              <w:spacing w:after="0" w:line="132" w:lineRule="exact"/>
              <w:rPr>
                <w:rFonts w:ascii="Times New Roman" w:cs="Times New Roman" w:eastAsia="Times New Roman" w:hAnsi="Times New Roman"/>
                <w:sz w:val="13"/>
                <w:szCs w:val="13"/>
                <w:color w:val="0000EE"/>
                <w:w w:val="96"/>
              </w:rPr>
            </w:pPr>
            <w:hyperlink r:id="rId246">
              <w:r>
                <w:rPr>
                  <w:rFonts w:ascii="Times New Roman" w:cs="Times New Roman" w:eastAsia="Times New Roman" w:hAnsi="Times New Roman"/>
                  <w:sz w:val="13"/>
                  <w:szCs w:val="13"/>
                  <w:color w:val="0000EE"/>
                  <w:w w:val="96"/>
                </w:rPr>
                <w:t>Realty Trust, Inc. and Digital Realty Trust, L.P. (File Nos. 001-32336 and 000-54023) filed on October 9, 2019).</w:t>
              </w:r>
            </w:hyperlink>
          </w:p>
        </w:tc>
        <w:tc>
          <w:tcPr>
            <w:tcW w:w="2400" w:type="dxa"/>
            <w:vAlign w:val="bottom"/>
            <w:tcBorders>
              <w:top w:val="single" w:sz="8" w:color="0000EE"/>
            </w:tcBorders>
            <w:gridSpan w:val="12"/>
          </w:tcPr>
          <w:p>
            <w:pPr>
              <w:spacing w:after="0"/>
              <w:rPr>
                <w:sz w:val="11"/>
                <w:szCs w:val="11"/>
                <w:color w:val="auto"/>
              </w:rPr>
            </w:pPr>
          </w:p>
        </w:tc>
        <w:tc>
          <w:tcPr>
            <w:tcW w:w="120" w:type="dxa"/>
            <w:vAlign w:val="bottom"/>
            <w:gridSpan w:val="2"/>
          </w:tcPr>
          <w:p>
            <w:pPr>
              <w:spacing w:after="0"/>
              <w:rPr>
                <w:sz w:val="11"/>
                <w:szCs w:val="11"/>
                <w:color w:val="auto"/>
              </w:rPr>
            </w:pPr>
          </w:p>
        </w:tc>
      </w:tr>
      <w:tr>
        <w:trPr>
          <w:trHeight w:val="284"/>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4.28</w:t>
            </w:r>
          </w:p>
        </w:tc>
        <w:tc>
          <w:tcPr>
            <w:tcW w:w="8220" w:type="dxa"/>
            <w:vAlign w:val="bottom"/>
            <w:gridSpan w:val="16"/>
          </w:tcPr>
          <w:p>
            <w:pPr>
              <w:spacing w:after="0"/>
              <w:rPr>
                <w:rFonts w:ascii="Times New Roman" w:cs="Times New Roman" w:eastAsia="Times New Roman" w:hAnsi="Times New Roman"/>
                <w:sz w:val="13"/>
                <w:szCs w:val="13"/>
                <w:color w:val="0000EE"/>
                <w:w w:val="99"/>
              </w:rPr>
            </w:pPr>
            <w:hyperlink r:id="rId247">
              <w:r>
                <w:rPr>
                  <w:rFonts w:ascii="Times New Roman" w:cs="Times New Roman" w:eastAsia="Times New Roman" w:hAnsi="Times New Roman"/>
                  <w:sz w:val="13"/>
                  <w:szCs w:val="13"/>
                  <w:color w:val="0000EE"/>
                  <w:w w:val="99"/>
                </w:rPr>
                <w:t>Specimen Certificate for Digital Realty Trust, Inc.’s 5.200% Series L Cumulative Redeemable Preferred Stock (incorporated by reference to Exhibit 4.1 to the</w:t>
              </w:r>
            </w:hyperlink>
          </w:p>
        </w:tc>
      </w:tr>
      <w:tr>
        <w:trPr>
          <w:trHeight w:val="132"/>
        </w:trPr>
        <w:tc>
          <w:tcPr>
            <w:tcW w:w="740" w:type="dxa"/>
            <w:vAlign w:val="bottom"/>
          </w:tcPr>
          <w:p>
            <w:pPr>
              <w:spacing w:after="0"/>
              <w:rPr>
                <w:sz w:val="11"/>
                <w:szCs w:val="11"/>
                <w:color w:val="auto"/>
              </w:rPr>
            </w:pPr>
          </w:p>
        </w:tc>
        <w:tc>
          <w:tcPr>
            <w:tcW w:w="5740" w:type="dxa"/>
            <w:vAlign w:val="bottom"/>
            <w:tcBorders>
              <w:top w:val="single" w:sz="8" w:color="0000EE"/>
              <w:bottom w:val="single" w:sz="8" w:color="0000EE"/>
            </w:tcBorders>
            <w:gridSpan w:val="3"/>
          </w:tcPr>
          <w:p>
            <w:pPr>
              <w:spacing w:after="0" w:line="132" w:lineRule="exact"/>
              <w:rPr>
                <w:rFonts w:ascii="Times New Roman" w:cs="Times New Roman" w:eastAsia="Times New Roman" w:hAnsi="Times New Roman"/>
                <w:sz w:val="13"/>
                <w:szCs w:val="13"/>
                <w:color w:val="0000EE"/>
                <w:w w:val="96"/>
              </w:rPr>
            </w:pPr>
            <w:hyperlink r:id="rId247">
              <w:r>
                <w:rPr>
                  <w:rFonts w:ascii="Times New Roman" w:cs="Times New Roman" w:eastAsia="Times New Roman" w:hAnsi="Times New Roman"/>
                  <w:sz w:val="13"/>
                  <w:szCs w:val="13"/>
                  <w:color w:val="0000EE"/>
                  <w:w w:val="96"/>
                </w:rPr>
                <w:t>Registration Statement on Form 8-A of Digital Realty Trust, Inc. (File No. 001-32336) filed on October 9, 2019).</w:t>
              </w:r>
            </w:hyperlink>
          </w:p>
        </w:tc>
        <w:tc>
          <w:tcPr>
            <w:tcW w:w="2260" w:type="dxa"/>
            <w:vAlign w:val="bottom"/>
            <w:tcBorders>
              <w:top w:val="single" w:sz="8" w:color="0000EE"/>
            </w:tcBorders>
            <w:gridSpan w:val="7"/>
          </w:tcPr>
          <w:p>
            <w:pPr>
              <w:spacing w:after="0"/>
              <w:rPr>
                <w:sz w:val="11"/>
                <w:szCs w:val="11"/>
                <w:color w:val="auto"/>
              </w:rPr>
            </w:pPr>
          </w:p>
        </w:tc>
        <w:tc>
          <w:tcPr>
            <w:tcW w:w="220" w:type="dxa"/>
            <w:vAlign w:val="bottom"/>
            <w:gridSpan w:val="6"/>
          </w:tcPr>
          <w:p>
            <w:pPr>
              <w:spacing w:after="0"/>
              <w:rPr>
                <w:sz w:val="11"/>
                <w:szCs w:val="11"/>
                <w:color w:val="auto"/>
              </w:rPr>
            </w:pPr>
          </w:p>
        </w:tc>
      </w:tr>
      <w:tr>
        <w:trPr>
          <w:trHeight w:val="312"/>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4.29</w:t>
            </w:r>
          </w:p>
        </w:tc>
        <w:tc>
          <w:tcPr>
            <w:tcW w:w="8220" w:type="dxa"/>
            <w:vAlign w:val="bottom"/>
            <w:gridSpan w:val="16"/>
          </w:tcPr>
          <w:p>
            <w:pPr>
              <w:spacing w:after="0"/>
              <w:rPr>
                <w:rFonts w:ascii="Times New Roman" w:cs="Times New Roman" w:eastAsia="Times New Roman" w:hAnsi="Times New Roman"/>
                <w:sz w:val="13"/>
                <w:szCs w:val="13"/>
                <w:u w:val="single" w:color="auto"/>
                <w:color w:val="0000EE"/>
              </w:rPr>
            </w:pPr>
            <w:hyperlink w:anchor="page211">
              <w:r>
                <w:rPr>
                  <w:rFonts w:ascii="Times New Roman" w:cs="Times New Roman" w:eastAsia="Times New Roman" w:hAnsi="Times New Roman"/>
                  <w:sz w:val="13"/>
                  <w:szCs w:val="13"/>
                  <w:u w:val="single" w:color="auto"/>
                  <w:color w:val="0000EE"/>
                </w:rPr>
                <w:t>Description of Securities.</w:t>
              </w:r>
            </w:hyperlink>
          </w:p>
        </w:tc>
      </w:tr>
      <w:tr>
        <w:trPr>
          <w:trHeight w:val="275"/>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4.30</w:t>
            </w:r>
          </w:p>
        </w:tc>
        <w:tc>
          <w:tcPr>
            <w:tcW w:w="8220" w:type="dxa"/>
            <w:vAlign w:val="bottom"/>
            <w:gridSpan w:val="16"/>
          </w:tcPr>
          <w:p>
            <w:pPr>
              <w:spacing w:after="0"/>
              <w:rPr>
                <w:rFonts w:ascii="Times New Roman" w:cs="Times New Roman" w:eastAsia="Times New Roman" w:hAnsi="Times New Roman"/>
                <w:sz w:val="13"/>
                <w:szCs w:val="13"/>
                <w:color w:val="0000EE"/>
              </w:rPr>
            </w:pPr>
            <w:hyperlink r:id="rId248">
              <w:r>
                <w:rPr>
                  <w:rFonts w:ascii="Times New Roman" w:cs="Times New Roman" w:eastAsia="Times New Roman" w:hAnsi="Times New Roman"/>
                  <w:sz w:val="13"/>
                  <w:szCs w:val="13"/>
                  <w:color w:val="0000EE"/>
                </w:rPr>
                <w:t>Indenture, dated as of January 17, 2020, among Digital Dutch Finco B.V., Digital Realty Trust, Inc., Digital Realty Trust, L.P., Deutsche Trustee Company</w:t>
              </w:r>
            </w:hyperlink>
          </w:p>
        </w:tc>
      </w:tr>
      <w:tr>
        <w:trPr>
          <w:trHeight w:val="20"/>
        </w:trPr>
        <w:tc>
          <w:tcPr>
            <w:tcW w:w="740" w:type="dxa"/>
            <w:vAlign w:val="bottom"/>
          </w:tcPr>
          <w:p>
            <w:pPr>
              <w:spacing w:after="0" w:line="20" w:lineRule="exact"/>
              <w:rPr>
                <w:sz w:val="1"/>
                <w:szCs w:val="1"/>
                <w:color w:val="auto"/>
              </w:rPr>
            </w:pPr>
          </w:p>
        </w:tc>
        <w:tc>
          <w:tcPr>
            <w:tcW w:w="6120" w:type="dxa"/>
            <w:vAlign w:val="bottom"/>
            <w:gridSpan w:val="5"/>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220" w:type="dxa"/>
            <w:vAlign w:val="bottom"/>
            <w:gridSpan w:val="16"/>
          </w:tcPr>
          <w:p>
            <w:pPr>
              <w:spacing w:after="0" w:line="132" w:lineRule="exact"/>
              <w:rPr>
                <w:rFonts w:ascii="Times New Roman" w:cs="Times New Roman" w:eastAsia="Times New Roman" w:hAnsi="Times New Roman"/>
                <w:sz w:val="13"/>
                <w:szCs w:val="13"/>
                <w:color w:val="0000EE"/>
                <w:w w:val="99"/>
              </w:rPr>
            </w:pPr>
            <w:hyperlink r:id="rId248">
              <w:r>
                <w:rPr>
                  <w:rFonts w:ascii="Times New Roman" w:cs="Times New Roman" w:eastAsia="Times New Roman" w:hAnsi="Times New Roman"/>
                  <w:sz w:val="13"/>
                  <w:szCs w:val="13"/>
                  <w:color w:val="0000EE"/>
                  <w:w w:val="99"/>
                </w:rPr>
                <w:t>Limited, as trustee, Deutsche Bank AG, London Branch, as paying agent and a transfer agent, and Deutsche Bank Luxembourg S.A., as registrar and a transfer</w:t>
              </w:r>
            </w:hyperlink>
          </w:p>
        </w:tc>
      </w:tr>
      <w:tr>
        <w:trPr>
          <w:trHeight w:val="20"/>
        </w:trPr>
        <w:tc>
          <w:tcPr>
            <w:tcW w:w="740" w:type="dxa"/>
            <w:vAlign w:val="bottom"/>
          </w:tcPr>
          <w:p>
            <w:pPr>
              <w:spacing w:after="0" w:line="20" w:lineRule="exact"/>
              <w:rPr>
                <w:sz w:val="1"/>
                <w:szCs w:val="1"/>
                <w:color w:val="auto"/>
              </w:rPr>
            </w:pPr>
          </w:p>
        </w:tc>
        <w:tc>
          <w:tcPr>
            <w:tcW w:w="6120" w:type="dxa"/>
            <w:vAlign w:val="bottom"/>
            <w:gridSpan w:val="5"/>
            <w:shd w:val="clear" w:color="auto" w:fill="0000EE"/>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060" w:type="dxa"/>
            <w:vAlign w:val="bottom"/>
            <w:tcBorders>
              <w:bottom w:val="single" w:sz="8" w:color="0000EE"/>
            </w:tcBorders>
            <w:gridSpan w:val="12"/>
          </w:tcPr>
          <w:p>
            <w:pPr>
              <w:spacing w:after="0" w:line="132" w:lineRule="exact"/>
              <w:rPr>
                <w:rFonts w:ascii="Times New Roman" w:cs="Times New Roman" w:eastAsia="Times New Roman" w:hAnsi="Times New Roman"/>
                <w:sz w:val="13"/>
                <w:szCs w:val="13"/>
                <w:color w:val="0000EE"/>
                <w:w w:val="97"/>
              </w:rPr>
            </w:pPr>
            <w:hyperlink r:id="rId248">
              <w:r>
                <w:rPr>
                  <w:rFonts w:ascii="Times New Roman" w:cs="Times New Roman" w:eastAsia="Times New Roman" w:hAnsi="Times New Roman"/>
                  <w:sz w:val="13"/>
                  <w:szCs w:val="13"/>
                  <w:color w:val="0000EE"/>
                  <w:w w:val="97"/>
                </w:rPr>
                <w:t>agent, including the form of the 0.125% Guaranteed Notes due 2022 (incorporated by reference to Exhibit 4.1 to the Combined Current Report on Form 8-K of</w:t>
              </w:r>
            </w:hyperlink>
          </w:p>
        </w:tc>
        <w:tc>
          <w:tcPr>
            <w:tcW w:w="160" w:type="dxa"/>
            <w:vAlign w:val="bottom"/>
            <w:gridSpan w:val="4"/>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20" w:type="dxa"/>
            <w:vAlign w:val="bottom"/>
            <w:gridSpan w:val="16"/>
          </w:tcPr>
          <w:p>
            <w:pPr>
              <w:spacing w:after="0" w:line="132" w:lineRule="exact"/>
              <w:rPr>
                <w:rFonts w:ascii="Times New Roman" w:cs="Times New Roman" w:eastAsia="Times New Roman" w:hAnsi="Times New Roman"/>
                <w:sz w:val="13"/>
                <w:szCs w:val="13"/>
                <w:color w:val="0000EE"/>
              </w:rPr>
            </w:pPr>
            <w:hyperlink r:id="rId248">
              <w:r>
                <w:rPr>
                  <w:rFonts w:ascii="Times New Roman" w:cs="Times New Roman" w:eastAsia="Times New Roman" w:hAnsi="Times New Roman"/>
                  <w:sz w:val="13"/>
                  <w:szCs w:val="13"/>
                  <w:color w:val="0000EE"/>
                </w:rPr>
                <w:t>Digital Realty Trust, Inc. and Digital Realty Trust, L.P. (File Nos. 001-32336 and 000-54023) filed on January 17, 2020).</w:t>
              </w:r>
            </w:hyperlink>
          </w:p>
        </w:tc>
      </w:tr>
      <w:tr>
        <w:trPr>
          <w:trHeight w:val="20"/>
        </w:trPr>
        <w:tc>
          <w:tcPr>
            <w:tcW w:w="740" w:type="dxa"/>
            <w:vAlign w:val="bottom"/>
          </w:tcPr>
          <w:p>
            <w:pPr>
              <w:spacing w:after="0" w:line="20" w:lineRule="exact"/>
              <w:rPr>
                <w:sz w:val="1"/>
                <w:szCs w:val="1"/>
                <w:color w:val="auto"/>
              </w:rPr>
            </w:pPr>
          </w:p>
        </w:tc>
        <w:tc>
          <w:tcPr>
            <w:tcW w:w="6120" w:type="dxa"/>
            <w:vAlign w:val="bottom"/>
            <w:gridSpan w:val="5"/>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r>
      <w:tr>
        <w:trPr>
          <w:trHeight w:val="436"/>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4.31</w:t>
            </w:r>
          </w:p>
        </w:tc>
        <w:tc>
          <w:tcPr>
            <w:tcW w:w="8220" w:type="dxa"/>
            <w:vAlign w:val="bottom"/>
            <w:gridSpan w:val="16"/>
          </w:tcPr>
          <w:p>
            <w:pPr>
              <w:spacing w:after="0"/>
              <w:rPr>
                <w:rFonts w:ascii="Times New Roman" w:cs="Times New Roman" w:eastAsia="Times New Roman" w:hAnsi="Times New Roman"/>
                <w:sz w:val="13"/>
                <w:szCs w:val="13"/>
                <w:color w:val="0000EE"/>
              </w:rPr>
            </w:pPr>
            <w:hyperlink r:id="rId249">
              <w:r>
                <w:rPr>
                  <w:rFonts w:ascii="Times New Roman" w:cs="Times New Roman" w:eastAsia="Times New Roman" w:hAnsi="Times New Roman"/>
                  <w:sz w:val="13"/>
                  <w:szCs w:val="13"/>
                  <w:color w:val="0000EE"/>
                </w:rPr>
                <w:t>Indenture, dated as of January 17, 2020, among Digital Dutch Finco B.V., Digital Realty Trust, Inc., Digital Realty Trust, L.P., Deutsche Trustee Company</w:t>
              </w:r>
            </w:hyperlink>
          </w:p>
        </w:tc>
      </w:tr>
      <w:tr>
        <w:trPr>
          <w:trHeight w:val="20"/>
        </w:trPr>
        <w:tc>
          <w:tcPr>
            <w:tcW w:w="740" w:type="dxa"/>
            <w:vAlign w:val="bottom"/>
          </w:tcPr>
          <w:p>
            <w:pPr>
              <w:spacing w:after="0" w:line="20" w:lineRule="exact"/>
              <w:rPr>
                <w:sz w:val="1"/>
                <w:szCs w:val="1"/>
                <w:color w:val="auto"/>
              </w:rPr>
            </w:pPr>
          </w:p>
        </w:tc>
        <w:tc>
          <w:tcPr>
            <w:tcW w:w="6120" w:type="dxa"/>
            <w:vAlign w:val="bottom"/>
            <w:gridSpan w:val="5"/>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220" w:type="dxa"/>
            <w:vAlign w:val="bottom"/>
            <w:gridSpan w:val="16"/>
          </w:tcPr>
          <w:p>
            <w:pPr>
              <w:spacing w:after="0" w:line="132" w:lineRule="exact"/>
              <w:rPr>
                <w:rFonts w:ascii="Times New Roman" w:cs="Times New Roman" w:eastAsia="Times New Roman" w:hAnsi="Times New Roman"/>
                <w:sz w:val="13"/>
                <w:szCs w:val="13"/>
                <w:color w:val="0000EE"/>
                <w:w w:val="99"/>
              </w:rPr>
            </w:pPr>
            <w:hyperlink r:id="rId249">
              <w:r>
                <w:rPr>
                  <w:rFonts w:ascii="Times New Roman" w:cs="Times New Roman" w:eastAsia="Times New Roman" w:hAnsi="Times New Roman"/>
                  <w:sz w:val="13"/>
                  <w:szCs w:val="13"/>
                  <w:color w:val="0000EE"/>
                  <w:w w:val="99"/>
                </w:rPr>
                <w:t>Limited, as trustee, Deutsche Bank AG, London Branch, as paying agent and a transfer agent, and Deutsche Bank Luxembourg S.A., as registrar and a transfer</w:t>
              </w:r>
            </w:hyperlink>
          </w:p>
        </w:tc>
      </w:tr>
      <w:tr>
        <w:trPr>
          <w:trHeight w:val="20"/>
        </w:trPr>
        <w:tc>
          <w:tcPr>
            <w:tcW w:w="740" w:type="dxa"/>
            <w:vAlign w:val="bottom"/>
          </w:tcPr>
          <w:p>
            <w:pPr>
              <w:spacing w:after="0" w:line="20" w:lineRule="exact"/>
              <w:rPr>
                <w:sz w:val="1"/>
                <w:szCs w:val="1"/>
                <w:color w:val="auto"/>
              </w:rPr>
            </w:pPr>
          </w:p>
        </w:tc>
        <w:tc>
          <w:tcPr>
            <w:tcW w:w="6120" w:type="dxa"/>
            <w:vAlign w:val="bottom"/>
            <w:gridSpan w:val="5"/>
            <w:shd w:val="clear" w:color="auto" w:fill="0000EE"/>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060" w:type="dxa"/>
            <w:vAlign w:val="bottom"/>
            <w:tcBorders>
              <w:bottom w:val="single" w:sz="8" w:color="0000EE"/>
            </w:tcBorders>
            <w:gridSpan w:val="12"/>
          </w:tcPr>
          <w:p>
            <w:pPr>
              <w:spacing w:after="0" w:line="132" w:lineRule="exact"/>
              <w:rPr>
                <w:rFonts w:ascii="Times New Roman" w:cs="Times New Roman" w:eastAsia="Times New Roman" w:hAnsi="Times New Roman"/>
                <w:sz w:val="13"/>
                <w:szCs w:val="13"/>
                <w:color w:val="0000EE"/>
                <w:w w:val="97"/>
              </w:rPr>
            </w:pPr>
            <w:hyperlink r:id="rId249">
              <w:r>
                <w:rPr>
                  <w:rFonts w:ascii="Times New Roman" w:cs="Times New Roman" w:eastAsia="Times New Roman" w:hAnsi="Times New Roman"/>
                  <w:sz w:val="13"/>
                  <w:szCs w:val="13"/>
                  <w:color w:val="0000EE"/>
                  <w:w w:val="97"/>
                </w:rPr>
                <w:t>agent, including the form of the 0.625% Guaranteed Notes due 2025 (incorporated by reference to Exhibit 4.2 to the Combined Current Report on Form 8-K of</w:t>
              </w:r>
            </w:hyperlink>
          </w:p>
        </w:tc>
        <w:tc>
          <w:tcPr>
            <w:tcW w:w="160" w:type="dxa"/>
            <w:vAlign w:val="bottom"/>
            <w:gridSpan w:val="4"/>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20" w:type="dxa"/>
            <w:vAlign w:val="bottom"/>
            <w:gridSpan w:val="16"/>
          </w:tcPr>
          <w:p>
            <w:pPr>
              <w:spacing w:after="0" w:line="132" w:lineRule="exact"/>
              <w:rPr>
                <w:rFonts w:ascii="Times New Roman" w:cs="Times New Roman" w:eastAsia="Times New Roman" w:hAnsi="Times New Roman"/>
                <w:sz w:val="13"/>
                <w:szCs w:val="13"/>
                <w:color w:val="0000EE"/>
              </w:rPr>
            </w:pPr>
            <w:hyperlink r:id="rId249">
              <w:r>
                <w:rPr>
                  <w:rFonts w:ascii="Times New Roman" w:cs="Times New Roman" w:eastAsia="Times New Roman" w:hAnsi="Times New Roman"/>
                  <w:sz w:val="13"/>
                  <w:szCs w:val="13"/>
                  <w:color w:val="0000EE"/>
                </w:rPr>
                <w:t>Digital Realty Trust, Inc. and Digital Realty Trust, L.P. (File Nos. 001-32336 and 000-54023) filed on January 17, 2020).</w:t>
              </w:r>
            </w:hyperlink>
          </w:p>
        </w:tc>
      </w:tr>
      <w:tr>
        <w:trPr>
          <w:trHeight w:val="20"/>
        </w:trPr>
        <w:tc>
          <w:tcPr>
            <w:tcW w:w="740" w:type="dxa"/>
            <w:vAlign w:val="bottom"/>
          </w:tcPr>
          <w:p>
            <w:pPr>
              <w:spacing w:after="0" w:line="20" w:lineRule="exact"/>
              <w:rPr>
                <w:sz w:val="1"/>
                <w:szCs w:val="1"/>
                <w:color w:val="auto"/>
              </w:rPr>
            </w:pPr>
          </w:p>
        </w:tc>
        <w:tc>
          <w:tcPr>
            <w:tcW w:w="6120" w:type="dxa"/>
            <w:vAlign w:val="bottom"/>
            <w:gridSpan w:val="5"/>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r>
      <w:tr>
        <w:trPr>
          <w:trHeight w:val="284"/>
        </w:trPr>
        <w:tc>
          <w:tcPr>
            <w:tcW w:w="7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w w:val="87"/>
              </w:rPr>
              <w:t>4.32</w:t>
            </w:r>
          </w:p>
        </w:tc>
        <w:tc>
          <w:tcPr>
            <w:tcW w:w="8220" w:type="dxa"/>
            <w:vAlign w:val="bottom"/>
            <w:gridSpan w:val="16"/>
          </w:tcPr>
          <w:p>
            <w:pPr>
              <w:spacing w:after="0"/>
              <w:rPr>
                <w:rFonts w:ascii="Times New Roman" w:cs="Times New Roman" w:eastAsia="Times New Roman" w:hAnsi="Times New Roman"/>
                <w:sz w:val="13"/>
                <w:szCs w:val="13"/>
                <w:color w:val="0000EE"/>
              </w:rPr>
            </w:pPr>
            <w:hyperlink r:id="rId250">
              <w:r>
                <w:rPr>
                  <w:rFonts w:ascii="Times New Roman" w:cs="Times New Roman" w:eastAsia="Times New Roman" w:hAnsi="Times New Roman"/>
                  <w:sz w:val="13"/>
                  <w:szCs w:val="13"/>
                  <w:color w:val="0000EE"/>
                </w:rPr>
                <w:t>Indenture, dated as of January 17, 2020, among Digital Dutch Finco B.V., Digital Realty Trust, Inc., Digital Realty Trust, L.P., Deutsche Trustee Company</w:t>
              </w:r>
            </w:hyperlink>
          </w:p>
        </w:tc>
      </w:tr>
      <w:tr>
        <w:trPr>
          <w:trHeight w:val="20"/>
        </w:trPr>
        <w:tc>
          <w:tcPr>
            <w:tcW w:w="740" w:type="dxa"/>
            <w:vAlign w:val="bottom"/>
          </w:tcPr>
          <w:p>
            <w:pPr>
              <w:spacing w:after="0" w:line="20" w:lineRule="exact"/>
              <w:rPr>
                <w:sz w:val="1"/>
                <w:szCs w:val="1"/>
                <w:color w:val="auto"/>
              </w:rPr>
            </w:pPr>
          </w:p>
        </w:tc>
        <w:tc>
          <w:tcPr>
            <w:tcW w:w="6120" w:type="dxa"/>
            <w:vAlign w:val="bottom"/>
            <w:gridSpan w:val="5"/>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220" w:type="dxa"/>
            <w:vAlign w:val="bottom"/>
            <w:gridSpan w:val="16"/>
          </w:tcPr>
          <w:p>
            <w:pPr>
              <w:spacing w:after="0" w:line="132" w:lineRule="exact"/>
              <w:rPr>
                <w:rFonts w:ascii="Times New Roman" w:cs="Times New Roman" w:eastAsia="Times New Roman" w:hAnsi="Times New Roman"/>
                <w:sz w:val="13"/>
                <w:szCs w:val="13"/>
                <w:color w:val="0000EE"/>
                <w:w w:val="99"/>
              </w:rPr>
            </w:pPr>
            <w:hyperlink r:id="rId250">
              <w:r>
                <w:rPr>
                  <w:rFonts w:ascii="Times New Roman" w:cs="Times New Roman" w:eastAsia="Times New Roman" w:hAnsi="Times New Roman"/>
                  <w:sz w:val="13"/>
                  <w:szCs w:val="13"/>
                  <w:color w:val="0000EE"/>
                  <w:w w:val="99"/>
                </w:rPr>
                <w:t>Limited, as trustee, Deutsche Bank AG, London Branch, as paying agent and a transfer agent, and Deutsche Bank Luxembourg S.A., as registrar and a transfer</w:t>
              </w:r>
            </w:hyperlink>
          </w:p>
        </w:tc>
      </w:tr>
      <w:tr>
        <w:trPr>
          <w:trHeight w:val="20"/>
        </w:trPr>
        <w:tc>
          <w:tcPr>
            <w:tcW w:w="740" w:type="dxa"/>
            <w:vAlign w:val="bottom"/>
          </w:tcPr>
          <w:p>
            <w:pPr>
              <w:spacing w:after="0" w:line="20" w:lineRule="exact"/>
              <w:rPr>
                <w:sz w:val="1"/>
                <w:szCs w:val="1"/>
                <w:color w:val="auto"/>
              </w:rPr>
            </w:pPr>
          </w:p>
        </w:tc>
        <w:tc>
          <w:tcPr>
            <w:tcW w:w="6120" w:type="dxa"/>
            <w:vAlign w:val="bottom"/>
            <w:gridSpan w:val="5"/>
            <w:shd w:val="clear" w:color="auto" w:fill="0000EE"/>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060" w:type="dxa"/>
            <w:vAlign w:val="bottom"/>
            <w:tcBorders>
              <w:bottom w:val="single" w:sz="8" w:color="0000EE"/>
            </w:tcBorders>
            <w:gridSpan w:val="12"/>
          </w:tcPr>
          <w:p>
            <w:pPr>
              <w:spacing w:after="0" w:line="132" w:lineRule="exact"/>
              <w:rPr>
                <w:rFonts w:ascii="Times New Roman" w:cs="Times New Roman" w:eastAsia="Times New Roman" w:hAnsi="Times New Roman"/>
                <w:sz w:val="13"/>
                <w:szCs w:val="13"/>
                <w:color w:val="0000EE"/>
                <w:w w:val="97"/>
              </w:rPr>
            </w:pPr>
            <w:hyperlink r:id="rId250">
              <w:r>
                <w:rPr>
                  <w:rFonts w:ascii="Times New Roman" w:cs="Times New Roman" w:eastAsia="Times New Roman" w:hAnsi="Times New Roman"/>
                  <w:sz w:val="13"/>
                  <w:szCs w:val="13"/>
                  <w:color w:val="0000EE"/>
                  <w:w w:val="97"/>
                </w:rPr>
                <w:t>agent, including the form of the 1.500% Guaranteed Notes due 2030 (incorporated by reference to Exhibit 4.3 to the Combined Current Report on Form 8-K of</w:t>
              </w:r>
            </w:hyperlink>
          </w:p>
        </w:tc>
        <w:tc>
          <w:tcPr>
            <w:tcW w:w="160" w:type="dxa"/>
            <w:vAlign w:val="bottom"/>
            <w:gridSpan w:val="4"/>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20" w:type="dxa"/>
            <w:vAlign w:val="bottom"/>
            <w:gridSpan w:val="16"/>
          </w:tcPr>
          <w:p>
            <w:pPr>
              <w:spacing w:after="0" w:line="132" w:lineRule="exact"/>
              <w:rPr>
                <w:rFonts w:ascii="Times New Roman" w:cs="Times New Roman" w:eastAsia="Times New Roman" w:hAnsi="Times New Roman"/>
                <w:sz w:val="13"/>
                <w:szCs w:val="13"/>
                <w:color w:val="0000EE"/>
              </w:rPr>
            </w:pPr>
            <w:hyperlink r:id="rId250">
              <w:r>
                <w:rPr>
                  <w:rFonts w:ascii="Times New Roman" w:cs="Times New Roman" w:eastAsia="Times New Roman" w:hAnsi="Times New Roman"/>
                  <w:sz w:val="13"/>
                  <w:szCs w:val="13"/>
                  <w:color w:val="0000EE"/>
                </w:rPr>
                <w:t>Digital Realty Trust, Inc. and Digital Realty Trust, L.P. (File Nos. 001-32336 and 000-54023) filed on January 17, 2020).</w:t>
              </w:r>
            </w:hyperlink>
          </w:p>
        </w:tc>
      </w:tr>
      <w:tr>
        <w:trPr>
          <w:trHeight w:val="616"/>
        </w:trPr>
        <w:tc>
          <w:tcPr>
            <w:tcW w:w="740" w:type="dxa"/>
            <w:vAlign w:val="bottom"/>
          </w:tcPr>
          <w:p>
            <w:pPr>
              <w:spacing w:after="0"/>
              <w:rPr>
                <w:sz w:val="24"/>
                <w:szCs w:val="24"/>
                <w:color w:val="auto"/>
              </w:rPr>
            </w:pPr>
          </w:p>
        </w:tc>
        <w:tc>
          <w:tcPr>
            <w:tcW w:w="4620" w:type="dxa"/>
            <w:vAlign w:val="bottom"/>
            <w:tcBorders>
              <w:top w:val="single" w:sz="8" w:color="0000EE"/>
            </w:tcBorders>
          </w:tcPr>
          <w:p>
            <w:pPr>
              <w:ind w:left="3640"/>
              <w:spacing w:after="0"/>
              <w:rPr>
                <w:sz w:val="20"/>
                <w:szCs w:val="20"/>
                <w:color w:val="auto"/>
              </w:rPr>
            </w:pPr>
            <w:r>
              <w:rPr>
                <w:rFonts w:ascii="Times New Roman" w:cs="Times New Roman" w:eastAsia="Times New Roman" w:hAnsi="Times New Roman"/>
                <w:sz w:val="13"/>
                <w:szCs w:val="13"/>
                <w:color w:val="auto"/>
              </w:rPr>
              <w:t>194</w:t>
            </w:r>
          </w:p>
        </w:tc>
        <w:tc>
          <w:tcPr>
            <w:tcW w:w="10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0"/>
        </w:trPr>
        <w:tc>
          <w:tcPr>
            <w:tcW w:w="7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199" w:name="page200"/>
    <w:bookmarkEnd w:id="199"/>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4.33</w:t>
            </w:r>
          </w:p>
        </w:tc>
        <w:tc>
          <w:tcPr>
            <w:tcW w:w="8220" w:type="dxa"/>
            <w:vAlign w:val="bottom"/>
            <w:gridSpan w:val="22"/>
          </w:tcPr>
          <w:p>
            <w:pPr>
              <w:spacing w:after="0"/>
              <w:rPr>
                <w:rFonts w:ascii="Times New Roman" w:cs="Times New Roman" w:eastAsia="Times New Roman" w:hAnsi="Times New Roman"/>
                <w:sz w:val="13"/>
                <w:szCs w:val="13"/>
                <w:color w:val="0000EE"/>
                <w:w w:val="97"/>
              </w:rPr>
            </w:pPr>
            <w:hyperlink r:id="rId251">
              <w:r>
                <w:rPr>
                  <w:rFonts w:ascii="Times New Roman" w:cs="Times New Roman" w:eastAsia="Times New Roman" w:hAnsi="Times New Roman"/>
                  <w:sz w:val="13"/>
                  <w:szCs w:val="13"/>
                  <w:color w:val="0000EE"/>
                  <w:w w:val="97"/>
                </w:rPr>
                <w:t>Indenture, dated as of June 26, 2020, among Digital Dutch Finco B.V., Digital Realty Trust, Inc., Digital Realty Trust, L.P., Deutsche Trustee Company Limited,</w:t>
              </w:r>
            </w:hyperlink>
          </w:p>
        </w:tc>
      </w:tr>
      <w:tr>
        <w:trPr>
          <w:trHeight w:val="132"/>
        </w:trPr>
        <w:tc>
          <w:tcPr>
            <w:tcW w:w="740" w:type="dxa"/>
            <w:vAlign w:val="bottom"/>
          </w:tcPr>
          <w:p>
            <w:pPr>
              <w:spacing w:after="0"/>
              <w:rPr>
                <w:sz w:val="11"/>
                <w:szCs w:val="11"/>
                <w:color w:val="auto"/>
              </w:rPr>
            </w:pPr>
          </w:p>
        </w:tc>
        <w:tc>
          <w:tcPr>
            <w:tcW w:w="7920" w:type="dxa"/>
            <w:vAlign w:val="bottom"/>
            <w:tcBorders>
              <w:top w:val="single" w:sz="8" w:color="0000EE"/>
              <w:bottom w:val="single" w:sz="8" w:color="0000EE"/>
            </w:tcBorders>
            <w:gridSpan w:val="12"/>
          </w:tcPr>
          <w:p>
            <w:pPr>
              <w:spacing w:after="0" w:line="132" w:lineRule="exact"/>
              <w:rPr>
                <w:rFonts w:ascii="Times New Roman" w:cs="Times New Roman" w:eastAsia="Times New Roman" w:hAnsi="Times New Roman"/>
                <w:sz w:val="13"/>
                <w:szCs w:val="13"/>
                <w:color w:val="0000EE"/>
                <w:w w:val="97"/>
              </w:rPr>
            </w:pPr>
            <w:hyperlink r:id="rId251">
              <w:r>
                <w:rPr>
                  <w:rFonts w:ascii="Times New Roman" w:cs="Times New Roman" w:eastAsia="Times New Roman" w:hAnsi="Times New Roman"/>
                  <w:sz w:val="13"/>
                  <w:szCs w:val="13"/>
                  <w:color w:val="0000EE"/>
                  <w:w w:val="97"/>
                </w:rPr>
                <w:t>as trustee, Deutsche Bank AG, London Branch, as paying agent and a transfer agent, and Deutsche Bank Luxembourg S.A., as registrar and a transfer agent,</w:t>
              </w:r>
            </w:hyperlink>
          </w:p>
        </w:tc>
        <w:tc>
          <w:tcPr>
            <w:tcW w:w="200" w:type="dxa"/>
            <w:vAlign w:val="bottom"/>
            <w:tcBorders>
              <w:top w:val="single" w:sz="8" w:color="0000EE"/>
            </w:tcBorders>
            <w:gridSpan w:val="6"/>
          </w:tcPr>
          <w:p>
            <w:pPr>
              <w:spacing w:after="0"/>
              <w:rPr>
                <w:sz w:val="11"/>
                <w:szCs w:val="11"/>
                <w:color w:val="auto"/>
              </w:rPr>
            </w:pPr>
          </w:p>
        </w:tc>
        <w:tc>
          <w:tcPr>
            <w:tcW w:w="100" w:type="dxa"/>
            <w:vAlign w:val="bottom"/>
            <w:gridSpan w:val="4"/>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120" w:type="dxa"/>
            <w:vAlign w:val="bottom"/>
            <w:tcBorders>
              <w:bottom w:val="single" w:sz="8" w:color="0000EE"/>
            </w:tcBorders>
            <w:gridSpan w:val="18"/>
          </w:tcPr>
          <w:p>
            <w:pPr>
              <w:spacing w:after="0" w:line="132" w:lineRule="exact"/>
              <w:rPr>
                <w:rFonts w:ascii="Times New Roman" w:cs="Times New Roman" w:eastAsia="Times New Roman" w:hAnsi="Times New Roman"/>
                <w:sz w:val="13"/>
                <w:szCs w:val="13"/>
                <w:color w:val="0000EE"/>
                <w:w w:val="97"/>
              </w:rPr>
            </w:pPr>
            <w:hyperlink r:id="rId251">
              <w:r>
                <w:rPr>
                  <w:rFonts w:ascii="Times New Roman" w:cs="Times New Roman" w:eastAsia="Times New Roman" w:hAnsi="Times New Roman"/>
                  <w:sz w:val="13"/>
                  <w:szCs w:val="13"/>
                  <w:color w:val="0000EE"/>
                  <w:w w:val="97"/>
                </w:rPr>
                <w:t>including the form of the 1.250% Guaranteed Notes due 2031 (incorporated by reference to Exhibit 4.1 to the Combined Current Report on Form 8-K of Digital</w:t>
              </w:r>
            </w:hyperlink>
          </w:p>
        </w:tc>
        <w:tc>
          <w:tcPr>
            <w:tcW w:w="100" w:type="dxa"/>
            <w:vAlign w:val="bottom"/>
            <w:gridSpan w:val="4"/>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20" w:type="dxa"/>
            <w:vAlign w:val="bottom"/>
            <w:gridSpan w:val="22"/>
          </w:tcPr>
          <w:p>
            <w:pPr>
              <w:spacing w:after="0" w:line="132" w:lineRule="exact"/>
              <w:rPr>
                <w:rFonts w:ascii="Times New Roman" w:cs="Times New Roman" w:eastAsia="Times New Roman" w:hAnsi="Times New Roman"/>
                <w:sz w:val="13"/>
                <w:szCs w:val="13"/>
                <w:color w:val="0000EE"/>
              </w:rPr>
            </w:pPr>
            <w:hyperlink r:id="rId251">
              <w:r>
                <w:rPr>
                  <w:rFonts w:ascii="Times New Roman" w:cs="Times New Roman" w:eastAsia="Times New Roman" w:hAnsi="Times New Roman"/>
                  <w:sz w:val="13"/>
                  <w:szCs w:val="13"/>
                  <w:color w:val="0000EE"/>
                </w:rPr>
                <w:t>Realty Trust, Inc. and Digital Realty Trust, L.P. (File Nos. 001-32336 and 000-54023) filed on June 26, 2020).</w:t>
              </w:r>
            </w:hyperlink>
          </w:p>
        </w:tc>
      </w:tr>
      <w:tr>
        <w:trPr>
          <w:trHeight w:val="20"/>
        </w:trPr>
        <w:tc>
          <w:tcPr>
            <w:tcW w:w="7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6"/>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4.34</w:t>
            </w:r>
          </w:p>
        </w:tc>
        <w:tc>
          <w:tcPr>
            <w:tcW w:w="7980" w:type="dxa"/>
            <w:vAlign w:val="bottom"/>
            <w:tcBorders>
              <w:bottom w:val="single" w:sz="8" w:color="0000EE"/>
            </w:tcBorders>
            <w:gridSpan w:val="14"/>
          </w:tcPr>
          <w:p>
            <w:pPr>
              <w:spacing w:after="0"/>
              <w:rPr>
                <w:rFonts w:ascii="Times New Roman" w:cs="Times New Roman" w:eastAsia="Times New Roman" w:hAnsi="Times New Roman"/>
                <w:sz w:val="13"/>
                <w:szCs w:val="13"/>
                <w:color w:val="0000EE"/>
                <w:w w:val="96"/>
              </w:rPr>
            </w:pPr>
            <w:hyperlink r:id="rId252">
              <w:r>
                <w:rPr>
                  <w:rFonts w:ascii="Times New Roman" w:cs="Times New Roman" w:eastAsia="Times New Roman" w:hAnsi="Times New Roman"/>
                  <w:sz w:val="13"/>
                  <w:szCs w:val="13"/>
                  <w:color w:val="0000EE"/>
                  <w:w w:val="96"/>
                </w:rPr>
                <w:t>Indenture, dated as of September 23, 2020, among Digital Dutch Finco B.V., Digital Realty Trust, Inc., Digital Realty Trust, L.P., Deutsche Trustee Company</w:t>
              </w:r>
            </w:hyperlink>
          </w:p>
        </w:tc>
        <w:tc>
          <w:tcPr>
            <w:tcW w:w="240" w:type="dxa"/>
            <w:vAlign w:val="bottom"/>
            <w:gridSpan w:val="8"/>
          </w:tcPr>
          <w:p>
            <w:pPr>
              <w:spacing w:after="0"/>
              <w:rPr>
                <w:sz w:val="24"/>
                <w:szCs w:val="24"/>
                <w:color w:val="auto"/>
              </w:rPr>
            </w:pPr>
          </w:p>
        </w:tc>
      </w:tr>
      <w:tr>
        <w:trPr>
          <w:trHeight w:val="132"/>
        </w:trPr>
        <w:tc>
          <w:tcPr>
            <w:tcW w:w="740" w:type="dxa"/>
            <w:vAlign w:val="bottom"/>
          </w:tcPr>
          <w:p>
            <w:pPr>
              <w:spacing w:after="0"/>
              <w:rPr>
                <w:sz w:val="11"/>
                <w:szCs w:val="11"/>
                <w:color w:val="auto"/>
              </w:rPr>
            </w:pPr>
          </w:p>
        </w:tc>
        <w:tc>
          <w:tcPr>
            <w:tcW w:w="8220" w:type="dxa"/>
            <w:vAlign w:val="bottom"/>
            <w:gridSpan w:val="22"/>
          </w:tcPr>
          <w:p>
            <w:pPr>
              <w:spacing w:after="0" w:line="132" w:lineRule="exact"/>
              <w:rPr>
                <w:rFonts w:ascii="Times New Roman" w:cs="Times New Roman" w:eastAsia="Times New Roman" w:hAnsi="Times New Roman"/>
                <w:sz w:val="13"/>
                <w:szCs w:val="13"/>
                <w:color w:val="0000EE"/>
                <w:w w:val="99"/>
              </w:rPr>
            </w:pPr>
            <w:hyperlink r:id="rId252">
              <w:r>
                <w:rPr>
                  <w:rFonts w:ascii="Times New Roman" w:cs="Times New Roman" w:eastAsia="Times New Roman" w:hAnsi="Times New Roman"/>
                  <w:sz w:val="13"/>
                  <w:szCs w:val="13"/>
                  <w:color w:val="0000EE"/>
                  <w:w w:val="99"/>
                </w:rPr>
                <w:t>Limited, as trustee, Deutsche Bank AG, London Branch, as paying agent and a transfer agent, and Deutsche Bank Luxembourg S.A., as registrar and a transfer</w:t>
              </w:r>
            </w:hyperlink>
          </w:p>
        </w:tc>
      </w:tr>
      <w:tr>
        <w:trPr>
          <w:trHeight w:val="20"/>
        </w:trPr>
        <w:tc>
          <w:tcPr>
            <w:tcW w:w="7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060" w:type="dxa"/>
            <w:vAlign w:val="bottom"/>
            <w:tcBorders>
              <w:bottom w:val="single" w:sz="8" w:color="0000EE"/>
            </w:tcBorders>
            <w:gridSpan w:val="16"/>
          </w:tcPr>
          <w:p>
            <w:pPr>
              <w:spacing w:after="0" w:line="132" w:lineRule="exact"/>
              <w:rPr>
                <w:rFonts w:ascii="Times New Roman" w:cs="Times New Roman" w:eastAsia="Times New Roman" w:hAnsi="Times New Roman"/>
                <w:sz w:val="13"/>
                <w:szCs w:val="13"/>
                <w:color w:val="0000EE"/>
                <w:w w:val="97"/>
              </w:rPr>
            </w:pPr>
            <w:hyperlink r:id="rId252">
              <w:r>
                <w:rPr>
                  <w:rFonts w:ascii="Times New Roman" w:cs="Times New Roman" w:eastAsia="Times New Roman" w:hAnsi="Times New Roman"/>
                  <w:sz w:val="13"/>
                  <w:szCs w:val="13"/>
                  <w:color w:val="0000EE"/>
                  <w:w w:val="97"/>
                </w:rPr>
                <w:t>agent, including the form of the 1.000% Guaranteed Notes due 2032 (incorporated by reference to Exhibit 4.1 to the Combined Current Report on Form 8-K of</w:t>
              </w:r>
            </w:hyperlink>
          </w:p>
        </w:tc>
        <w:tc>
          <w:tcPr>
            <w:tcW w:w="160" w:type="dxa"/>
            <w:vAlign w:val="bottom"/>
            <w:gridSpan w:val="6"/>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6280" w:type="dxa"/>
            <w:vAlign w:val="bottom"/>
            <w:tcBorders>
              <w:bottom w:val="single" w:sz="8" w:color="0000EE"/>
            </w:tcBorders>
            <w:gridSpan w:val="8"/>
          </w:tcPr>
          <w:p>
            <w:pPr>
              <w:spacing w:after="0" w:line="132" w:lineRule="exact"/>
              <w:rPr>
                <w:rFonts w:ascii="Times New Roman" w:cs="Times New Roman" w:eastAsia="Times New Roman" w:hAnsi="Times New Roman"/>
                <w:sz w:val="13"/>
                <w:szCs w:val="13"/>
                <w:color w:val="0000EE"/>
                <w:w w:val="96"/>
              </w:rPr>
            </w:pPr>
            <w:hyperlink r:id="rId252">
              <w:r>
                <w:rPr>
                  <w:rFonts w:ascii="Times New Roman" w:cs="Times New Roman" w:eastAsia="Times New Roman" w:hAnsi="Times New Roman"/>
                  <w:sz w:val="13"/>
                  <w:szCs w:val="13"/>
                  <w:color w:val="0000EE"/>
                  <w:w w:val="96"/>
                </w:rPr>
                <w:t>Digital Realty Trust, Inc. and Digital Realty Trust, L.P. (File Nos. 001-32336 and 000-54023) filed on September 23, 2020).</w:t>
              </w:r>
            </w:hyperlink>
          </w:p>
        </w:tc>
        <w:tc>
          <w:tcPr>
            <w:tcW w:w="1940" w:type="dxa"/>
            <w:vAlign w:val="bottom"/>
            <w:gridSpan w:val="14"/>
          </w:tcPr>
          <w:p>
            <w:pPr>
              <w:spacing w:after="0"/>
              <w:rPr>
                <w:sz w:val="11"/>
                <w:szCs w:val="1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4.35</w:t>
            </w:r>
          </w:p>
        </w:tc>
        <w:tc>
          <w:tcPr>
            <w:tcW w:w="8220" w:type="dxa"/>
            <w:vAlign w:val="bottom"/>
            <w:gridSpan w:val="22"/>
          </w:tcPr>
          <w:p>
            <w:pPr>
              <w:spacing w:after="0"/>
              <w:rPr>
                <w:rFonts w:ascii="Times New Roman" w:cs="Times New Roman" w:eastAsia="Times New Roman" w:hAnsi="Times New Roman"/>
                <w:sz w:val="13"/>
                <w:szCs w:val="13"/>
                <w:color w:val="0000EE"/>
                <w:w w:val="99"/>
              </w:rPr>
            </w:pPr>
            <w:hyperlink r:id="rId253">
              <w:r>
                <w:rPr>
                  <w:rFonts w:ascii="Times New Roman" w:cs="Times New Roman" w:eastAsia="Times New Roman" w:hAnsi="Times New Roman"/>
                  <w:sz w:val="13"/>
                  <w:szCs w:val="13"/>
                  <w:color w:val="0000EE"/>
                  <w:w w:val="99"/>
                </w:rPr>
                <w:t>Indenture, dated as of September 23, 2020, among Digital Dutch Finco B.V., Digital Realty Trust, Inc., Digital Realty Trust, L.P., Deutsche Trustee Company</w:t>
              </w:r>
            </w:hyperlink>
          </w:p>
        </w:tc>
      </w:tr>
      <w:tr>
        <w:trPr>
          <w:trHeight w:val="132"/>
        </w:trPr>
        <w:tc>
          <w:tcPr>
            <w:tcW w:w="740" w:type="dxa"/>
            <w:vAlign w:val="bottom"/>
          </w:tcPr>
          <w:p>
            <w:pPr>
              <w:spacing w:after="0"/>
              <w:rPr>
                <w:sz w:val="11"/>
                <w:szCs w:val="11"/>
                <w:color w:val="auto"/>
              </w:rPr>
            </w:pPr>
          </w:p>
        </w:tc>
        <w:tc>
          <w:tcPr>
            <w:tcW w:w="7800" w:type="dxa"/>
            <w:vAlign w:val="bottom"/>
            <w:tcBorders>
              <w:top w:val="single" w:sz="8" w:color="0000EE"/>
              <w:bottom w:val="single" w:sz="8" w:color="0000EE"/>
            </w:tcBorders>
            <w:gridSpan w:val="9"/>
          </w:tcPr>
          <w:p>
            <w:pPr>
              <w:spacing w:after="0" w:line="132" w:lineRule="exact"/>
              <w:rPr>
                <w:rFonts w:ascii="Times New Roman" w:cs="Times New Roman" w:eastAsia="Times New Roman" w:hAnsi="Times New Roman"/>
                <w:sz w:val="13"/>
                <w:szCs w:val="13"/>
                <w:color w:val="0000EE"/>
                <w:w w:val="97"/>
              </w:rPr>
            </w:pPr>
            <w:hyperlink r:id="rId253">
              <w:r>
                <w:rPr>
                  <w:rFonts w:ascii="Times New Roman" w:cs="Times New Roman" w:eastAsia="Times New Roman" w:hAnsi="Times New Roman"/>
                  <w:sz w:val="13"/>
                  <w:szCs w:val="13"/>
                  <w:color w:val="0000EE"/>
                  <w:w w:val="97"/>
                </w:rPr>
                <w:t>Limited, as trustee, Deutsche Bank AG, London Branch, as calculation agent, paying agent and a transfer agent, and Deutsche Bank Luxembourg S.A., as</w:t>
              </w:r>
            </w:hyperlink>
          </w:p>
        </w:tc>
        <w:tc>
          <w:tcPr>
            <w:tcW w:w="160" w:type="dxa"/>
            <w:vAlign w:val="bottom"/>
            <w:tcBorders>
              <w:top w:val="single" w:sz="8" w:color="0000EE"/>
            </w:tcBorders>
            <w:gridSpan w:val="4"/>
          </w:tcPr>
          <w:p>
            <w:pPr>
              <w:spacing w:after="0"/>
              <w:rPr>
                <w:sz w:val="11"/>
                <w:szCs w:val="11"/>
                <w:color w:val="auto"/>
              </w:rPr>
            </w:pPr>
          </w:p>
        </w:tc>
        <w:tc>
          <w:tcPr>
            <w:tcW w:w="260" w:type="dxa"/>
            <w:vAlign w:val="bottom"/>
            <w:gridSpan w:val="9"/>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20" w:type="dxa"/>
            <w:vAlign w:val="bottom"/>
            <w:gridSpan w:val="22"/>
          </w:tcPr>
          <w:p>
            <w:pPr>
              <w:spacing w:after="0" w:line="132" w:lineRule="exact"/>
              <w:rPr>
                <w:rFonts w:ascii="Times New Roman" w:cs="Times New Roman" w:eastAsia="Times New Roman" w:hAnsi="Times New Roman"/>
                <w:sz w:val="13"/>
                <w:szCs w:val="13"/>
                <w:color w:val="0000EE"/>
              </w:rPr>
            </w:pPr>
            <w:hyperlink r:id="rId253">
              <w:r>
                <w:rPr>
                  <w:rFonts w:ascii="Times New Roman" w:cs="Times New Roman" w:eastAsia="Times New Roman" w:hAnsi="Times New Roman"/>
                  <w:sz w:val="13"/>
                  <w:szCs w:val="13"/>
                  <w:color w:val="0000EE"/>
                </w:rPr>
                <w:t>registrar and a transfer agent, including the form of the Floating Rate Guaranteed Notes due 2022 (incorporated by reference to Exhibit 4.2 to the Combined</w:t>
              </w:r>
            </w:hyperlink>
          </w:p>
        </w:tc>
      </w:tr>
      <w:tr>
        <w:trPr>
          <w:trHeight w:val="160"/>
        </w:trPr>
        <w:tc>
          <w:tcPr>
            <w:tcW w:w="740" w:type="dxa"/>
            <w:vAlign w:val="bottom"/>
          </w:tcPr>
          <w:p>
            <w:pPr>
              <w:spacing w:after="0"/>
              <w:rPr>
                <w:sz w:val="13"/>
                <w:szCs w:val="13"/>
                <w:color w:val="auto"/>
              </w:rPr>
            </w:pPr>
          </w:p>
        </w:tc>
        <w:tc>
          <w:tcPr>
            <w:tcW w:w="7900" w:type="dxa"/>
            <w:vAlign w:val="bottom"/>
            <w:tcBorders>
              <w:top w:val="single" w:sz="8" w:color="0000EE"/>
            </w:tcBorders>
            <w:gridSpan w:val="11"/>
          </w:tcPr>
          <w:p>
            <w:pPr>
              <w:spacing w:after="0"/>
              <w:rPr>
                <w:rFonts w:ascii="Times New Roman" w:cs="Times New Roman" w:eastAsia="Times New Roman" w:hAnsi="Times New Roman"/>
                <w:sz w:val="13"/>
                <w:szCs w:val="13"/>
                <w:u w:val="single" w:color="auto"/>
                <w:color w:val="0000EE"/>
                <w:w w:val="96"/>
              </w:rPr>
            </w:pPr>
            <w:hyperlink r:id="rId253">
              <w:r>
                <w:rPr>
                  <w:rFonts w:ascii="Times New Roman" w:cs="Times New Roman" w:eastAsia="Times New Roman" w:hAnsi="Times New Roman"/>
                  <w:sz w:val="13"/>
                  <w:szCs w:val="13"/>
                  <w:u w:val="single" w:color="auto"/>
                  <w:color w:val="0000EE"/>
                  <w:w w:val="96"/>
                </w:rPr>
                <w:t>Current Report on Form 8-K of Digital Realty Trust, Inc. and Digital Realty Trust, L.P. (File Nos. 001-32336 and 000-54023) filed on September 23, 2020).</w:t>
              </w:r>
            </w:hyperlink>
          </w:p>
        </w:tc>
        <w:tc>
          <w:tcPr>
            <w:tcW w:w="320" w:type="dxa"/>
            <w:vAlign w:val="bottom"/>
            <w:gridSpan w:val="11"/>
          </w:tcPr>
          <w:p>
            <w:pPr>
              <w:spacing w:after="0"/>
              <w:rPr>
                <w:sz w:val="13"/>
                <w:szCs w:val="13"/>
                <w:color w:val="auto"/>
              </w:rPr>
            </w:pPr>
          </w:p>
        </w:tc>
      </w:tr>
      <w:tr>
        <w:trPr>
          <w:trHeight w:val="427"/>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8120" w:type="dxa"/>
            <w:vAlign w:val="bottom"/>
            <w:tcBorders>
              <w:bottom w:val="single" w:sz="8" w:color="0000EE"/>
            </w:tcBorders>
            <w:gridSpan w:val="18"/>
          </w:tcPr>
          <w:p>
            <w:pPr>
              <w:spacing w:after="0"/>
              <w:rPr>
                <w:rFonts w:ascii="Times New Roman" w:cs="Times New Roman" w:eastAsia="Times New Roman" w:hAnsi="Times New Roman"/>
                <w:sz w:val="13"/>
                <w:szCs w:val="13"/>
                <w:color w:val="0000EE"/>
                <w:w w:val="97"/>
              </w:rPr>
            </w:pPr>
            <w:hyperlink r:id="rId254">
              <w:r>
                <w:rPr>
                  <w:rFonts w:ascii="Times New Roman" w:cs="Times New Roman" w:eastAsia="Times New Roman" w:hAnsi="Times New Roman"/>
                  <w:sz w:val="13"/>
                  <w:szCs w:val="13"/>
                  <w:color w:val="0000EE"/>
                  <w:w w:val="97"/>
                </w:rPr>
                <w:t>Form of Indemnification Agreement by and between Digital Realty Trust, Inc. and its directors and officers (incorporated by reference to Exhibit 10.4 to Digital</w:t>
              </w:r>
            </w:hyperlink>
          </w:p>
        </w:tc>
        <w:tc>
          <w:tcPr>
            <w:tcW w:w="100" w:type="dxa"/>
            <w:vAlign w:val="bottom"/>
            <w:gridSpan w:val="4"/>
          </w:tcPr>
          <w:p>
            <w:pPr>
              <w:spacing w:after="0"/>
              <w:rPr>
                <w:sz w:val="24"/>
                <w:szCs w:val="24"/>
                <w:color w:val="auto"/>
              </w:rPr>
            </w:pPr>
          </w:p>
        </w:tc>
      </w:tr>
      <w:tr>
        <w:trPr>
          <w:trHeight w:val="132"/>
        </w:trPr>
        <w:tc>
          <w:tcPr>
            <w:tcW w:w="740" w:type="dxa"/>
            <w:vAlign w:val="bottom"/>
          </w:tcPr>
          <w:p>
            <w:pPr>
              <w:spacing w:after="0"/>
              <w:rPr>
                <w:sz w:val="11"/>
                <w:szCs w:val="11"/>
                <w:color w:val="auto"/>
              </w:rPr>
            </w:pPr>
          </w:p>
        </w:tc>
        <w:tc>
          <w:tcPr>
            <w:tcW w:w="8220" w:type="dxa"/>
            <w:vAlign w:val="bottom"/>
            <w:gridSpan w:val="22"/>
          </w:tcPr>
          <w:p>
            <w:pPr>
              <w:spacing w:after="0" w:line="132" w:lineRule="exact"/>
              <w:rPr>
                <w:rFonts w:ascii="Times New Roman" w:cs="Times New Roman" w:eastAsia="Times New Roman" w:hAnsi="Times New Roman"/>
                <w:sz w:val="13"/>
                <w:szCs w:val="13"/>
                <w:color w:val="0000EE"/>
              </w:rPr>
            </w:pPr>
            <w:hyperlink r:id="rId254">
              <w:r>
                <w:rPr>
                  <w:rFonts w:ascii="Times New Roman" w:cs="Times New Roman" w:eastAsia="Times New Roman" w:hAnsi="Times New Roman"/>
                  <w:sz w:val="13"/>
                  <w:szCs w:val="13"/>
                  <w:color w:val="0000EE"/>
                </w:rPr>
                <w:t>Realty Trust, Inc.’s Registration Statement on Form S-11 (Registration No. 333-117865) filed on October 13, 2004).</w:t>
              </w:r>
            </w:hyperlink>
          </w:p>
        </w:tc>
      </w:tr>
      <w:tr>
        <w:trPr>
          <w:trHeight w:val="20"/>
        </w:trPr>
        <w:tc>
          <w:tcPr>
            <w:tcW w:w="7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8120" w:type="dxa"/>
            <w:vAlign w:val="bottom"/>
            <w:tcBorders>
              <w:bottom w:val="single" w:sz="8" w:color="0000EE"/>
            </w:tcBorders>
            <w:gridSpan w:val="18"/>
          </w:tcPr>
          <w:p>
            <w:pPr>
              <w:spacing w:after="0"/>
              <w:rPr>
                <w:rFonts w:ascii="Times New Roman" w:cs="Times New Roman" w:eastAsia="Times New Roman" w:hAnsi="Times New Roman"/>
                <w:sz w:val="13"/>
                <w:szCs w:val="13"/>
                <w:color w:val="0000EE"/>
                <w:w w:val="96"/>
              </w:rPr>
            </w:pPr>
            <w:hyperlink r:id="rId255">
              <w:r>
                <w:rPr>
                  <w:rFonts w:ascii="Times New Roman" w:cs="Times New Roman" w:eastAsia="Times New Roman" w:hAnsi="Times New Roman"/>
                  <w:sz w:val="13"/>
                  <w:szCs w:val="13"/>
                  <w:color w:val="0000EE"/>
                  <w:w w:val="96"/>
                </w:rPr>
                <w:t>Contribution Agreement, dated as of July 31, 2004, by and among Digital Realty Trust, L.P., San Francisco Wave eXchange, LLC, Santa Clara Wave eXchange,</w:t>
              </w:r>
            </w:hyperlink>
          </w:p>
        </w:tc>
        <w:tc>
          <w:tcPr>
            <w:tcW w:w="100" w:type="dxa"/>
            <w:vAlign w:val="bottom"/>
            <w:gridSpan w:val="4"/>
          </w:tcPr>
          <w:p>
            <w:pPr>
              <w:spacing w:after="0"/>
              <w:rPr>
                <w:sz w:val="24"/>
                <w:szCs w:val="24"/>
                <w:color w:val="auto"/>
              </w:rPr>
            </w:pPr>
          </w:p>
        </w:tc>
      </w:tr>
      <w:tr>
        <w:trPr>
          <w:trHeight w:val="132"/>
        </w:trPr>
        <w:tc>
          <w:tcPr>
            <w:tcW w:w="740" w:type="dxa"/>
            <w:vAlign w:val="bottom"/>
          </w:tcPr>
          <w:p>
            <w:pPr>
              <w:spacing w:after="0"/>
              <w:rPr>
                <w:sz w:val="11"/>
                <w:szCs w:val="11"/>
                <w:color w:val="auto"/>
              </w:rPr>
            </w:pPr>
          </w:p>
        </w:tc>
        <w:tc>
          <w:tcPr>
            <w:tcW w:w="8200" w:type="dxa"/>
            <w:vAlign w:val="bottom"/>
            <w:tcBorders>
              <w:bottom w:val="single" w:sz="8" w:color="0000EE"/>
            </w:tcBorders>
            <w:gridSpan w:val="21"/>
          </w:tcPr>
          <w:p>
            <w:pPr>
              <w:spacing w:after="0" w:line="132" w:lineRule="exact"/>
              <w:rPr>
                <w:rFonts w:ascii="Times New Roman" w:cs="Times New Roman" w:eastAsia="Times New Roman" w:hAnsi="Times New Roman"/>
                <w:sz w:val="13"/>
                <w:szCs w:val="13"/>
                <w:color w:val="0000EE"/>
                <w:w w:val="96"/>
              </w:rPr>
            </w:pPr>
            <w:hyperlink r:id="rId255">
              <w:r>
                <w:rPr>
                  <w:rFonts w:ascii="Times New Roman" w:cs="Times New Roman" w:eastAsia="Times New Roman" w:hAnsi="Times New Roman"/>
                  <w:sz w:val="13"/>
                  <w:szCs w:val="13"/>
                  <w:color w:val="0000EE"/>
                  <w:w w:val="96"/>
                </w:rPr>
                <w:t>LLC and eXchange colocation, LLC (incorporated by reference to Exhibit 10.12 to Digital Realty Trust, Inc.’s Registration Statement on Form S-11 (Registration</w:t>
              </w:r>
            </w:hyperlink>
          </w:p>
        </w:tc>
        <w:tc>
          <w:tcPr>
            <w:tcW w:w="20" w:type="dxa"/>
            <w:vAlign w:val="bottom"/>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20" w:type="dxa"/>
            <w:vAlign w:val="bottom"/>
            <w:gridSpan w:val="22"/>
          </w:tcPr>
          <w:p>
            <w:pPr>
              <w:spacing w:after="0" w:line="132" w:lineRule="exact"/>
              <w:rPr>
                <w:rFonts w:ascii="Times New Roman" w:cs="Times New Roman" w:eastAsia="Times New Roman" w:hAnsi="Times New Roman"/>
                <w:sz w:val="13"/>
                <w:szCs w:val="13"/>
                <w:color w:val="0000EE"/>
              </w:rPr>
            </w:pPr>
            <w:hyperlink r:id="rId255">
              <w:r>
                <w:rPr>
                  <w:rFonts w:ascii="Times New Roman" w:cs="Times New Roman" w:eastAsia="Times New Roman" w:hAnsi="Times New Roman"/>
                  <w:sz w:val="13"/>
                  <w:szCs w:val="13"/>
                  <w:color w:val="0000EE"/>
                </w:rPr>
                <w:t>No. 333-117865) filed on September 17, 2004).</w:t>
              </w:r>
            </w:hyperlink>
          </w:p>
        </w:tc>
      </w:tr>
      <w:tr>
        <w:trPr>
          <w:trHeight w:val="20"/>
        </w:trPr>
        <w:tc>
          <w:tcPr>
            <w:tcW w:w="7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10.3†</w:t>
            </w:r>
          </w:p>
        </w:tc>
        <w:tc>
          <w:tcPr>
            <w:tcW w:w="8220" w:type="dxa"/>
            <w:vAlign w:val="bottom"/>
            <w:tcBorders>
              <w:bottom w:val="single" w:sz="8" w:color="0000EE"/>
            </w:tcBorders>
            <w:gridSpan w:val="22"/>
          </w:tcPr>
          <w:p>
            <w:pPr>
              <w:spacing w:after="0"/>
              <w:rPr>
                <w:rFonts w:ascii="Times New Roman" w:cs="Times New Roman" w:eastAsia="Times New Roman" w:hAnsi="Times New Roman"/>
                <w:sz w:val="13"/>
                <w:szCs w:val="13"/>
                <w:color w:val="0000EE"/>
                <w:w w:val="96"/>
              </w:rPr>
            </w:pPr>
            <w:hyperlink r:id="rId256">
              <w:r>
                <w:rPr>
                  <w:rFonts w:ascii="Times New Roman" w:cs="Times New Roman" w:eastAsia="Times New Roman" w:hAnsi="Times New Roman"/>
                  <w:sz w:val="13"/>
                  <w:szCs w:val="13"/>
                  <w:color w:val="0000EE"/>
                  <w:w w:val="96"/>
                </w:rPr>
                <w:t>Form of Profits Interest Units Agreement (incorporated by reference to Exhibit 10.44 to Digital Realty Trust, Inc.’s Quarterly Report on Form 10-Q (File No. 001-</w:t>
              </w:r>
            </w:hyperlink>
          </w:p>
        </w:tc>
      </w:tr>
      <w:tr>
        <w:trPr>
          <w:trHeight w:val="132"/>
        </w:trPr>
        <w:tc>
          <w:tcPr>
            <w:tcW w:w="740" w:type="dxa"/>
            <w:vAlign w:val="bottom"/>
          </w:tcPr>
          <w:p>
            <w:pPr>
              <w:spacing w:after="0"/>
              <w:rPr>
                <w:sz w:val="11"/>
                <w:szCs w:val="11"/>
                <w:color w:val="auto"/>
              </w:rPr>
            </w:pPr>
          </w:p>
        </w:tc>
        <w:tc>
          <w:tcPr>
            <w:tcW w:w="1880" w:type="dxa"/>
            <w:vAlign w:val="bottom"/>
            <w:tcBorders>
              <w:bottom w:val="single" w:sz="8" w:color="0000EE"/>
            </w:tcBorders>
          </w:tcPr>
          <w:p>
            <w:pPr>
              <w:spacing w:after="0" w:line="132" w:lineRule="exact"/>
              <w:rPr>
                <w:rFonts w:ascii="Times New Roman" w:cs="Times New Roman" w:eastAsia="Times New Roman" w:hAnsi="Times New Roman"/>
                <w:sz w:val="13"/>
                <w:szCs w:val="13"/>
                <w:color w:val="0000EE"/>
                <w:w w:val="96"/>
              </w:rPr>
            </w:pPr>
            <w:hyperlink r:id="rId256">
              <w:r>
                <w:rPr>
                  <w:rFonts w:ascii="Times New Roman" w:cs="Times New Roman" w:eastAsia="Times New Roman" w:hAnsi="Times New Roman"/>
                  <w:sz w:val="13"/>
                  <w:szCs w:val="13"/>
                  <w:color w:val="0000EE"/>
                  <w:w w:val="96"/>
                </w:rPr>
                <w:t>32336) filed on December 13, 2004).</w:t>
              </w:r>
            </w:hyperlink>
          </w:p>
        </w:tc>
        <w:tc>
          <w:tcPr>
            <w:tcW w:w="6340" w:type="dxa"/>
            <w:vAlign w:val="bottom"/>
            <w:gridSpan w:val="21"/>
          </w:tcPr>
          <w:p>
            <w:pPr>
              <w:spacing w:after="0"/>
              <w:rPr>
                <w:sz w:val="11"/>
                <w:szCs w:val="1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8140" w:type="dxa"/>
            <w:vAlign w:val="bottom"/>
            <w:tcBorders>
              <w:bottom w:val="single" w:sz="8" w:color="0000EE"/>
            </w:tcBorders>
            <w:gridSpan w:val="19"/>
          </w:tcPr>
          <w:p>
            <w:pPr>
              <w:spacing w:after="0"/>
              <w:rPr>
                <w:rFonts w:ascii="Times New Roman" w:cs="Times New Roman" w:eastAsia="Times New Roman" w:hAnsi="Times New Roman"/>
                <w:sz w:val="13"/>
                <w:szCs w:val="13"/>
                <w:color w:val="0000EE"/>
                <w:w w:val="96"/>
              </w:rPr>
            </w:pPr>
            <w:hyperlink r:id="rId257">
              <w:r>
                <w:rPr>
                  <w:rFonts w:ascii="Times New Roman" w:cs="Times New Roman" w:eastAsia="Times New Roman" w:hAnsi="Times New Roman"/>
                  <w:sz w:val="13"/>
                  <w:szCs w:val="13"/>
                  <w:color w:val="0000EE"/>
                  <w:w w:val="96"/>
                </w:rPr>
                <w:t>Form of Digital Realty Trust, Inc. Incentive Stock Option Agreement (incorporated by reference to Exhibit 10.45 to Digital Realty Trust, Inc.’s Quarterly Report</w:t>
              </w:r>
            </w:hyperlink>
          </w:p>
        </w:tc>
        <w:tc>
          <w:tcPr>
            <w:tcW w:w="80" w:type="dxa"/>
            <w:vAlign w:val="bottom"/>
            <w:gridSpan w:val="3"/>
          </w:tcPr>
          <w:p>
            <w:pPr>
              <w:spacing w:after="0"/>
              <w:rPr>
                <w:sz w:val="24"/>
                <w:szCs w:val="24"/>
                <w:color w:val="auto"/>
              </w:rPr>
            </w:pPr>
          </w:p>
        </w:tc>
      </w:tr>
      <w:tr>
        <w:trPr>
          <w:trHeight w:val="132"/>
        </w:trPr>
        <w:tc>
          <w:tcPr>
            <w:tcW w:w="740" w:type="dxa"/>
            <w:vAlign w:val="bottom"/>
          </w:tcPr>
          <w:p>
            <w:pPr>
              <w:spacing w:after="0"/>
              <w:rPr>
                <w:sz w:val="11"/>
                <w:szCs w:val="11"/>
                <w:color w:val="auto"/>
              </w:rPr>
            </w:pPr>
          </w:p>
        </w:tc>
        <w:tc>
          <w:tcPr>
            <w:tcW w:w="3360" w:type="dxa"/>
            <w:vAlign w:val="bottom"/>
            <w:tcBorders>
              <w:bottom w:val="single" w:sz="8" w:color="0000EE"/>
            </w:tcBorders>
            <w:gridSpan w:val="5"/>
          </w:tcPr>
          <w:p>
            <w:pPr>
              <w:spacing w:after="0" w:line="132" w:lineRule="exact"/>
              <w:rPr>
                <w:rFonts w:ascii="Times New Roman" w:cs="Times New Roman" w:eastAsia="Times New Roman" w:hAnsi="Times New Roman"/>
                <w:sz w:val="13"/>
                <w:szCs w:val="13"/>
                <w:color w:val="0000EE"/>
                <w:w w:val="96"/>
              </w:rPr>
            </w:pPr>
            <w:hyperlink r:id="rId257">
              <w:r>
                <w:rPr>
                  <w:rFonts w:ascii="Times New Roman" w:cs="Times New Roman" w:eastAsia="Times New Roman" w:hAnsi="Times New Roman"/>
                  <w:sz w:val="13"/>
                  <w:szCs w:val="13"/>
                  <w:color w:val="0000EE"/>
                  <w:w w:val="96"/>
                </w:rPr>
                <w:t>on Form 10-Q (File No. 001-32336) filed on December 13, 2004).</w:t>
              </w:r>
            </w:hyperlink>
          </w:p>
        </w:tc>
        <w:tc>
          <w:tcPr>
            <w:tcW w:w="4860" w:type="dxa"/>
            <w:vAlign w:val="bottom"/>
            <w:gridSpan w:val="17"/>
          </w:tcPr>
          <w:p>
            <w:pPr>
              <w:spacing w:after="0"/>
              <w:rPr>
                <w:sz w:val="11"/>
                <w:szCs w:val="1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10.5†</w:t>
            </w:r>
          </w:p>
        </w:tc>
        <w:tc>
          <w:tcPr>
            <w:tcW w:w="8220" w:type="dxa"/>
            <w:vAlign w:val="bottom"/>
            <w:gridSpan w:val="22"/>
          </w:tcPr>
          <w:p>
            <w:pPr>
              <w:spacing w:after="0"/>
              <w:rPr>
                <w:rFonts w:ascii="Times New Roman" w:cs="Times New Roman" w:eastAsia="Times New Roman" w:hAnsi="Times New Roman"/>
                <w:sz w:val="13"/>
                <w:szCs w:val="13"/>
                <w:color w:val="0000EE"/>
                <w:w w:val="98"/>
              </w:rPr>
            </w:pPr>
            <w:hyperlink r:id="rId258">
              <w:r>
                <w:rPr>
                  <w:rFonts w:ascii="Times New Roman" w:cs="Times New Roman" w:eastAsia="Times New Roman" w:hAnsi="Times New Roman"/>
                  <w:sz w:val="13"/>
                  <w:szCs w:val="13"/>
                  <w:color w:val="0000EE"/>
                  <w:w w:val="98"/>
                </w:rPr>
                <w:t>Form of Class C Profits Interest Units Agreement (incorporated by reference to Exhibit 10.1 to Digital Realty Trust, Inc.’s Quarterly Report on Form 10-Q (File</w:t>
              </w:r>
            </w:hyperlink>
          </w:p>
        </w:tc>
      </w:tr>
      <w:tr>
        <w:trPr>
          <w:trHeight w:val="132"/>
        </w:trPr>
        <w:tc>
          <w:tcPr>
            <w:tcW w:w="740" w:type="dxa"/>
            <w:vAlign w:val="bottom"/>
          </w:tcPr>
          <w:p>
            <w:pPr>
              <w:spacing w:after="0"/>
              <w:rPr>
                <w:sz w:val="11"/>
                <w:szCs w:val="11"/>
                <w:color w:val="auto"/>
              </w:rPr>
            </w:pPr>
          </w:p>
        </w:tc>
        <w:tc>
          <w:tcPr>
            <w:tcW w:w="2120" w:type="dxa"/>
            <w:vAlign w:val="bottom"/>
            <w:tcBorders>
              <w:top w:val="single" w:sz="8" w:color="0000EE"/>
              <w:bottom w:val="single" w:sz="8" w:color="0000EE"/>
            </w:tcBorders>
            <w:gridSpan w:val="2"/>
          </w:tcPr>
          <w:p>
            <w:pPr>
              <w:spacing w:after="0" w:line="132" w:lineRule="exact"/>
              <w:rPr>
                <w:rFonts w:ascii="Times New Roman" w:cs="Times New Roman" w:eastAsia="Times New Roman" w:hAnsi="Times New Roman"/>
                <w:sz w:val="13"/>
                <w:szCs w:val="13"/>
                <w:color w:val="0000EE"/>
                <w:w w:val="96"/>
              </w:rPr>
            </w:pPr>
            <w:hyperlink r:id="rId258">
              <w:r>
                <w:rPr>
                  <w:rFonts w:ascii="Times New Roman" w:cs="Times New Roman" w:eastAsia="Times New Roman" w:hAnsi="Times New Roman"/>
                  <w:sz w:val="13"/>
                  <w:szCs w:val="13"/>
                  <w:color w:val="0000EE"/>
                  <w:w w:val="96"/>
                </w:rPr>
                <w:t>No. 001-32336) filed on August 9, 2007).</w:t>
              </w:r>
            </w:hyperlink>
          </w:p>
        </w:tc>
        <w:tc>
          <w:tcPr>
            <w:tcW w:w="5980" w:type="dxa"/>
            <w:vAlign w:val="bottom"/>
            <w:tcBorders>
              <w:top w:val="single" w:sz="8" w:color="0000EE"/>
            </w:tcBorders>
            <w:gridSpan w:val="15"/>
          </w:tcPr>
          <w:p>
            <w:pPr>
              <w:spacing w:after="0"/>
              <w:rPr>
                <w:sz w:val="11"/>
                <w:szCs w:val="11"/>
                <w:color w:val="auto"/>
              </w:rPr>
            </w:pPr>
          </w:p>
        </w:tc>
        <w:tc>
          <w:tcPr>
            <w:tcW w:w="120" w:type="dxa"/>
            <w:vAlign w:val="bottom"/>
            <w:gridSpan w:val="5"/>
          </w:tcPr>
          <w:p>
            <w:pPr>
              <w:spacing w:after="0"/>
              <w:rPr>
                <w:sz w:val="11"/>
                <w:szCs w:val="11"/>
                <w:color w:val="auto"/>
              </w:rPr>
            </w:pPr>
          </w:p>
        </w:tc>
      </w:tr>
      <w:tr>
        <w:trPr>
          <w:trHeight w:val="436"/>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8160" w:type="dxa"/>
            <w:vAlign w:val="bottom"/>
            <w:tcBorders>
              <w:bottom w:val="single" w:sz="8" w:color="0000EE"/>
            </w:tcBorders>
            <w:gridSpan w:val="20"/>
          </w:tcPr>
          <w:p>
            <w:pPr>
              <w:spacing w:after="0"/>
              <w:rPr>
                <w:rFonts w:ascii="Times New Roman" w:cs="Times New Roman" w:eastAsia="Times New Roman" w:hAnsi="Times New Roman"/>
                <w:sz w:val="13"/>
                <w:szCs w:val="13"/>
                <w:color w:val="0000EE"/>
                <w:w w:val="96"/>
              </w:rPr>
            </w:pPr>
            <w:hyperlink r:id="rId259">
              <w:r>
                <w:rPr>
                  <w:rFonts w:ascii="Times New Roman" w:cs="Times New Roman" w:eastAsia="Times New Roman" w:hAnsi="Times New Roman"/>
                  <w:sz w:val="13"/>
                  <w:szCs w:val="13"/>
                  <w:color w:val="0000EE"/>
                  <w:w w:val="96"/>
                </w:rPr>
                <w:t>First Amended and Restated Digital Realty Trust, Inc., Digital Services, Inc. and Digital Realty Trust, L.P. 2004 Incentive Award Plan (incorporated by reference</w:t>
              </w:r>
            </w:hyperlink>
          </w:p>
        </w:tc>
        <w:tc>
          <w:tcPr>
            <w:tcW w:w="60" w:type="dxa"/>
            <w:vAlign w:val="bottom"/>
            <w:gridSpan w:val="2"/>
          </w:tcPr>
          <w:p>
            <w:pPr>
              <w:spacing w:after="0"/>
              <w:rPr>
                <w:sz w:val="24"/>
                <w:szCs w:val="24"/>
                <w:color w:val="auto"/>
              </w:rPr>
            </w:pPr>
          </w:p>
        </w:tc>
      </w:tr>
      <w:tr>
        <w:trPr>
          <w:trHeight w:val="160"/>
        </w:trPr>
        <w:tc>
          <w:tcPr>
            <w:tcW w:w="740" w:type="dxa"/>
            <w:vAlign w:val="bottom"/>
          </w:tcPr>
          <w:p>
            <w:pPr>
              <w:spacing w:after="0"/>
              <w:rPr>
                <w:sz w:val="13"/>
                <w:szCs w:val="13"/>
                <w:color w:val="auto"/>
              </w:rPr>
            </w:pPr>
          </w:p>
        </w:tc>
        <w:tc>
          <w:tcPr>
            <w:tcW w:w="8220" w:type="dxa"/>
            <w:vAlign w:val="bottom"/>
            <w:gridSpan w:val="22"/>
          </w:tcPr>
          <w:p>
            <w:pPr>
              <w:spacing w:after="0"/>
              <w:rPr>
                <w:rFonts w:ascii="Times New Roman" w:cs="Times New Roman" w:eastAsia="Times New Roman" w:hAnsi="Times New Roman"/>
                <w:sz w:val="13"/>
                <w:szCs w:val="13"/>
                <w:u w:val="single" w:color="auto"/>
                <w:color w:val="0000EE"/>
              </w:rPr>
            </w:pPr>
            <w:hyperlink r:id="rId259">
              <w:r>
                <w:rPr>
                  <w:rFonts w:ascii="Times New Roman" w:cs="Times New Roman" w:eastAsia="Times New Roman" w:hAnsi="Times New Roman"/>
                  <w:sz w:val="13"/>
                  <w:szCs w:val="13"/>
                  <w:u w:val="single" w:color="auto"/>
                  <w:color w:val="0000EE"/>
                </w:rPr>
                <w:t>to Appendix A to Digital Realty Trust, Inc.’s definitive proxy statement on Schedule 14A (File No. 001-32336) filed on March 30, 2007).</w:t>
              </w:r>
            </w:hyperlink>
          </w:p>
        </w:tc>
      </w:tr>
      <w:tr>
        <w:trPr>
          <w:trHeight w:val="275"/>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8220" w:type="dxa"/>
            <w:vAlign w:val="bottom"/>
            <w:gridSpan w:val="22"/>
          </w:tcPr>
          <w:p>
            <w:pPr>
              <w:spacing w:after="0"/>
              <w:rPr>
                <w:rFonts w:ascii="Times New Roman" w:cs="Times New Roman" w:eastAsia="Times New Roman" w:hAnsi="Times New Roman"/>
                <w:sz w:val="13"/>
                <w:szCs w:val="13"/>
                <w:color w:val="0000EE"/>
                <w:w w:val="98"/>
              </w:rPr>
            </w:pPr>
            <w:hyperlink r:id="rId260">
              <w:r>
                <w:rPr>
                  <w:rFonts w:ascii="Times New Roman" w:cs="Times New Roman" w:eastAsia="Times New Roman" w:hAnsi="Times New Roman"/>
                  <w:sz w:val="13"/>
                  <w:szCs w:val="13"/>
                  <w:color w:val="0000EE"/>
                  <w:w w:val="98"/>
                </w:rPr>
                <w:t>Form of 2008 Performance-Based Profits Interest Units Agreement (incorporated by reference to Exhibit 10.3 to Digital Realty Trust, Inc.’s Quarterly Report on</w:t>
              </w:r>
            </w:hyperlink>
          </w:p>
        </w:tc>
      </w:tr>
      <w:tr>
        <w:trPr>
          <w:trHeight w:val="132"/>
        </w:trPr>
        <w:tc>
          <w:tcPr>
            <w:tcW w:w="740" w:type="dxa"/>
            <w:vAlign w:val="bottom"/>
          </w:tcPr>
          <w:p>
            <w:pPr>
              <w:spacing w:after="0"/>
              <w:rPr>
                <w:sz w:val="11"/>
                <w:szCs w:val="11"/>
                <w:color w:val="auto"/>
              </w:rPr>
            </w:pPr>
          </w:p>
        </w:tc>
        <w:tc>
          <w:tcPr>
            <w:tcW w:w="8120" w:type="dxa"/>
            <w:vAlign w:val="bottom"/>
            <w:tcBorders>
              <w:top w:val="single" w:sz="8" w:color="0000EE"/>
            </w:tcBorders>
            <w:gridSpan w:val="18"/>
          </w:tcPr>
          <w:p>
            <w:pPr>
              <w:spacing w:after="0" w:line="132" w:lineRule="exact"/>
              <w:rPr>
                <w:rFonts w:ascii="Times New Roman" w:cs="Times New Roman" w:eastAsia="Times New Roman" w:hAnsi="Times New Roman"/>
                <w:sz w:val="13"/>
                <w:szCs w:val="13"/>
                <w:color w:val="0000EE"/>
              </w:rPr>
            </w:pPr>
            <w:hyperlink r:id="rId260">
              <w:r>
                <w:rPr>
                  <w:rFonts w:ascii="Times New Roman" w:cs="Times New Roman" w:eastAsia="Times New Roman" w:hAnsi="Times New Roman"/>
                  <w:sz w:val="13"/>
                  <w:szCs w:val="13"/>
                  <w:color w:val="0000EE"/>
                </w:rPr>
                <w:t>Form 10-Q (File No. 001-32336) filed on May 9, 2008).</w:t>
              </w:r>
            </w:hyperlink>
          </w:p>
        </w:tc>
        <w:tc>
          <w:tcPr>
            <w:tcW w:w="100" w:type="dxa"/>
            <w:vAlign w:val="bottom"/>
            <w:gridSpan w:val="4"/>
          </w:tcPr>
          <w:p>
            <w:pPr>
              <w:spacing w:after="0"/>
              <w:rPr>
                <w:sz w:val="11"/>
                <w:szCs w:val="11"/>
                <w:color w:val="auto"/>
              </w:rPr>
            </w:pPr>
          </w:p>
        </w:tc>
      </w:tr>
      <w:tr>
        <w:trPr>
          <w:trHeight w:val="20"/>
        </w:trPr>
        <w:tc>
          <w:tcPr>
            <w:tcW w:w="740" w:type="dxa"/>
            <w:vAlign w:val="bottom"/>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10.8†</w:t>
            </w:r>
          </w:p>
        </w:tc>
        <w:tc>
          <w:tcPr>
            <w:tcW w:w="7840" w:type="dxa"/>
            <w:vAlign w:val="bottom"/>
            <w:tcBorders>
              <w:bottom w:val="single" w:sz="8" w:color="0000EE"/>
            </w:tcBorders>
            <w:gridSpan w:val="10"/>
          </w:tcPr>
          <w:p>
            <w:pPr>
              <w:spacing w:after="0"/>
              <w:rPr>
                <w:rFonts w:ascii="Times New Roman" w:cs="Times New Roman" w:eastAsia="Times New Roman" w:hAnsi="Times New Roman"/>
                <w:sz w:val="13"/>
                <w:szCs w:val="13"/>
                <w:color w:val="0000EE"/>
                <w:w w:val="96"/>
              </w:rPr>
            </w:pPr>
            <w:hyperlink r:id="rId261">
              <w:r>
                <w:rPr>
                  <w:rFonts w:ascii="Times New Roman" w:cs="Times New Roman" w:eastAsia="Times New Roman" w:hAnsi="Times New Roman"/>
                  <w:sz w:val="13"/>
                  <w:szCs w:val="13"/>
                  <w:color w:val="0000EE"/>
                  <w:w w:val="96"/>
                </w:rPr>
                <w:t>First Amendment to First Amended and Restated Digital Realty Trust, Inc., Digital Services, Inc. and Digital Realty Trust, L.P. 2004 Incentive Award Plan</w:t>
              </w:r>
            </w:hyperlink>
          </w:p>
        </w:tc>
        <w:tc>
          <w:tcPr>
            <w:tcW w:w="380" w:type="dxa"/>
            <w:vAlign w:val="bottom"/>
            <w:gridSpan w:val="12"/>
          </w:tcPr>
          <w:p>
            <w:pPr>
              <w:spacing w:after="0"/>
              <w:rPr>
                <w:sz w:val="24"/>
                <w:szCs w:val="24"/>
                <w:color w:val="auto"/>
              </w:rPr>
            </w:pPr>
          </w:p>
        </w:tc>
      </w:tr>
      <w:tr>
        <w:trPr>
          <w:trHeight w:val="160"/>
        </w:trPr>
        <w:tc>
          <w:tcPr>
            <w:tcW w:w="740" w:type="dxa"/>
            <w:vAlign w:val="bottom"/>
          </w:tcPr>
          <w:p>
            <w:pPr>
              <w:spacing w:after="0"/>
              <w:rPr>
                <w:sz w:val="13"/>
                <w:szCs w:val="13"/>
                <w:color w:val="auto"/>
              </w:rPr>
            </w:pPr>
          </w:p>
        </w:tc>
        <w:tc>
          <w:tcPr>
            <w:tcW w:w="8220" w:type="dxa"/>
            <w:vAlign w:val="bottom"/>
            <w:gridSpan w:val="22"/>
          </w:tcPr>
          <w:p>
            <w:pPr>
              <w:spacing w:after="0"/>
              <w:rPr>
                <w:rFonts w:ascii="Times New Roman" w:cs="Times New Roman" w:eastAsia="Times New Roman" w:hAnsi="Times New Roman"/>
                <w:sz w:val="13"/>
                <w:szCs w:val="13"/>
                <w:u w:val="single" w:color="auto"/>
                <w:color w:val="0000EE"/>
              </w:rPr>
            </w:pPr>
            <w:hyperlink r:id="rId261">
              <w:r>
                <w:rPr>
                  <w:rFonts w:ascii="Times New Roman" w:cs="Times New Roman" w:eastAsia="Times New Roman" w:hAnsi="Times New Roman"/>
                  <w:sz w:val="13"/>
                  <w:szCs w:val="13"/>
                  <w:u w:val="single" w:color="auto"/>
                  <w:color w:val="0000EE"/>
                </w:rPr>
                <w:t>(incorporated by reference to Exhibit 10.4 to Digital Realty Trust, Inc.’s Quarterly Report on Form 10-Q (File No. 001-32336) filed on May 9, 2008).</w:t>
              </w:r>
            </w:hyperlink>
          </w:p>
        </w:tc>
      </w:tr>
      <w:tr>
        <w:trPr>
          <w:trHeight w:val="608"/>
        </w:trPr>
        <w:tc>
          <w:tcPr>
            <w:tcW w:w="740" w:type="dxa"/>
            <w:vAlign w:val="bottom"/>
          </w:tcPr>
          <w:p>
            <w:pPr>
              <w:spacing w:after="0"/>
              <w:rPr>
                <w:sz w:val="24"/>
                <w:szCs w:val="24"/>
                <w:color w:val="auto"/>
              </w:rPr>
            </w:pPr>
          </w:p>
        </w:tc>
        <w:tc>
          <w:tcPr>
            <w:tcW w:w="5580" w:type="dxa"/>
            <w:vAlign w:val="bottom"/>
            <w:gridSpan w:val="6"/>
          </w:tcPr>
          <w:p>
            <w:pPr>
              <w:ind w:left="3640"/>
              <w:spacing w:after="0"/>
              <w:rPr>
                <w:sz w:val="20"/>
                <w:szCs w:val="20"/>
                <w:color w:val="auto"/>
              </w:rPr>
            </w:pPr>
            <w:r>
              <w:rPr>
                <w:rFonts w:ascii="Times New Roman" w:cs="Times New Roman" w:eastAsia="Times New Roman" w:hAnsi="Times New Roman"/>
                <w:sz w:val="13"/>
                <w:szCs w:val="13"/>
                <w:color w:val="auto"/>
              </w:rPr>
              <w:t>195</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0"/>
        </w:trPr>
        <w:tc>
          <w:tcPr>
            <w:tcW w:w="7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200" w:name="page201"/>
    <w:bookmarkEnd w:id="200"/>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10.9†</w:t>
            </w:r>
          </w:p>
        </w:tc>
        <w:tc>
          <w:tcPr>
            <w:tcW w:w="7980" w:type="dxa"/>
            <w:vAlign w:val="bottom"/>
            <w:tcBorders>
              <w:bottom w:val="single" w:sz="8" w:color="0000EE"/>
            </w:tcBorders>
            <w:gridSpan w:val="13"/>
          </w:tcPr>
          <w:p>
            <w:pPr>
              <w:spacing w:after="0"/>
              <w:rPr>
                <w:rFonts w:ascii="Times New Roman" w:cs="Times New Roman" w:eastAsia="Times New Roman" w:hAnsi="Times New Roman"/>
                <w:sz w:val="13"/>
                <w:szCs w:val="13"/>
                <w:color w:val="0000EE"/>
                <w:w w:val="96"/>
              </w:rPr>
            </w:pPr>
            <w:hyperlink r:id="rId262">
              <w:r>
                <w:rPr>
                  <w:rFonts w:ascii="Times New Roman" w:cs="Times New Roman" w:eastAsia="Times New Roman" w:hAnsi="Times New Roman"/>
                  <w:sz w:val="13"/>
                  <w:szCs w:val="13"/>
                  <w:color w:val="0000EE"/>
                  <w:w w:val="96"/>
                </w:rPr>
                <w:t>Second Amendment to First Amended and Restated Digital Realty Trust, Inc., Digital Services, Inc. and Digital Realty Trust, L.P. 2004 Incentive Award Plan</w:t>
              </w:r>
            </w:hyperlink>
          </w:p>
        </w:tc>
        <w:tc>
          <w:tcPr>
            <w:tcW w:w="240" w:type="dxa"/>
            <w:vAlign w:val="bottom"/>
            <w:gridSpan w:val="5"/>
          </w:tcPr>
          <w:p>
            <w:pPr>
              <w:spacing w:after="0"/>
              <w:rPr>
                <w:sz w:val="12"/>
                <w:szCs w:val="12"/>
                <w:color w:val="auto"/>
              </w:rPr>
            </w:pPr>
          </w:p>
        </w:tc>
      </w:tr>
      <w:tr>
        <w:trPr>
          <w:trHeight w:val="160"/>
        </w:trPr>
        <w:tc>
          <w:tcPr>
            <w:tcW w:w="740" w:type="dxa"/>
            <w:vAlign w:val="bottom"/>
          </w:tcPr>
          <w:p>
            <w:pPr>
              <w:spacing w:after="0"/>
              <w:rPr>
                <w:sz w:val="13"/>
                <w:szCs w:val="13"/>
                <w:color w:val="auto"/>
              </w:rPr>
            </w:pPr>
          </w:p>
        </w:tc>
        <w:tc>
          <w:tcPr>
            <w:tcW w:w="8220" w:type="dxa"/>
            <w:vAlign w:val="bottom"/>
            <w:gridSpan w:val="18"/>
          </w:tcPr>
          <w:p>
            <w:pPr>
              <w:spacing w:after="0"/>
              <w:rPr>
                <w:rFonts w:ascii="Times New Roman" w:cs="Times New Roman" w:eastAsia="Times New Roman" w:hAnsi="Times New Roman"/>
                <w:sz w:val="13"/>
                <w:szCs w:val="13"/>
                <w:u w:val="single" w:color="auto"/>
                <w:color w:val="0000EE"/>
              </w:rPr>
            </w:pPr>
            <w:hyperlink r:id="rId262">
              <w:r>
                <w:rPr>
                  <w:rFonts w:ascii="Times New Roman" w:cs="Times New Roman" w:eastAsia="Times New Roman" w:hAnsi="Times New Roman"/>
                  <w:sz w:val="13"/>
                  <w:szCs w:val="13"/>
                  <w:u w:val="single" w:color="auto"/>
                  <w:color w:val="0000EE"/>
                </w:rPr>
                <w:t>(incorporated by reference to Exhibit 10.4 to Digital Realty Trust, Inc.’s Quarterly Report on Form 10-Q (File No. 001-32336) filed on August 6, 2009).</w:t>
              </w:r>
            </w:hyperlink>
          </w:p>
        </w:tc>
      </w:tr>
      <w:tr>
        <w:trPr>
          <w:trHeight w:val="275"/>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10.10†</w:t>
            </w:r>
          </w:p>
        </w:tc>
        <w:tc>
          <w:tcPr>
            <w:tcW w:w="7900" w:type="dxa"/>
            <w:vAlign w:val="bottom"/>
            <w:tcBorders>
              <w:bottom w:val="single" w:sz="8" w:color="0000EE"/>
            </w:tcBorders>
            <w:gridSpan w:val="10"/>
          </w:tcPr>
          <w:p>
            <w:pPr>
              <w:spacing w:after="0"/>
              <w:rPr>
                <w:rFonts w:ascii="Times New Roman" w:cs="Times New Roman" w:eastAsia="Times New Roman" w:hAnsi="Times New Roman"/>
                <w:sz w:val="13"/>
                <w:szCs w:val="13"/>
                <w:color w:val="0000EE"/>
                <w:w w:val="96"/>
              </w:rPr>
            </w:pPr>
            <w:hyperlink r:id="rId263">
              <w:r>
                <w:rPr>
                  <w:rFonts w:ascii="Times New Roman" w:cs="Times New Roman" w:eastAsia="Times New Roman" w:hAnsi="Times New Roman"/>
                  <w:sz w:val="13"/>
                  <w:szCs w:val="13"/>
                  <w:color w:val="0000EE"/>
                  <w:w w:val="96"/>
                </w:rPr>
                <w:t>Third Amendment to First Amended and Restated Digital Realty Trust, Inc., Digital Services, Inc. and Digital Realty Trust, L.P. 2004 Incentive Award Plan</w:t>
              </w:r>
            </w:hyperlink>
          </w:p>
        </w:tc>
        <w:tc>
          <w:tcPr>
            <w:tcW w:w="320" w:type="dxa"/>
            <w:vAlign w:val="bottom"/>
            <w:gridSpan w:val="8"/>
          </w:tcPr>
          <w:p>
            <w:pPr>
              <w:spacing w:after="0"/>
              <w:rPr>
                <w:sz w:val="23"/>
                <w:szCs w:val="23"/>
                <w:color w:val="auto"/>
              </w:rPr>
            </w:pPr>
          </w:p>
        </w:tc>
      </w:tr>
      <w:tr>
        <w:trPr>
          <w:trHeight w:val="160"/>
        </w:trPr>
        <w:tc>
          <w:tcPr>
            <w:tcW w:w="740" w:type="dxa"/>
            <w:vAlign w:val="bottom"/>
          </w:tcPr>
          <w:p>
            <w:pPr>
              <w:spacing w:after="0"/>
              <w:rPr>
                <w:sz w:val="13"/>
                <w:szCs w:val="13"/>
                <w:color w:val="auto"/>
              </w:rPr>
            </w:pPr>
          </w:p>
        </w:tc>
        <w:tc>
          <w:tcPr>
            <w:tcW w:w="8220" w:type="dxa"/>
            <w:vAlign w:val="bottom"/>
            <w:gridSpan w:val="18"/>
          </w:tcPr>
          <w:p>
            <w:pPr>
              <w:spacing w:after="0"/>
              <w:rPr>
                <w:rFonts w:ascii="Times New Roman" w:cs="Times New Roman" w:eastAsia="Times New Roman" w:hAnsi="Times New Roman"/>
                <w:sz w:val="13"/>
                <w:szCs w:val="13"/>
                <w:u w:val="single" w:color="auto"/>
                <w:color w:val="0000EE"/>
              </w:rPr>
            </w:pPr>
            <w:hyperlink r:id="rId263">
              <w:r>
                <w:rPr>
                  <w:rFonts w:ascii="Times New Roman" w:cs="Times New Roman" w:eastAsia="Times New Roman" w:hAnsi="Times New Roman"/>
                  <w:sz w:val="13"/>
                  <w:szCs w:val="13"/>
                  <w:u w:val="single" w:color="auto"/>
                  <w:color w:val="0000EE"/>
                </w:rPr>
                <w:t>(incorporated by reference to Exhibit 10.1 to Digital Realty Trust, Inc.’s Quarterly Report on Form 10-Q (File No. 001-32336) filed on November 9, 2009).</w:t>
              </w:r>
            </w:hyperlink>
          </w:p>
        </w:tc>
      </w:tr>
      <w:tr>
        <w:trPr>
          <w:trHeight w:val="275"/>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10.11†</w:t>
            </w:r>
          </w:p>
        </w:tc>
        <w:tc>
          <w:tcPr>
            <w:tcW w:w="8220" w:type="dxa"/>
            <w:vAlign w:val="bottom"/>
            <w:gridSpan w:val="18"/>
          </w:tcPr>
          <w:p>
            <w:pPr>
              <w:spacing w:after="0"/>
              <w:rPr>
                <w:rFonts w:ascii="Times New Roman" w:cs="Times New Roman" w:eastAsia="Times New Roman" w:hAnsi="Times New Roman"/>
                <w:sz w:val="13"/>
                <w:szCs w:val="13"/>
                <w:color w:val="0000EE"/>
              </w:rPr>
            </w:pPr>
            <w:hyperlink r:id="rId264">
              <w:r>
                <w:rPr>
                  <w:rFonts w:ascii="Times New Roman" w:cs="Times New Roman" w:eastAsia="Times New Roman" w:hAnsi="Times New Roman"/>
                  <w:sz w:val="13"/>
                  <w:szCs w:val="13"/>
                  <w:color w:val="0000EE"/>
                </w:rPr>
                <w:t>Fourth Amendment to First Amended and Restated Digital Realty Trust, Inc., Digital Services, Inc. and Digital Realty Trust, L.P. 2004 Incentive Award Plan</w:t>
              </w:r>
            </w:hyperlink>
          </w:p>
        </w:tc>
      </w:tr>
      <w:tr>
        <w:trPr>
          <w:trHeight w:val="20"/>
        </w:trPr>
        <w:tc>
          <w:tcPr>
            <w:tcW w:w="740" w:type="dxa"/>
            <w:vAlign w:val="bottom"/>
          </w:tcPr>
          <w:p>
            <w:pPr>
              <w:spacing w:after="0" w:line="20" w:lineRule="exact"/>
              <w:rPr>
                <w:sz w:val="1"/>
                <w:szCs w:val="1"/>
                <w:color w:val="auto"/>
              </w:rPr>
            </w:pPr>
          </w:p>
        </w:tc>
        <w:tc>
          <w:tcPr>
            <w:tcW w:w="268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140" w:type="dxa"/>
            <w:vAlign w:val="bottom"/>
            <w:tcBorders>
              <w:bottom w:val="single" w:sz="8" w:color="0000EE"/>
            </w:tcBorders>
            <w:gridSpan w:val="17"/>
          </w:tcPr>
          <w:p>
            <w:pPr>
              <w:spacing w:after="0" w:line="132" w:lineRule="exact"/>
              <w:rPr>
                <w:rFonts w:ascii="Times New Roman" w:cs="Times New Roman" w:eastAsia="Times New Roman" w:hAnsi="Times New Roman"/>
                <w:sz w:val="13"/>
                <w:szCs w:val="13"/>
                <w:color w:val="0000EE"/>
                <w:w w:val="96"/>
              </w:rPr>
            </w:pPr>
            <w:hyperlink r:id="rId264">
              <w:r>
                <w:rPr>
                  <w:rFonts w:ascii="Times New Roman" w:cs="Times New Roman" w:eastAsia="Times New Roman" w:hAnsi="Times New Roman"/>
                  <w:sz w:val="13"/>
                  <w:szCs w:val="13"/>
                  <w:color w:val="0000EE"/>
                  <w:w w:val="96"/>
                </w:rPr>
                <w:t>(incorporated by reference to Exhibit 10.1 to the Combined Quarterly Report on Form 10-Q of Digital Realty Trust, Inc. and Digital Realty Trust, L.P. (File Nos.</w:t>
              </w:r>
            </w:hyperlink>
          </w:p>
        </w:tc>
        <w:tc>
          <w:tcPr>
            <w:tcW w:w="80" w:type="dxa"/>
            <w:vAlign w:val="bottom"/>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20" w:type="dxa"/>
            <w:vAlign w:val="bottom"/>
            <w:gridSpan w:val="18"/>
          </w:tcPr>
          <w:p>
            <w:pPr>
              <w:spacing w:after="0" w:line="132" w:lineRule="exact"/>
              <w:rPr>
                <w:rFonts w:ascii="Times New Roman" w:cs="Times New Roman" w:eastAsia="Times New Roman" w:hAnsi="Times New Roman"/>
                <w:sz w:val="13"/>
                <w:szCs w:val="13"/>
                <w:color w:val="0000EE"/>
              </w:rPr>
            </w:pPr>
            <w:hyperlink r:id="rId264">
              <w:r>
                <w:rPr>
                  <w:rFonts w:ascii="Times New Roman" w:cs="Times New Roman" w:eastAsia="Times New Roman" w:hAnsi="Times New Roman"/>
                  <w:sz w:val="13"/>
                  <w:szCs w:val="13"/>
                  <w:color w:val="0000EE"/>
                </w:rPr>
                <w:t>001-32336 and 000-54023) filed on August 7, 2012).</w:t>
              </w:r>
            </w:hyperlink>
          </w:p>
        </w:tc>
      </w:tr>
      <w:tr>
        <w:trPr>
          <w:trHeight w:val="20"/>
        </w:trPr>
        <w:tc>
          <w:tcPr>
            <w:tcW w:w="740" w:type="dxa"/>
            <w:vAlign w:val="bottom"/>
          </w:tcPr>
          <w:p>
            <w:pPr>
              <w:spacing w:after="0" w:line="20" w:lineRule="exact"/>
              <w:rPr>
                <w:sz w:val="1"/>
                <w:szCs w:val="1"/>
                <w:color w:val="auto"/>
              </w:rPr>
            </w:pPr>
          </w:p>
        </w:tc>
        <w:tc>
          <w:tcPr>
            <w:tcW w:w="268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10.12†</w:t>
            </w:r>
          </w:p>
        </w:tc>
        <w:tc>
          <w:tcPr>
            <w:tcW w:w="8220" w:type="dxa"/>
            <w:vAlign w:val="bottom"/>
            <w:gridSpan w:val="18"/>
          </w:tcPr>
          <w:p>
            <w:pPr>
              <w:spacing w:after="0"/>
              <w:rPr>
                <w:rFonts w:ascii="Times New Roman" w:cs="Times New Roman" w:eastAsia="Times New Roman" w:hAnsi="Times New Roman"/>
                <w:sz w:val="13"/>
                <w:szCs w:val="13"/>
                <w:color w:val="0000EE"/>
              </w:rPr>
            </w:pPr>
            <w:hyperlink r:id="rId265">
              <w:r>
                <w:rPr>
                  <w:rFonts w:ascii="Times New Roman" w:cs="Times New Roman" w:eastAsia="Times New Roman" w:hAnsi="Times New Roman"/>
                  <w:sz w:val="13"/>
                  <w:szCs w:val="13"/>
                  <w:color w:val="0000EE"/>
                </w:rPr>
                <w:t>Fifth Amendment to First Amended and Restated Digital Realty Trust, Inc., Digital Services, Inc. and Digital Realty Trust, L.P. 2004 Incentive Award Plan.</w:t>
              </w:r>
            </w:hyperlink>
          </w:p>
        </w:tc>
      </w:tr>
      <w:tr>
        <w:trPr>
          <w:trHeight w:val="20"/>
        </w:trPr>
        <w:tc>
          <w:tcPr>
            <w:tcW w:w="740" w:type="dxa"/>
            <w:vAlign w:val="bottom"/>
          </w:tcPr>
          <w:p>
            <w:pPr>
              <w:spacing w:after="0" w:line="20" w:lineRule="exact"/>
              <w:rPr>
                <w:sz w:val="1"/>
                <w:szCs w:val="1"/>
                <w:color w:val="auto"/>
              </w:rPr>
            </w:pPr>
          </w:p>
        </w:tc>
        <w:tc>
          <w:tcPr>
            <w:tcW w:w="268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080" w:type="dxa"/>
            <w:vAlign w:val="bottom"/>
            <w:tcBorders>
              <w:bottom w:val="single" w:sz="8" w:color="0000EE"/>
            </w:tcBorders>
            <w:gridSpan w:val="16"/>
          </w:tcPr>
          <w:p>
            <w:pPr>
              <w:spacing w:after="0" w:line="132" w:lineRule="exact"/>
              <w:rPr>
                <w:rFonts w:ascii="Times New Roman" w:cs="Times New Roman" w:eastAsia="Times New Roman" w:hAnsi="Times New Roman"/>
                <w:sz w:val="13"/>
                <w:szCs w:val="13"/>
                <w:color w:val="0000EE"/>
                <w:w w:val="96"/>
              </w:rPr>
            </w:pPr>
            <w:hyperlink r:id="rId265">
              <w:r>
                <w:rPr>
                  <w:rFonts w:ascii="Times New Roman" w:cs="Times New Roman" w:eastAsia="Times New Roman" w:hAnsi="Times New Roman"/>
                  <w:sz w:val="13"/>
                  <w:szCs w:val="13"/>
                  <w:color w:val="0000EE"/>
                  <w:w w:val="96"/>
                </w:rPr>
                <w:t>(incorporated by reference to exhibit 10.46 to the Combined Annual Report on Form 10-K of Digital Realty Trust, Inc. and Digital Realty Trust, L.P. (File Nos.</w:t>
              </w:r>
            </w:hyperlink>
          </w:p>
        </w:tc>
        <w:tc>
          <w:tcPr>
            <w:tcW w:w="140" w:type="dxa"/>
            <w:vAlign w:val="bottom"/>
            <w:gridSpan w:val="2"/>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2680" w:type="dxa"/>
            <w:vAlign w:val="bottom"/>
            <w:tcBorders>
              <w:bottom w:val="single" w:sz="8" w:color="0000EE"/>
            </w:tcBorders>
          </w:tcPr>
          <w:p>
            <w:pPr>
              <w:spacing w:after="0" w:line="132" w:lineRule="exact"/>
              <w:rPr>
                <w:rFonts w:ascii="Times New Roman" w:cs="Times New Roman" w:eastAsia="Times New Roman" w:hAnsi="Times New Roman"/>
                <w:sz w:val="13"/>
                <w:szCs w:val="13"/>
                <w:color w:val="0000EE"/>
                <w:w w:val="96"/>
              </w:rPr>
            </w:pPr>
            <w:hyperlink r:id="rId265">
              <w:r>
                <w:rPr>
                  <w:rFonts w:ascii="Times New Roman" w:cs="Times New Roman" w:eastAsia="Times New Roman" w:hAnsi="Times New Roman"/>
                  <w:sz w:val="13"/>
                  <w:szCs w:val="13"/>
                  <w:color w:val="0000EE"/>
                  <w:w w:val="96"/>
                </w:rPr>
                <w:t>001-32336 and 000-54023) filed on March 2, 2015).</w:t>
              </w:r>
            </w:hyperlink>
          </w:p>
        </w:tc>
        <w:tc>
          <w:tcPr>
            <w:tcW w:w="5540" w:type="dxa"/>
            <w:vAlign w:val="bottom"/>
            <w:gridSpan w:val="17"/>
          </w:tcPr>
          <w:p>
            <w:pPr>
              <w:spacing w:after="0"/>
              <w:rPr>
                <w:sz w:val="11"/>
                <w:szCs w:val="1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10.13†</w:t>
            </w:r>
          </w:p>
        </w:tc>
        <w:tc>
          <w:tcPr>
            <w:tcW w:w="7940" w:type="dxa"/>
            <w:vAlign w:val="bottom"/>
            <w:tcBorders>
              <w:bottom w:val="single" w:sz="8" w:color="0000EE"/>
            </w:tcBorders>
            <w:gridSpan w:val="12"/>
          </w:tcPr>
          <w:p>
            <w:pPr>
              <w:spacing w:after="0"/>
              <w:rPr>
                <w:rFonts w:ascii="Times New Roman" w:cs="Times New Roman" w:eastAsia="Times New Roman" w:hAnsi="Times New Roman"/>
                <w:sz w:val="13"/>
                <w:szCs w:val="13"/>
                <w:color w:val="0000EE"/>
                <w:w w:val="96"/>
              </w:rPr>
            </w:pPr>
            <w:hyperlink r:id="rId266">
              <w:r>
                <w:rPr>
                  <w:rFonts w:ascii="Times New Roman" w:cs="Times New Roman" w:eastAsia="Times New Roman" w:hAnsi="Times New Roman"/>
                  <w:sz w:val="13"/>
                  <w:szCs w:val="13"/>
                  <w:color w:val="0000EE"/>
                  <w:w w:val="96"/>
                </w:rPr>
                <w:t>Director Compensation Program (incorporated by reference to Exhibit 10.20 to the Combined Annual Report on Form 10-K of Digital Realty Trust, Inc. and</w:t>
              </w:r>
            </w:hyperlink>
          </w:p>
        </w:tc>
        <w:tc>
          <w:tcPr>
            <w:tcW w:w="280" w:type="dxa"/>
            <w:vAlign w:val="bottom"/>
            <w:gridSpan w:val="6"/>
          </w:tcPr>
          <w:p>
            <w:pPr>
              <w:spacing w:after="0"/>
              <w:rPr>
                <w:sz w:val="24"/>
                <w:szCs w:val="24"/>
                <w:color w:val="auto"/>
              </w:rPr>
            </w:pPr>
          </w:p>
        </w:tc>
      </w:tr>
      <w:tr>
        <w:trPr>
          <w:trHeight w:val="132"/>
        </w:trPr>
        <w:tc>
          <w:tcPr>
            <w:tcW w:w="740" w:type="dxa"/>
            <w:vAlign w:val="bottom"/>
          </w:tcPr>
          <w:p>
            <w:pPr>
              <w:spacing w:after="0"/>
              <w:rPr>
                <w:sz w:val="11"/>
                <w:szCs w:val="11"/>
                <w:color w:val="auto"/>
              </w:rPr>
            </w:pPr>
          </w:p>
        </w:tc>
        <w:tc>
          <w:tcPr>
            <w:tcW w:w="4680" w:type="dxa"/>
            <w:vAlign w:val="bottom"/>
            <w:tcBorders>
              <w:bottom w:val="single" w:sz="8" w:color="0000EE"/>
            </w:tcBorders>
            <w:gridSpan w:val="2"/>
          </w:tcPr>
          <w:p>
            <w:pPr>
              <w:spacing w:after="0" w:line="132" w:lineRule="exact"/>
              <w:rPr>
                <w:rFonts w:ascii="Times New Roman" w:cs="Times New Roman" w:eastAsia="Times New Roman" w:hAnsi="Times New Roman"/>
                <w:sz w:val="13"/>
                <w:szCs w:val="13"/>
                <w:color w:val="0000EE"/>
                <w:w w:val="96"/>
              </w:rPr>
            </w:pPr>
            <w:hyperlink r:id="rId266">
              <w:r>
                <w:rPr>
                  <w:rFonts w:ascii="Times New Roman" w:cs="Times New Roman" w:eastAsia="Times New Roman" w:hAnsi="Times New Roman"/>
                  <w:sz w:val="13"/>
                  <w:szCs w:val="13"/>
                  <w:color w:val="0000EE"/>
                  <w:w w:val="96"/>
                </w:rPr>
                <w:t>Digital Realty Trust, L.P. (File Nos. 001-32336 and 000-54023) filed on February 25, 2019).</w:t>
              </w:r>
            </w:hyperlink>
          </w:p>
        </w:tc>
        <w:tc>
          <w:tcPr>
            <w:tcW w:w="3540" w:type="dxa"/>
            <w:vAlign w:val="bottom"/>
            <w:gridSpan w:val="16"/>
          </w:tcPr>
          <w:p>
            <w:pPr>
              <w:spacing w:after="0"/>
              <w:rPr>
                <w:sz w:val="11"/>
                <w:szCs w:val="11"/>
                <w:color w:val="auto"/>
              </w:rPr>
            </w:pPr>
          </w:p>
        </w:tc>
      </w:tr>
      <w:tr>
        <w:trPr>
          <w:trHeight w:val="312"/>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10.14†</w:t>
            </w:r>
          </w:p>
        </w:tc>
        <w:tc>
          <w:tcPr>
            <w:tcW w:w="8220" w:type="dxa"/>
            <w:vAlign w:val="bottom"/>
            <w:gridSpan w:val="18"/>
          </w:tcPr>
          <w:p>
            <w:pPr>
              <w:spacing w:after="0"/>
              <w:rPr>
                <w:rFonts w:ascii="Times New Roman" w:cs="Times New Roman" w:eastAsia="Times New Roman" w:hAnsi="Times New Roman"/>
                <w:sz w:val="13"/>
                <w:szCs w:val="13"/>
                <w:u w:val="single" w:color="auto"/>
                <w:color w:val="0000EE"/>
              </w:rPr>
            </w:pPr>
            <w:hyperlink w:anchor="page222">
              <w:r>
                <w:rPr>
                  <w:rFonts w:ascii="Times New Roman" w:cs="Times New Roman" w:eastAsia="Times New Roman" w:hAnsi="Times New Roman"/>
                  <w:sz w:val="13"/>
                  <w:szCs w:val="13"/>
                  <w:u w:val="single" w:color="auto"/>
                  <w:color w:val="0000EE"/>
                </w:rPr>
                <w:t>Director Compensation Program.</w:t>
              </w:r>
            </w:hyperlink>
          </w:p>
        </w:tc>
      </w:tr>
      <w:tr>
        <w:trPr>
          <w:trHeight w:val="275"/>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10.15†</w:t>
            </w:r>
          </w:p>
        </w:tc>
        <w:tc>
          <w:tcPr>
            <w:tcW w:w="8060" w:type="dxa"/>
            <w:vAlign w:val="bottom"/>
            <w:tcBorders>
              <w:bottom w:val="single" w:sz="8" w:color="0000EE"/>
            </w:tcBorders>
            <w:gridSpan w:val="15"/>
          </w:tcPr>
          <w:p>
            <w:pPr>
              <w:spacing w:after="0"/>
              <w:rPr>
                <w:rFonts w:ascii="Times New Roman" w:cs="Times New Roman" w:eastAsia="Times New Roman" w:hAnsi="Times New Roman"/>
                <w:sz w:val="13"/>
                <w:szCs w:val="13"/>
                <w:color w:val="0000EE"/>
                <w:w w:val="97"/>
              </w:rPr>
            </w:pPr>
            <w:hyperlink r:id="rId267">
              <w:r>
                <w:rPr>
                  <w:rFonts w:ascii="Times New Roman" w:cs="Times New Roman" w:eastAsia="Times New Roman" w:hAnsi="Times New Roman"/>
                  <w:sz w:val="13"/>
                  <w:szCs w:val="13"/>
                  <w:color w:val="0000EE"/>
                  <w:w w:val="97"/>
                </w:rPr>
                <w:t>Profits Interest Unit Agreement – Directors (incorporated by reference to Exhibit 10.21 to the Combined Annual Report on Form 10-K of Digital Realty Trust,</w:t>
              </w:r>
            </w:hyperlink>
          </w:p>
        </w:tc>
        <w:tc>
          <w:tcPr>
            <w:tcW w:w="160" w:type="dxa"/>
            <w:vAlign w:val="bottom"/>
            <w:gridSpan w:val="3"/>
          </w:tcPr>
          <w:p>
            <w:pPr>
              <w:spacing w:after="0"/>
              <w:rPr>
                <w:sz w:val="23"/>
                <w:szCs w:val="23"/>
                <w:color w:val="auto"/>
              </w:rPr>
            </w:pPr>
          </w:p>
        </w:tc>
      </w:tr>
      <w:tr>
        <w:trPr>
          <w:trHeight w:val="132"/>
        </w:trPr>
        <w:tc>
          <w:tcPr>
            <w:tcW w:w="740" w:type="dxa"/>
            <w:vAlign w:val="bottom"/>
          </w:tcPr>
          <w:p>
            <w:pPr>
              <w:spacing w:after="0"/>
              <w:rPr>
                <w:sz w:val="11"/>
                <w:szCs w:val="11"/>
                <w:color w:val="auto"/>
              </w:rPr>
            </w:pPr>
          </w:p>
        </w:tc>
        <w:tc>
          <w:tcPr>
            <w:tcW w:w="5120" w:type="dxa"/>
            <w:vAlign w:val="bottom"/>
            <w:tcBorders>
              <w:bottom w:val="single" w:sz="8" w:color="0000EE"/>
            </w:tcBorders>
            <w:gridSpan w:val="3"/>
          </w:tcPr>
          <w:p>
            <w:pPr>
              <w:spacing w:after="0" w:line="132" w:lineRule="exact"/>
              <w:rPr>
                <w:rFonts w:ascii="Times New Roman" w:cs="Times New Roman" w:eastAsia="Times New Roman" w:hAnsi="Times New Roman"/>
                <w:sz w:val="13"/>
                <w:szCs w:val="13"/>
                <w:color w:val="0000EE"/>
                <w:w w:val="96"/>
              </w:rPr>
            </w:pPr>
            <w:hyperlink r:id="rId267">
              <w:r>
                <w:rPr>
                  <w:rFonts w:ascii="Times New Roman" w:cs="Times New Roman" w:eastAsia="Times New Roman" w:hAnsi="Times New Roman"/>
                  <w:sz w:val="13"/>
                  <w:szCs w:val="13"/>
                  <w:color w:val="0000EE"/>
                  <w:w w:val="96"/>
                </w:rPr>
                <w:t>Inc. and Digital Realty Trust, L.P. (File Nos. 001-32336 and 000-54023) filed on February 25, 2019).</w:t>
              </w:r>
            </w:hyperlink>
          </w:p>
        </w:tc>
        <w:tc>
          <w:tcPr>
            <w:tcW w:w="3100" w:type="dxa"/>
            <w:vAlign w:val="bottom"/>
            <w:gridSpan w:val="15"/>
          </w:tcPr>
          <w:p>
            <w:pPr>
              <w:spacing w:after="0"/>
              <w:rPr>
                <w:sz w:val="11"/>
                <w:szCs w:val="1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10.16†</w:t>
            </w:r>
          </w:p>
        </w:tc>
        <w:tc>
          <w:tcPr>
            <w:tcW w:w="8220" w:type="dxa"/>
            <w:vAlign w:val="bottom"/>
            <w:gridSpan w:val="18"/>
          </w:tcPr>
          <w:p>
            <w:pPr>
              <w:spacing w:after="0"/>
              <w:rPr>
                <w:rFonts w:ascii="Times New Roman" w:cs="Times New Roman" w:eastAsia="Times New Roman" w:hAnsi="Times New Roman"/>
                <w:sz w:val="13"/>
                <w:szCs w:val="13"/>
                <w:color w:val="0000EE"/>
              </w:rPr>
            </w:pPr>
            <w:hyperlink r:id="rId268">
              <w:r>
                <w:rPr>
                  <w:rFonts w:ascii="Times New Roman" w:cs="Times New Roman" w:eastAsia="Times New Roman" w:hAnsi="Times New Roman"/>
                  <w:sz w:val="13"/>
                  <w:szCs w:val="13"/>
                  <w:color w:val="0000EE"/>
                </w:rPr>
                <w:t>Digital Realty Deferred Compensation Plan (incorporated by reference to Exhibit 10.33 to the Combined Annual Report on Form 10-K of Digital Realty</w:t>
              </w:r>
            </w:hyperlink>
          </w:p>
        </w:tc>
      </w:tr>
      <w:tr>
        <w:trPr>
          <w:trHeight w:val="132"/>
        </w:trPr>
        <w:tc>
          <w:tcPr>
            <w:tcW w:w="740" w:type="dxa"/>
            <w:vAlign w:val="bottom"/>
          </w:tcPr>
          <w:p>
            <w:pPr>
              <w:spacing w:after="0"/>
              <w:rPr>
                <w:sz w:val="11"/>
                <w:szCs w:val="11"/>
                <w:color w:val="auto"/>
              </w:rPr>
            </w:pPr>
          </w:p>
        </w:tc>
        <w:tc>
          <w:tcPr>
            <w:tcW w:w="7720" w:type="dxa"/>
            <w:vAlign w:val="bottom"/>
            <w:tcBorders>
              <w:top w:val="single" w:sz="8" w:color="0000EE"/>
            </w:tcBorders>
            <w:gridSpan w:val="8"/>
          </w:tcPr>
          <w:p>
            <w:pPr>
              <w:spacing w:after="0" w:line="132" w:lineRule="exact"/>
              <w:rPr>
                <w:rFonts w:ascii="Times New Roman" w:cs="Times New Roman" w:eastAsia="Times New Roman" w:hAnsi="Times New Roman"/>
                <w:sz w:val="13"/>
                <w:szCs w:val="13"/>
                <w:color w:val="0000EE"/>
              </w:rPr>
            </w:pPr>
            <w:hyperlink r:id="rId268">
              <w:r>
                <w:rPr>
                  <w:rFonts w:ascii="Times New Roman" w:cs="Times New Roman" w:eastAsia="Times New Roman" w:hAnsi="Times New Roman"/>
                  <w:sz w:val="13"/>
                  <w:szCs w:val="13"/>
                  <w:color w:val="0000EE"/>
                </w:rPr>
                <w:t>Trust, Inc. and Digital Realty Trust, L.P. (File Nos. 001-32336 and 000-54023) filed on February 28, 2014).</w:t>
              </w:r>
            </w:hyperlink>
          </w:p>
        </w:tc>
        <w:tc>
          <w:tcPr>
            <w:tcW w:w="500" w:type="dxa"/>
            <w:vAlign w:val="bottom"/>
            <w:gridSpan w:val="10"/>
          </w:tcPr>
          <w:p>
            <w:pPr>
              <w:spacing w:after="0"/>
              <w:rPr>
                <w:sz w:val="11"/>
                <w:szCs w:val="11"/>
                <w:color w:val="auto"/>
              </w:rPr>
            </w:pPr>
          </w:p>
        </w:tc>
      </w:tr>
      <w:tr>
        <w:trPr>
          <w:trHeight w:val="20"/>
        </w:trPr>
        <w:tc>
          <w:tcPr>
            <w:tcW w:w="740" w:type="dxa"/>
            <w:vAlign w:val="bottom"/>
          </w:tcPr>
          <w:p>
            <w:pPr>
              <w:spacing w:after="0" w:line="20" w:lineRule="exact"/>
              <w:rPr>
                <w:sz w:val="1"/>
                <w:szCs w:val="1"/>
                <w:color w:val="auto"/>
              </w:rPr>
            </w:pPr>
          </w:p>
        </w:tc>
        <w:tc>
          <w:tcPr>
            <w:tcW w:w="544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10.17†</w:t>
            </w:r>
          </w:p>
        </w:tc>
        <w:tc>
          <w:tcPr>
            <w:tcW w:w="8040" w:type="dxa"/>
            <w:vAlign w:val="bottom"/>
            <w:tcBorders>
              <w:bottom w:val="single" w:sz="8" w:color="0000EE"/>
            </w:tcBorders>
            <w:gridSpan w:val="14"/>
          </w:tcPr>
          <w:p>
            <w:pPr>
              <w:spacing w:after="0"/>
              <w:rPr>
                <w:rFonts w:ascii="Times New Roman" w:cs="Times New Roman" w:eastAsia="Times New Roman" w:hAnsi="Times New Roman"/>
                <w:sz w:val="13"/>
                <w:szCs w:val="13"/>
                <w:color w:val="0000EE"/>
                <w:w w:val="97"/>
              </w:rPr>
            </w:pPr>
            <w:hyperlink r:id="rId269">
              <w:r>
                <w:rPr>
                  <w:rFonts w:ascii="Times New Roman" w:cs="Times New Roman" w:eastAsia="Times New Roman" w:hAnsi="Times New Roman"/>
                  <w:sz w:val="13"/>
                  <w:szCs w:val="13"/>
                  <w:color w:val="0000EE"/>
                  <w:w w:val="97"/>
                </w:rPr>
                <w:t>First Amendment to Digital Realty Deferred Compensation Plan (incorporated by reference to Exhibit 10.45 to the Combined Annual Report on Form 10-K of</w:t>
              </w:r>
            </w:hyperlink>
          </w:p>
        </w:tc>
        <w:tc>
          <w:tcPr>
            <w:tcW w:w="180" w:type="dxa"/>
            <w:vAlign w:val="bottom"/>
            <w:gridSpan w:val="4"/>
          </w:tcPr>
          <w:p>
            <w:pPr>
              <w:spacing w:after="0"/>
              <w:rPr>
                <w:sz w:val="24"/>
                <w:szCs w:val="24"/>
                <w:color w:val="auto"/>
              </w:rPr>
            </w:pPr>
          </w:p>
        </w:tc>
      </w:tr>
      <w:tr>
        <w:trPr>
          <w:trHeight w:val="132"/>
        </w:trPr>
        <w:tc>
          <w:tcPr>
            <w:tcW w:w="740" w:type="dxa"/>
            <w:vAlign w:val="bottom"/>
          </w:tcPr>
          <w:p>
            <w:pPr>
              <w:spacing w:after="0"/>
              <w:rPr>
                <w:sz w:val="11"/>
                <w:szCs w:val="11"/>
                <w:color w:val="auto"/>
              </w:rPr>
            </w:pPr>
          </w:p>
        </w:tc>
        <w:tc>
          <w:tcPr>
            <w:tcW w:w="6000" w:type="dxa"/>
            <w:vAlign w:val="bottom"/>
            <w:tcBorders>
              <w:bottom w:val="single" w:sz="8" w:color="0000EE"/>
            </w:tcBorders>
            <w:gridSpan w:val="6"/>
          </w:tcPr>
          <w:p>
            <w:pPr>
              <w:spacing w:after="0" w:line="132" w:lineRule="exact"/>
              <w:rPr>
                <w:rFonts w:ascii="Times New Roman" w:cs="Times New Roman" w:eastAsia="Times New Roman" w:hAnsi="Times New Roman"/>
                <w:sz w:val="13"/>
                <w:szCs w:val="13"/>
                <w:color w:val="0000EE"/>
                <w:w w:val="96"/>
              </w:rPr>
            </w:pPr>
            <w:hyperlink r:id="rId269">
              <w:r>
                <w:rPr>
                  <w:rFonts w:ascii="Times New Roman" w:cs="Times New Roman" w:eastAsia="Times New Roman" w:hAnsi="Times New Roman"/>
                  <w:sz w:val="13"/>
                  <w:szCs w:val="13"/>
                  <w:color w:val="0000EE"/>
                  <w:w w:val="96"/>
                </w:rPr>
                <w:t>Digital Realty Trust, Inc. and Digital Realty Trust, L.P. (File Nos. 001-32336 and 000-54023) filed on March 2, 2015).</w:t>
              </w:r>
            </w:hyperlink>
          </w:p>
        </w:tc>
        <w:tc>
          <w:tcPr>
            <w:tcW w:w="2220" w:type="dxa"/>
            <w:vAlign w:val="bottom"/>
            <w:gridSpan w:val="12"/>
          </w:tcPr>
          <w:p>
            <w:pPr>
              <w:spacing w:after="0"/>
              <w:rPr>
                <w:sz w:val="11"/>
                <w:szCs w:val="1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10.18†</w:t>
            </w:r>
          </w:p>
        </w:tc>
        <w:tc>
          <w:tcPr>
            <w:tcW w:w="8220" w:type="dxa"/>
            <w:vAlign w:val="bottom"/>
            <w:tcBorders>
              <w:bottom w:val="single" w:sz="8" w:color="0000EE"/>
            </w:tcBorders>
            <w:gridSpan w:val="18"/>
          </w:tcPr>
          <w:p>
            <w:pPr>
              <w:spacing w:after="0"/>
              <w:rPr>
                <w:rFonts w:ascii="Times New Roman" w:cs="Times New Roman" w:eastAsia="Times New Roman" w:hAnsi="Times New Roman"/>
                <w:sz w:val="13"/>
                <w:szCs w:val="13"/>
                <w:color w:val="0000EE"/>
                <w:w w:val="97"/>
              </w:rPr>
            </w:pPr>
            <w:hyperlink r:id="rId270">
              <w:r>
                <w:rPr>
                  <w:rFonts w:ascii="Times New Roman" w:cs="Times New Roman" w:eastAsia="Times New Roman" w:hAnsi="Times New Roman"/>
                  <w:sz w:val="13"/>
                  <w:szCs w:val="13"/>
                  <w:color w:val="0000EE"/>
                  <w:w w:val="97"/>
                </w:rPr>
                <w:t>Second Amendment to Digital Realty Deferred Compensation Plan (incorporated by reference to Exhibit 10.3 to the Combined Quarterly Report on Form 10-Q of</w:t>
              </w:r>
            </w:hyperlink>
          </w:p>
        </w:tc>
      </w:tr>
      <w:tr>
        <w:trPr>
          <w:trHeight w:val="132"/>
        </w:trPr>
        <w:tc>
          <w:tcPr>
            <w:tcW w:w="740" w:type="dxa"/>
            <w:vAlign w:val="bottom"/>
          </w:tcPr>
          <w:p>
            <w:pPr>
              <w:spacing w:after="0"/>
              <w:rPr>
                <w:sz w:val="11"/>
                <w:szCs w:val="11"/>
                <w:color w:val="auto"/>
              </w:rPr>
            </w:pPr>
          </w:p>
        </w:tc>
        <w:tc>
          <w:tcPr>
            <w:tcW w:w="8220" w:type="dxa"/>
            <w:vAlign w:val="bottom"/>
            <w:gridSpan w:val="18"/>
          </w:tcPr>
          <w:p>
            <w:pPr>
              <w:spacing w:after="0" w:line="132" w:lineRule="exact"/>
              <w:rPr>
                <w:rFonts w:ascii="Times New Roman" w:cs="Times New Roman" w:eastAsia="Times New Roman" w:hAnsi="Times New Roman"/>
                <w:sz w:val="13"/>
                <w:szCs w:val="13"/>
                <w:color w:val="0000EE"/>
              </w:rPr>
            </w:pPr>
            <w:hyperlink r:id="rId270">
              <w:r>
                <w:rPr>
                  <w:rFonts w:ascii="Times New Roman" w:cs="Times New Roman" w:eastAsia="Times New Roman" w:hAnsi="Times New Roman"/>
                  <w:sz w:val="13"/>
                  <w:szCs w:val="13"/>
                  <w:color w:val="0000EE"/>
                </w:rPr>
                <w:t>Digital Realty Trust, Inc. and Digital Realty Trust, L.P. (File Nos. 001-32336 and 000-54023) filed on November 6, 2015).</w:t>
              </w:r>
            </w:hyperlink>
          </w:p>
        </w:tc>
      </w:tr>
      <w:tr>
        <w:trPr>
          <w:trHeight w:val="20"/>
        </w:trPr>
        <w:tc>
          <w:tcPr>
            <w:tcW w:w="740" w:type="dxa"/>
            <w:vAlign w:val="bottom"/>
          </w:tcPr>
          <w:p>
            <w:pPr>
              <w:spacing w:after="0" w:line="20" w:lineRule="exact"/>
              <w:rPr>
                <w:sz w:val="1"/>
                <w:szCs w:val="1"/>
                <w:color w:val="auto"/>
              </w:rPr>
            </w:pPr>
          </w:p>
        </w:tc>
        <w:tc>
          <w:tcPr>
            <w:tcW w:w="5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4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10.19†</w:t>
            </w:r>
          </w:p>
        </w:tc>
        <w:tc>
          <w:tcPr>
            <w:tcW w:w="8220" w:type="dxa"/>
            <w:vAlign w:val="bottom"/>
            <w:gridSpan w:val="18"/>
          </w:tcPr>
          <w:p>
            <w:pPr>
              <w:spacing w:after="0"/>
              <w:rPr>
                <w:rFonts w:ascii="Times New Roman" w:cs="Times New Roman" w:eastAsia="Times New Roman" w:hAnsi="Times New Roman"/>
                <w:sz w:val="13"/>
                <w:szCs w:val="13"/>
                <w:color w:val="0000EE"/>
                <w:w w:val="99"/>
              </w:rPr>
            </w:pPr>
            <w:hyperlink r:id="rId271">
              <w:r>
                <w:rPr>
                  <w:rFonts w:ascii="Times New Roman" w:cs="Times New Roman" w:eastAsia="Times New Roman" w:hAnsi="Times New Roman"/>
                  <w:sz w:val="13"/>
                  <w:szCs w:val="13"/>
                  <w:color w:val="0000EE"/>
                  <w:w w:val="99"/>
                </w:rPr>
                <w:t>Form of Class D Profits Interest Unit Agreement (incorporated by reference to Exhibit 10.34 to the Combined Annual Report on Form 10-K of Digital Realty</w:t>
              </w:r>
            </w:hyperlink>
          </w:p>
        </w:tc>
      </w:tr>
      <w:tr>
        <w:trPr>
          <w:trHeight w:val="132"/>
        </w:trPr>
        <w:tc>
          <w:tcPr>
            <w:tcW w:w="740" w:type="dxa"/>
            <w:vAlign w:val="bottom"/>
          </w:tcPr>
          <w:p>
            <w:pPr>
              <w:spacing w:after="0"/>
              <w:rPr>
                <w:sz w:val="11"/>
                <w:szCs w:val="11"/>
                <w:color w:val="auto"/>
              </w:rPr>
            </w:pPr>
          </w:p>
        </w:tc>
        <w:tc>
          <w:tcPr>
            <w:tcW w:w="7980" w:type="dxa"/>
            <w:vAlign w:val="bottom"/>
            <w:tcBorders>
              <w:top w:val="single" w:sz="8" w:color="0000EE"/>
            </w:tcBorders>
            <w:gridSpan w:val="13"/>
          </w:tcPr>
          <w:p>
            <w:pPr>
              <w:spacing w:after="0" w:line="132" w:lineRule="exact"/>
              <w:rPr>
                <w:rFonts w:ascii="Times New Roman" w:cs="Times New Roman" w:eastAsia="Times New Roman" w:hAnsi="Times New Roman"/>
                <w:sz w:val="13"/>
                <w:szCs w:val="13"/>
                <w:color w:val="0000EE"/>
              </w:rPr>
            </w:pPr>
            <w:hyperlink r:id="rId271">
              <w:r>
                <w:rPr>
                  <w:rFonts w:ascii="Times New Roman" w:cs="Times New Roman" w:eastAsia="Times New Roman" w:hAnsi="Times New Roman"/>
                  <w:sz w:val="13"/>
                  <w:szCs w:val="13"/>
                  <w:color w:val="0000EE"/>
                </w:rPr>
                <w:t>Trust, Inc. and Digital Realty Trust, L.P. (File Nos. 001-32336 and 000-54023) filed on February 28, 2014).</w:t>
              </w:r>
            </w:hyperlink>
          </w:p>
        </w:tc>
        <w:tc>
          <w:tcPr>
            <w:tcW w:w="240" w:type="dxa"/>
            <w:vAlign w:val="bottom"/>
            <w:gridSpan w:val="5"/>
          </w:tcPr>
          <w:p>
            <w:pPr>
              <w:spacing w:after="0"/>
              <w:rPr>
                <w:sz w:val="11"/>
                <w:szCs w:val="11"/>
                <w:color w:val="auto"/>
              </w:rPr>
            </w:pPr>
          </w:p>
        </w:tc>
      </w:tr>
      <w:tr>
        <w:trPr>
          <w:trHeight w:val="20"/>
        </w:trPr>
        <w:tc>
          <w:tcPr>
            <w:tcW w:w="740" w:type="dxa"/>
            <w:vAlign w:val="bottom"/>
          </w:tcPr>
          <w:p>
            <w:pPr>
              <w:spacing w:after="0" w:line="20" w:lineRule="exact"/>
              <w:rPr>
                <w:sz w:val="1"/>
                <w:szCs w:val="1"/>
                <w:color w:val="auto"/>
              </w:rPr>
            </w:pPr>
          </w:p>
        </w:tc>
        <w:tc>
          <w:tcPr>
            <w:tcW w:w="544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10.20†</w:t>
            </w:r>
          </w:p>
        </w:tc>
        <w:tc>
          <w:tcPr>
            <w:tcW w:w="7940" w:type="dxa"/>
            <w:vAlign w:val="bottom"/>
            <w:tcBorders>
              <w:bottom w:val="single" w:sz="8" w:color="0000EE"/>
            </w:tcBorders>
            <w:gridSpan w:val="12"/>
          </w:tcPr>
          <w:p>
            <w:pPr>
              <w:spacing w:after="0"/>
              <w:rPr>
                <w:rFonts w:ascii="Times New Roman" w:cs="Times New Roman" w:eastAsia="Times New Roman" w:hAnsi="Times New Roman"/>
                <w:sz w:val="13"/>
                <w:szCs w:val="13"/>
                <w:color w:val="0000EE"/>
                <w:w w:val="96"/>
              </w:rPr>
            </w:pPr>
            <w:hyperlink r:id="rId272">
              <w:r>
                <w:rPr>
                  <w:rFonts w:ascii="Times New Roman" w:cs="Times New Roman" w:eastAsia="Times New Roman" w:hAnsi="Times New Roman"/>
                  <w:sz w:val="13"/>
                  <w:szCs w:val="13"/>
                  <w:color w:val="0000EE"/>
                  <w:w w:val="96"/>
                </w:rPr>
                <w:t>Form of Performance-Based Restricted Stock Unit Agreement (incorporated by reference to Exhibit 10.35 to the Combined Annual Report on Form 10-K of</w:t>
              </w:r>
            </w:hyperlink>
          </w:p>
        </w:tc>
        <w:tc>
          <w:tcPr>
            <w:tcW w:w="280" w:type="dxa"/>
            <w:vAlign w:val="bottom"/>
            <w:gridSpan w:val="6"/>
          </w:tcPr>
          <w:p>
            <w:pPr>
              <w:spacing w:after="0"/>
              <w:rPr>
                <w:sz w:val="24"/>
                <w:szCs w:val="24"/>
                <w:color w:val="auto"/>
              </w:rPr>
            </w:pPr>
          </w:p>
        </w:tc>
      </w:tr>
      <w:tr>
        <w:trPr>
          <w:trHeight w:val="132"/>
        </w:trPr>
        <w:tc>
          <w:tcPr>
            <w:tcW w:w="740" w:type="dxa"/>
            <w:vAlign w:val="bottom"/>
          </w:tcPr>
          <w:p>
            <w:pPr>
              <w:spacing w:after="0"/>
              <w:rPr>
                <w:sz w:val="11"/>
                <w:szCs w:val="11"/>
                <w:color w:val="auto"/>
              </w:rPr>
            </w:pPr>
          </w:p>
        </w:tc>
        <w:tc>
          <w:tcPr>
            <w:tcW w:w="8220" w:type="dxa"/>
            <w:vAlign w:val="bottom"/>
            <w:gridSpan w:val="18"/>
          </w:tcPr>
          <w:p>
            <w:pPr>
              <w:spacing w:after="0" w:line="132" w:lineRule="exact"/>
              <w:rPr>
                <w:rFonts w:ascii="Times New Roman" w:cs="Times New Roman" w:eastAsia="Times New Roman" w:hAnsi="Times New Roman"/>
                <w:sz w:val="13"/>
                <w:szCs w:val="13"/>
                <w:color w:val="0000EE"/>
              </w:rPr>
            </w:pPr>
            <w:hyperlink r:id="rId272">
              <w:r>
                <w:rPr>
                  <w:rFonts w:ascii="Times New Roman" w:cs="Times New Roman" w:eastAsia="Times New Roman" w:hAnsi="Times New Roman"/>
                  <w:sz w:val="13"/>
                  <w:szCs w:val="13"/>
                  <w:color w:val="0000EE"/>
                </w:rPr>
                <w:t>Digital Realty Trust, Inc. and Digital Realty Trust, L.P. (File Nos. 001-32336 and 000-54023) filed on February 28, 2014).</w:t>
              </w:r>
            </w:hyperlink>
          </w:p>
        </w:tc>
      </w:tr>
      <w:tr>
        <w:trPr>
          <w:trHeight w:val="20"/>
        </w:trPr>
        <w:tc>
          <w:tcPr>
            <w:tcW w:w="740" w:type="dxa"/>
            <w:vAlign w:val="bottom"/>
          </w:tcPr>
          <w:p>
            <w:pPr>
              <w:spacing w:after="0" w:line="20" w:lineRule="exact"/>
              <w:rPr>
                <w:sz w:val="1"/>
                <w:szCs w:val="1"/>
                <w:color w:val="auto"/>
              </w:rPr>
            </w:pPr>
          </w:p>
        </w:tc>
        <w:tc>
          <w:tcPr>
            <w:tcW w:w="5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10.21†</w:t>
            </w:r>
          </w:p>
        </w:tc>
        <w:tc>
          <w:tcPr>
            <w:tcW w:w="8220" w:type="dxa"/>
            <w:vAlign w:val="bottom"/>
            <w:gridSpan w:val="18"/>
          </w:tcPr>
          <w:p>
            <w:pPr>
              <w:spacing w:after="0"/>
              <w:rPr>
                <w:rFonts w:ascii="Times New Roman" w:cs="Times New Roman" w:eastAsia="Times New Roman" w:hAnsi="Times New Roman"/>
                <w:sz w:val="13"/>
                <w:szCs w:val="13"/>
                <w:color w:val="0000EE"/>
              </w:rPr>
            </w:pPr>
            <w:hyperlink r:id="rId273">
              <w:r>
                <w:rPr>
                  <w:rFonts w:ascii="Times New Roman" w:cs="Times New Roman" w:eastAsia="Times New Roman" w:hAnsi="Times New Roman"/>
                  <w:sz w:val="13"/>
                  <w:szCs w:val="13"/>
                  <w:color w:val="0000EE"/>
                </w:rPr>
                <w:t>Form of Time-Based Restricted Stock Unit Agreement (incorporated by reference to Exhibit 10.36 to the Combined Annual Report on Form 10-K of Digital</w:t>
              </w:r>
            </w:hyperlink>
          </w:p>
        </w:tc>
      </w:tr>
      <w:tr>
        <w:trPr>
          <w:trHeight w:val="132"/>
        </w:trPr>
        <w:tc>
          <w:tcPr>
            <w:tcW w:w="740" w:type="dxa"/>
            <w:vAlign w:val="bottom"/>
          </w:tcPr>
          <w:p>
            <w:pPr>
              <w:spacing w:after="0"/>
              <w:rPr>
                <w:sz w:val="11"/>
                <w:szCs w:val="11"/>
                <w:color w:val="auto"/>
              </w:rPr>
            </w:pPr>
          </w:p>
        </w:tc>
        <w:tc>
          <w:tcPr>
            <w:tcW w:w="7920" w:type="dxa"/>
            <w:vAlign w:val="bottom"/>
            <w:tcBorders>
              <w:top w:val="single" w:sz="8" w:color="0000EE"/>
            </w:tcBorders>
            <w:gridSpan w:val="11"/>
          </w:tcPr>
          <w:p>
            <w:pPr>
              <w:spacing w:after="0" w:line="132" w:lineRule="exact"/>
              <w:rPr>
                <w:rFonts w:ascii="Times New Roman" w:cs="Times New Roman" w:eastAsia="Times New Roman" w:hAnsi="Times New Roman"/>
                <w:sz w:val="13"/>
                <w:szCs w:val="13"/>
                <w:color w:val="0000EE"/>
              </w:rPr>
            </w:pPr>
            <w:hyperlink r:id="rId273">
              <w:r>
                <w:rPr>
                  <w:rFonts w:ascii="Times New Roman" w:cs="Times New Roman" w:eastAsia="Times New Roman" w:hAnsi="Times New Roman"/>
                  <w:sz w:val="13"/>
                  <w:szCs w:val="13"/>
                  <w:color w:val="0000EE"/>
                </w:rPr>
                <w:t>Realty Trust, Inc. and Digital Realty Trust, L.P. (File Nos. 001-32336 and 000-54023) filed on February 28, 2014).</w:t>
              </w:r>
            </w:hyperlink>
          </w:p>
        </w:tc>
        <w:tc>
          <w:tcPr>
            <w:tcW w:w="300" w:type="dxa"/>
            <w:vAlign w:val="bottom"/>
            <w:gridSpan w:val="7"/>
          </w:tcPr>
          <w:p>
            <w:pPr>
              <w:spacing w:after="0"/>
              <w:rPr>
                <w:sz w:val="11"/>
                <w:szCs w:val="11"/>
                <w:color w:val="auto"/>
              </w:rPr>
            </w:pPr>
          </w:p>
        </w:tc>
      </w:tr>
      <w:tr>
        <w:trPr>
          <w:trHeight w:val="616"/>
        </w:trPr>
        <w:tc>
          <w:tcPr>
            <w:tcW w:w="740" w:type="dxa"/>
            <w:vAlign w:val="bottom"/>
          </w:tcPr>
          <w:p>
            <w:pPr>
              <w:spacing w:after="0"/>
              <w:rPr>
                <w:sz w:val="24"/>
                <w:szCs w:val="24"/>
                <w:color w:val="auto"/>
              </w:rPr>
            </w:pPr>
          </w:p>
        </w:tc>
        <w:tc>
          <w:tcPr>
            <w:tcW w:w="4680" w:type="dxa"/>
            <w:vAlign w:val="bottom"/>
            <w:tcBorders>
              <w:top w:val="single" w:sz="8" w:color="0000EE"/>
            </w:tcBorders>
            <w:gridSpan w:val="2"/>
          </w:tcPr>
          <w:p>
            <w:pPr>
              <w:ind w:left="3640"/>
              <w:spacing w:after="0"/>
              <w:rPr>
                <w:sz w:val="20"/>
                <w:szCs w:val="20"/>
                <w:color w:val="auto"/>
              </w:rPr>
            </w:pPr>
            <w:r>
              <w:rPr>
                <w:rFonts w:ascii="Times New Roman" w:cs="Times New Roman" w:eastAsia="Times New Roman" w:hAnsi="Times New Roman"/>
                <w:sz w:val="13"/>
                <w:szCs w:val="13"/>
                <w:color w:val="auto"/>
              </w:rPr>
              <w:t>196</w:t>
            </w:r>
          </w:p>
        </w:tc>
        <w:tc>
          <w:tcPr>
            <w:tcW w:w="4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0"/>
        </w:trPr>
        <w:tc>
          <w:tcPr>
            <w:tcW w:w="7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201" w:name="page202"/>
    <w:bookmarkEnd w:id="201"/>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54" w:lineRule="exact"/>
        <w:rPr>
          <w:sz w:val="20"/>
          <w:szCs w:val="20"/>
          <w:color w:val="auto"/>
        </w:rPr>
      </w:pPr>
    </w:p>
    <w:p>
      <w:pPr>
        <w:ind w:left="760" w:right="59" w:hanging="739"/>
        <w:spacing w:after="0" w:line="268"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10.22†</w:t>
      </w:r>
      <w:r>
        <w:rPr>
          <w:sz w:val="20"/>
          <w:szCs w:val="20"/>
          <w:color w:val="auto"/>
        </w:rPr>
        <w:tab/>
      </w:r>
      <w:hyperlink r:id="rId274">
        <w:r>
          <w:rPr>
            <w:rFonts w:ascii="Times New Roman" w:cs="Times New Roman" w:eastAsia="Times New Roman" w:hAnsi="Times New Roman"/>
            <w:sz w:val="13"/>
            <w:szCs w:val="13"/>
            <w:u w:val="single" w:color="auto"/>
            <w:color w:val="0000EE"/>
          </w:rPr>
          <w:t>Form of Time-Based Profits Interest Unit Agreement (incorporated by reference to Exhibit 10.23 to the Combined Annual Report on Form 10-K of Digital Realty</w:t>
        </w:r>
      </w:hyperlink>
      <w:r>
        <w:rPr>
          <w:rFonts w:ascii="Times New Roman" w:cs="Times New Roman" w:eastAsia="Times New Roman" w:hAnsi="Times New Roman"/>
          <w:sz w:val="13"/>
          <w:szCs w:val="13"/>
          <w:u w:val="single" w:color="auto"/>
          <w:color w:val="0000EE"/>
        </w:rPr>
        <w:t xml:space="preserve"> </w:t>
      </w:r>
      <w:hyperlink r:id="rId274">
        <w:r>
          <w:rPr>
            <w:rFonts w:ascii="Times New Roman" w:cs="Times New Roman" w:eastAsia="Times New Roman" w:hAnsi="Times New Roman"/>
            <w:sz w:val="13"/>
            <w:szCs w:val="13"/>
            <w:u w:val="single" w:color="auto"/>
            <w:color w:val="0000EE"/>
          </w:rPr>
          <w:t>Trust, Inc. and Digital Realty Trust, L.P. (File Nos. 001-32336 and 000-54023) filed on March 1, 2017).</w:t>
        </w:r>
      </w:hyperlink>
    </w:p>
    <w:p>
      <w:pPr>
        <w:spacing w:after="0" w:line="122" w:lineRule="exact"/>
        <w:rPr>
          <w:sz w:val="20"/>
          <w:szCs w:val="20"/>
          <w:color w:val="auto"/>
        </w:rPr>
      </w:pPr>
    </w:p>
    <w:p>
      <w:pPr>
        <w:ind w:left="760" w:right="259" w:hanging="739"/>
        <w:spacing w:after="0" w:line="268"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10.23†</w:t>
      </w:r>
      <w:r>
        <w:rPr>
          <w:sz w:val="20"/>
          <w:szCs w:val="20"/>
          <w:color w:val="auto"/>
        </w:rPr>
        <w:tab/>
      </w:r>
      <w:hyperlink r:id="rId275">
        <w:r>
          <w:rPr>
            <w:rFonts w:ascii="Times New Roman" w:cs="Times New Roman" w:eastAsia="Times New Roman" w:hAnsi="Times New Roman"/>
            <w:sz w:val="13"/>
            <w:szCs w:val="13"/>
            <w:u w:val="single" w:color="auto"/>
            <w:color w:val="0000EE"/>
          </w:rPr>
          <w:t>Form of Executive Time-Based Profits Interest Unit Agreement (incorporated by reference to Exhibit 10.27 to the Combined Annual Report on Form 10-K of</w:t>
        </w:r>
      </w:hyperlink>
      <w:r>
        <w:rPr>
          <w:rFonts w:ascii="Times New Roman" w:cs="Times New Roman" w:eastAsia="Times New Roman" w:hAnsi="Times New Roman"/>
          <w:sz w:val="13"/>
          <w:szCs w:val="13"/>
          <w:u w:val="single" w:color="auto"/>
          <w:color w:val="0000EE"/>
        </w:rPr>
        <w:t xml:space="preserve"> </w:t>
      </w:r>
      <w:hyperlink r:id="rId275">
        <w:r>
          <w:rPr>
            <w:rFonts w:ascii="Times New Roman" w:cs="Times New Roman" w:eastAsia="Times New Roman" w:hAnsi="Times New Roman"/>
            <w:sz w:val="13"/>
            <w:szCs w:val="13"/>
            <w:u w:val="single" w:color="auto"/>
            <w:color w:val="0000EE"/>
          </w:rPr>
          <w:t>Digital Realty Trust, Inc. and Digital Realty Trust, L.P. (File Nos. 001-32336 and 000-54023) filed on March 1, 2018).</w:t>
        </w:r>
      </w:hyperlink>
    </w:p>
    <w:p>
      <w:pPr>
        <w:spacing w:after="0" w:line="122" w:lineRule="exact"/>
        <w:rPr>
          <w:sz w:val="20"/>
          <w:szCs w:val="20"/>
          <w:color w:val="auto"/>
        </w:rPr>
      </w:pPr>
    </w:p>
    <w:p>
      <w:pPr>
        <w:ind w:left="760" w:right="279" w:hanging="739"/>
        <w:spacing w:after="0" w:line="268"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10.24†</w:t>
      </w:r>
      <w:r>
        <w:rPr>
          <w:sz w:val="20"/>
          <w:szCs w:val="20"/>
          <w:color w:val="auto"/>
        </w:rPr>
        <w:tab/>
      </w:r>
      <w:hyperlink r:id="rId276">
        <w:r>
          <w:rPr>
            <w:rFonts w:ascii="Times New Roman" w:cs="Times New Roman" w:eastAsia="Times New Roman" w:hAnsi="Times New Roman"/>
            <w:sz w:val="13"/>
            <w:szCs w:val="13"/>
            <w:u w:val="single" w:color="auto"/>
            <w:color w:val="0000EE"/>
          </w:rPr>
          <w:t>Form of Class D Profits Interest Unit Agreement (incorporated by reference to Exhibit 10.30 to the Combined Annual Report on Form 10-K of Digital Realty</w:t>
        </w:r>
      </w:hyperlink>
      <w:r>
        <w:rPr>
          <w:rFonts w:ascii="Times New Roman" w:cs="Times New Roman" w:eastAsia="Times New Roman" w:hAnsi="Times New Roman"/>
          <w:sz w:val="13"/>
          <w:szCs w:val="13"/>
          <w:u w:val="single" w:color="auto"/>
          <w:color w:val="0000EE"/>
        </w:rPr>
        <w:t xml:space="preserve"> </w:t>
      </w:r>
      <w:hyperlink r:id="rId276">
        <w:r>
          <w:rPr>
            <w:rFonts w:ascii="Times New Roman" w:cs="Times New Roman" w:eastAsia="Times New Roman" w:hAnsi="Times New Roman"/>
            <w:sz w:val="13"/>
            <w:szCs w:val="13"/>
            <w:u w:val="single" w:color="auto"/>
            <w:color w:val="0000EE"/>
          </w:rPr>
          <w:t>Trust, Inc. and Digital Realty Trust, L.P. (File Nos. 001-32336 and 000-54023) filed on February 25, 2019).</w:t>
        </w:r>
      </w:hyperlink>
    </w:p>
    <w:p>
      <w:pPr>
        <w:spacing w:after="0" w:line="122" w:lineRule="exact"/>
        <w:rPr>
          <w:sz w:val="20"/>
          <w:szCs w:val="20"/>
          <w:color w:val="auto"/>
        </w:rPr>
      </w:pPr>
    </w:p>
    <w:p>
      <w:pPr>
        <w:ind w:left="760" w:right="319" w:hanging="739"/>
        <w:spacing w:after="0" w:line="268"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10.25†</w:t>
      </w:r>
      <w:r>
        <w:rPr>
          <w:sz w:val="20"/>
          <w:szCs w:val="20"/>
          <w:color w:val="auto"/>
        </w:rPr>
        <w:tab/>
      </w:r>
      <w:hyperlink r:id="rId277">
        <w:r>
          <w:rPr>
            <w:rFonts w:ascii="Times New Roman" w:cs="Times New Roman" w:eastAsia="Times New Roman" w:hAnsi="Times New Roman"/>
            <w:sz w:val="13"/>
            <w:szCs w:val="13"/>
            <w:u w:val="single" w:color="auto"/>
            <w:color w:val="0000EE"/>
          </w:rPr>
          <w:t>Executive Time-Based Profits Interest Unit Agreement (incorporated by reference to Exhibit 10.31 to the Combined Annual Report on Form 10-K of Digital</w:t>
        </w:r>
      </w:hyperlink>
      <w:r>
        <w:rPr>
          <w:rFonts w:ascii="Times New Roman" w:cs="Times New Roman" w:eastAsia="Times New Roman" w:hAnsi="Times New Roman"/>
          <w:sz w:val="13"/>
          <w:szCs w:val="13"/>
          <w:u w:val="single" w:color="auto"/>
          <w:color w:val="0000EE"/>
        </w:rPr>
        <w:t xml:space="preserve"> </w:t>
      </w:r>
      <w:hyperlink r:id="rId277">
        <w:r>
          <w:rPr>
            <w:rFonts w:ascii="Times New Roman" w:cs="Times New Roman" w:eastAsia="Times New Roman" w:hAnsi="Times New Roman"/>
            <w:sz w:val="13"/>
            <w:szCs w:val="13"/>
            <w:u w:val="single" w:color="auto"/>
            <w:color w:val="0000EE"/>
          </w:rPr>
          <w:t>Realty Trust, Inc. and Digital Realty Trust, L.P. (File Nos. 001-32336 and 000-54023) filed on February 25, 2019).</w:t>
        </w:r>
      </w:hyperlink>
    </w:p>
    <w:p>
      <w:pPr>
        <w:spacing w:after="0" w:line="122" w:lineRule="exact"/>
        <w:rPr>
          <w:sz w:val="20"/>
          <w:szCs w:val="20"/>
          <w:color w:val="auto"/>
        </w:rPr>
      </w:pPr>
    </w:p>
    <w:p>
      <w:pPr>
        <w:ind w:left="760" w:right="399" w:hanging="739"/>
        <w:spacing w:after="0" w:line="268"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10.26†</w:t>
      </w:r>
      <w:r>
        <w:rPr>
          <w:sz w:val="20"/>
          <w:szCs w:val="20"/>
          <w:color w:val="auto"/>
        </w:rPr>
        <w:tab/>
      </w:r>
      <w:hyperlink r:id="rId278">
        <w:r>
          <w:rPr>
            <w:rFonts w:ascii="Times New Roman" w:cs="Times New Roman" w:eastAsia="Times New Roman" w:hAnsi="Times New Roman"/>
            <w:sz w:val="13"/>
            <w:szCs w:val="13"/>
            <w:u w:val="single" w:color="auto"/>
            <w:color w:val="0000EE"/>
          </w:rPr>
          <w:t>Management Election Program (incorporated by reference to Exhibit 10.32 to the Combined Annual Report on Form 10-K of Digital Realty Trust, Inc. and</w:t>
        </w:r>
      </w:hyperlink>
      <w:r>
        <w:rPr>
          <w:rFonts w:ascii="Times New Roman" w:cs="Times New Roman" w:eastAsia="Times New Roman" w:hAnsi="Times New Roman"/>
          <w:sz w:val="13"/>
          <w:szCs w:val="13"/>
          <w:u w:val="single" w:color="auto"/>
          <w:color w:val="0000EE"/>
        </w:rPr>
        <w:t xml:space="preserve"> </w:t>
      </w:r>
      <w:hyperlink r:id="rId278">
        <w:r>
          <w:rPr>
            <w:rFonts w:ascii="Times New Roman" w:cs="Times New Roman" w:eastAsia="Times New Roman" w:hAnsi="Times New Roman"/>
            <w:sz w:val="13"/>
            <w:szCs w:val="13"/>
            <w:u w:val="single" w:color="auto"/>
            <w:color w:val="0000EE"/>
          </w:rPr>
          <w:t>Digital Realty Trust, L.P. (File Nos. 001-32336 and 000-54023) filed on February 25, 2019).</w:t>
        </w:r>
      </w:hyperlink>
    </w:p>
    <w:p>
      <w:pPr>
        <w:spacing w:after="0" w:line="122" w:lineRule="exact"/>
        <w:rPr>
          <w:sz w:val="20"/>
          <w:szCs w:val="20"/>
          <w:color w:val="auto"/>
        </w:rPr>
      </w:pPr>
    </w:p>
    <w:p>
      <w:pPr>
        <w:ind w:left="760" w:right="339" w:hanging="739"/>
        <w:spacing w:after="0" w:line="256"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10.27†</w:t>
      </w:r>
      <w:r>
        <w:rPr>
          <w:sz w:val="20"/>
          <w:szCs w:val="20"/>
          <w:color w:val="auto"/>
        </w:rPr>
        <w:tab/>
      </w:r>
      <w:hyperlink r:id="rId279">
        <w:r>
          <w:rPr>
            <w:rFonts w:ascii="Times New Roman" w:cs="Times New Roman" w:eastAsia="Times New Roman" w:hAnsi="Times New Roman"/>
            <w:sz w:val="13"/>
            <w:szCs w:val="13"/>
            <w:u w:val="single" w:color="auto"/>
            <w:color w:val="0000EE"/>
          </w:rPr>
          <w:t>Digital Realty Trust, Inc., Digital Services, Inc. and Digital Realty Trust, L.P. 2014 Incentive Award Plan (incorporated by reference to Exhibit 10.1 to the</w:t>
        </w:r>
      </w:hyperlink>
      <w:r>
        <w:rPr>
          <w:rFonts w:ascii="Times New Roman" w:cs="Times New Roman" w:eastAsia="Times New Roman" w:hAnsi="Times New Roman"/>
          <w:sz w:val="13"/>
          <w:szCs w:val="13"/>
          <w:u w:val="single" w:color="auto"/>
          <w:color w:val="0000EE"/>
        </w:rPr>
        <w:t xml:space="preserve"> </w:t>
      </w:r>
      <w:hyperlink r:id="rId279">
        <w:r>
          <w:rPr>
            <w:rFonts w:ascii="Times New Roman" w:cs="Times New Roman" w:eastAsia="Times New Roman" w:hAnsi="Times New Roman"/>
            <w:sz w:val="13"/>
            <w:szCs w:val="13"/>
            <w:u w:val="single" w:color="auto"/>
            <w:color w:val="0000EE"/>
          </w:rPr>
          <w:t>Combined Current Report on Form 10-Q of Digital Realty Trust, Inc. and Digital Realty Trust, L.P. (File Nos. 001-32336 and 000-54023) filed on August 7,</w:t>
        </w:r>
      </w:hyperlink>
      <w:r>
        <w:rPr>
          <w:rFonts w:ascii="Times New Roman" w:cs="Times New Roman" w:eastAsia="Times New Roman" w:hAnsi="Times New Roman"/>
          <w:sz w:val="13"/>
          <w:szCs w:val="13"/>
          <w:u w:val="single" w:color="auto"/>
          <w:color w:val="0000EE"/>
        </w:rPr>
        <w:t xml:space="preserve"> </w:t>
      </w:r>
      <w:hyperlink r:id="rId279">
        <w:r>
          <w:rPr>
            <w:rFonts w:ascii="Times New Roman" w:cs="Times New Roman" w:eastAsia="Times New Roman" w:hAnsi="Times New Roman"/>
            <w:sz w:val="13"/>
            <w:szCs w:val="13"/>
            <w:u w:val="single" w:color="auto"/>
            <w:color w:val="0000EE"/>
          </w:rPr>
          <w:t>2014).</w:t>
        </w:r>
      </w:hyperlink>
    </w:p>
    <w:p>
      <w:pPr>
        <w:spacing w:after="0" w:line="129" w:lineRule="exact"/>
        <w:rPr>
          <w:rFonts w:ascii="Times New Roman" w:cs="Times New Roman" w:eastAsia="Times New Roman" w:hAnsi="Times New Roman"/>
          <w:sz w:val="13"/>
          <w:szCs w:val="13"/>
          <w:u w:val="single" w:color="auto"/>
          <w:color w:val="0000EE"/>
        </w:rPr>
      </w:pPr>
    </w:p>
    <w:p>
      <w:pPr>
        <w:ind w:left="760" w:right="219" w:hanging="739"/>
        <w:spacing w:after="0" w:line="256"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10.28†</w:t>
      </w:r>
      <w:r>
        <w:rPr>
          <w:sz w:val="20"/>
          <w:szCs w:val="20"/>
          <w:color w:val="auto"/>
        </w:rPr>
        <w:tab/>
      </w:r>
      <w:hyperlink r:id="rId280">
        <w:r>
          <w:rPr>
            <w:rFonts w:ascii="Times New Roman" w:cs="Times New Roman" w:eastAsia="Times New Roman" w:hAnsi="Times New Roman"/>
            <w:sz w:val="13"/>
            <w:szCs w:val="13"/>
            <w:u w:val="single" w:color="auto"/>
            <w:color w:val="0000EE"/>
          </w:rPr>
          <w:t>First Amendment to Digital Realty Trust, Inc., Digital Services, Inc. and Digital Realty Trust, L.P. 2014 Incentive Award Plan. (incorporated by reference to</w:t>
        </w:r>
      </w:hyperlink>
      <w:r>
        <w:rPr>
          <w:rFonts w:ascii="Times New Roman" w:cs="Times New Roman" w:eastAsia="Times New Roman" w:hAnsi="Times New Roman"/>
          <w:sz w:val="13"/>
          <w:szCs w:val="13"/>
          <w:u w:val="single" w:color="auto"/>
          <w:color w:val="0000EE"/>
        </w:rPr>
        <w:t xml:space="preserve"> </w:t>
      </w:r>
      <w:hyperlink r:id="rId280">
        <w:r>
          <w:rPr>
            <w:rFonts w:ascii="Times New Roman" w:cs="Times New Roman" w:eastAsia="Times New Roman" w:hAnsi="Times New Roman"/>
            <w:sz w:val="13"/>
            <w:szCs w:val="13"/>
            <w:u w:val="single" w:color="auto"/>
            <w:color w:val="0000EE"/>
          </w:rPr>
          <w:t>Exhibit 10.1 to the Combined Quarterly Report on Form 10-Q of Digital Realty Trust, Inc. and Digital Realty Trust, L.P. (File Nos. 001-32336 and 000-54023)</w:t>
        </w:r>
      </w:hyperlink>
      <w:r>
        <w:rPr>
          <w:rFonts w:ascii="Times New Roman" w:cs="Times New Roman" w:eastAsia="Times New Roman" w:hAnsi="Times New Roman"/>
          <w:sz w:val="13"/>
          <w:szCs w:val="13"/>
          <w:u w:val="single" w:color="auto"/>
          <w:color w:val="0000EE"/>
        </w:rPr>
        <w:t xml:space="preserve"> </w:t>
      </w:r>
      <w:hyperlink r:id="rId280">
        <w:r>
          <w:rPr>
            <w:rFonts w:ascii="Times New Roman" w:cs="Times New Roman" w:eastAsia="Times New Roman" w:hAnsi="Times New Roman"/>
            <w:sz w:val="13"/>
            <w:szCs w:val="13"/>
            <w:u w:val="single" w:color="auto"/>
            <w:color w:val="0000EE"/>
          </w:rPr>
          <w:t>filed on November 7, 2014).</w:t>
        </w:r>
      </w:hyperlink>
    </w:p>
    <w:p>
      <w:pPr>
        <w:spacing w:after="0" w:line="129" w:lineRule="exact"/>
        <w:rPr>
          <w:rFonts w:ascii="Times New Roman" w:cs="Times New Roman" w:eastAsia="Times New Roman" w:hAnsi="Times New Roman"/>
          <w:sz w:val="13"/>
          <w:szCs w:val="13"/>
          <w:u w:val="single" w:color="auto"/>
          <w:color w:val="0000EE"/>
        </w:rPr>
      </w:pPr>
    </w:p>
    <w:p>
      <w:pPr>
        <w:jc w:val="both"/>
        <w:ind w:left="760" w:right="239" w:hanging="739"/>
        <w:spacing w:after="0" w:line="256"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10.29†</w:t>
      </w:r>
      <w:r>
        <w:rPr>
          <w:sz w:val="20"/>
          <w:szCs w:val="20"/>
          <w:color w:val="auto"/>
        </w:rPr>
        <w:tab/>
      </w:r>
      <w:hyperlink r:id="rId281">
        <w:r>
          <w:rPr>
            <w:rFonts w:ascii="Times New Roman" w:cs="Times New Roman" w:eastAsia="Times New Roman" w:hAnsi="Times New Roman"/>
            <w:sz w:val="13"/>
            <w:szCs w:val="13"/>
            <w:u w:val="single" w:color="auto"/>
            <w:color w:val="0000EE"/>
          </w:rPr>
          <w:t>Second Amendment to Digital Realty Trust, Inc., Digital Services, Inc. and Digital Realty Trust, L.P. 2014 Incentive Award Plan (incorporated by reference to</w:t>
        </w:r>
      </w:hyperlink>
      <w:r>
        <w:rPr>
          <w:rFonts w:ascii="Times New Roman" w:cs="Times New Roman" w:eastAsia="Times New Roman" w:hAnsi="Times New Roman"/>
          <w:sz w:val="13"/>
          <w:szCs w:val="13"/>
          <w:u w:val="single" w:color="auto"/>
          <w:color w:val="0000EE"/>
        </w:rPr>
        <w:t xml:space="preserve"> </w:t>
      </w:r>
      <w:hyperlink r:id="rId281">
        <w:r>
          <w:rPr>
            <w:rFonts w:ascii="Times New Roman" w:cs="Times New Roman" w:eastAsia="Times New Roman" w:hAnsi="Times New Roman"/>
            <w:sz w:val="13"/>
            <w:szCs w:val="13"/>
            <w:u w:val="single" w:color="auto"/>
            <w:color w:val="0000EE"/>
          </w:rPr>
          <w:t>Exhibit 10.44 to the Combined Annual Report on Form 10-K of Digital Realty Trust, Inc. and Digital Realty Trust, L.P. (File Nos. 001-32336 and 000-54023)</w:t>
        </w:r>
      </w:hyperlink>
      <w:r>
        <w:rPr>
          <w:rFonts w:ascii="Times New Roman" w:cs="Times New Roman" w:eastAsia="Times New Roman" w:hAnsi="Times New Roman"/>
          <w:sz w:val="13"/>
          <w:szCs w:val="13"/>
          <w:u w:val="single" w:color="auto"/>
          <w:color w:val="0000EE"/>
        </w:rPr>
        <w:t xml:space="preserve"> </w:t>
      </w:r>
      <w:hyperlink r:id="rId281">
        <w:r>
          <w:rPr>
            <w:rFonts w:ascii="Times New Roman" w:cs="Times New Roman" w:eastAsia="Times New Roman" w:hAnsi="Times New Roman"/>
            <w:sz w:val="13"/>
            <w:szCs w:val="13"/>
            <w:u w:val="single" w:color="auto"/>
            <w:color w:val="0000EE"/>
          </w:rPr>
          <w:t>filed on March 2, 2015).</w:t>
        </w:r>
      </w:hyperlink>
    </w:p>
    <w:p>
      <w:pPr>
        <w:spacing w:after="0" w:line="129" w:lineRule="exact"/>
        <w:rPr>
          <w:rFonts w:ascii="Times New Roman" w:cs="Times New Roman" w:eastAsia="Times New Roman" w:hAnsi="Times New Roman"/>
          <w:sz w:val="13"/>
          <w:szCs w:val="13"/>
          <w:u w:val="single" w:color="auto"/>
          <w:color w:val="0000EE"/>
        </w:rPr>
      </w:pPr>
    </w:p>
    <w:p>
      <w:pPr>
        <w:ind w:left="760" w:right="339" w:hanging="739"/>
        <w:spacing w:after="0" w:line="310" w:lineRule="auto"/>
        <w:tabs>
          <w:tab w:leader="none" w:pos="74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3"/>
          <w:szCs w:val="13"/>
          <w:color w:val="auto"/>
        </w:rPr>
        <w:t>10.30†</w:t>
      </w:r>
      <w:r>
        <w:rPr>
          <w:sz w:val="20"/>
          <w:szCs w:val="20"/>
          <w:color w:val="auto"/>
        </w:rPr>
        <w:tab/>
      </w:r>
      <w:hyperlink r:id="rId282">
        <w:r>
          <w:rPr>
            <w:rFonts w:ascii="Times New Roman" w:cs="Times New Roman" w:eastAsia="Times New Roman" w:hAnsi="Times New Roman"/>
            <w:sz w:val="12"/>
            <w:szCs w:val="12"/>
            <w:u w:val="single" w:color="auto"/>
            <w:color w:val="0000EE"/>
          </w:rPr>
          <w:t>Third Amendment to Digital Realty Trust, Inc., Digital Services, Inc. and Digital Realty Trust, L.P. 2014 Incentive Award Plan (incorporated by reference to</w:t>
        </w:r>
      </w:hyperlink>
      <w:r>
        <w:rPr>
          <w:rFonts w:ascii="Times New Roman" w:cs="Times New Roman" w:eastAsia="Times New Roman" w:hAnsi="Times New Roman"/>
          <w:sz w:val="12"/>
          <w:szCs w:val="12"/>
          <w:u w:val="single" w:color="auto"/>
          <w:color w:val="0000EE"/>
        </w:rPr>
        <w:t xml:space="preserve"> </w:t>
      </w:r>
      <w:hyperlink r:id="rId282">
        <w:r>
          <w:rPr>
            <w:rFonts w:ascii="Times New Roman" w:cs="Times New Roman" w:eastAsia="Times New Roman" w:hAnsi="Times New Roman"/>
            <w:sz w:val="12"/>
            <w:szCs w:val="12"/>
            <w:u w:val="single" w:color="auto"/>
            <w:color w:val="0000EE"/>
          </w:rPr>
          <w:t>Exhibit 10.1 to the Combined Annual Report on Form 10-Q of Digital Realty Trust, Inc. and Digital Realty Trust, L.P. filed on November 9, 2016).</w:t>
        </w:r>
      </w:hyperlink>
    </w:p>
    <w:p>
      <w:pPr>
        <w:spacing w:after="0" w:line="99" w:lineRule="exact"/>
        <w:rPr>
          <w:sz w:val="20"/>
          <w:szCs w:val="20"/>
          <w:color w:val="auto"/>
        </w:rPr>
      </w:pPr>
    </w:p>
    <w:p>
      <w:pPr>
        <w:jc w:val="both"/>
        <w:ind w:left="760" w:right="99" w:hanging="739"/>
        <w:spacing w:after="0" w:line="256"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10.31†</w:t>
      </w:r>
      <w:r>
        <w:rPr>
          <w:sz w:val="20"/>
          <w:szCs w:val="20"/>
          <w:color w:val="auto"/>
        </w:rPr>
        <w:tab/>
      </w:r>
      <w:hyperlink r:id="rId283">
        <w:r>
          <w:rPr>
            <w:rFonts w:ascii="Times New Roman" w:cs="Times New Roman" w:eastAsia="Times New Roman" w:hAnsi="Times New Roman"/>
            <w:sz w:val="13"/>
            <w:szCs w:val="13"/>
            <w:u w:val="single" w:color="auto"/>
            <w:color w:val="0000EE"/>
          </w:rPr>
          <w:t>Fourth Amendment to the Digital Realty Trust, Inc., Digital Services, Inc. and Digital Realty Trust, L.P. 2014 Incentive Award Plan (incorporated by reference to</w:t>
        </w:r>
      </w:hyperlink>
      <w:r>
        <w:rPr>
          <w:rFonts w:ascii="Times New Roman" w:cs="Times New Roman" w:eastAsia="Times New Roman" w:hAnsi="Times New Roman"/>
          <w:sz w:val="13"/>
          <w:szCs w:val="13"/>
          <w:u w:val="single" w:color="auto"/>
          <w:color w:val="0000EE"/>
        </w:rPr>
        <w:t xml:space="preserve"> </w:t>
      </w:r>
      <w:hyperlink r:id="rId283">
        <w:r>
          <w:rPr>
            <w:rFonts w:ascii="Times New Roman" w:cs="Times New Roman" w:eastAsia="Times New Roman" w:hAnsi="Times New Roman"/>
            <w:sz w:val="13"/>
            <w:szCs w:val="13"/>
            <w:u w:val="single" w:color="auto"/>
            <w:color w:val="0000EE"/>
          </w:rPr>
          <w:t>Exhibit 10.1 to the Combined Current Report on Form 8-K of Digital Realty Trust, Inc. and Digital Realty Trust, L.P. (File Nos. 001-32336 and 000-54023) filed</w:t>
        </w:r>
      </w:hyperlink>
      <w:r>
        <w:rPr>
          <w:rFonts w:ascii="Times New Roman" w:cs="Times New Roman" w:eastAsia="Times New Roman" w:hAnsi="Times New Roman"/>
          <w:sz w:val="13"/>
          <w:szCs w:val="13"/>
          <w:u w:val="single" w:color="auto"/>
          <w:color w:val="0000EE"/>
        </w:rPr>
        <w:t xml:space="preserve"> </w:t>
      </w:r>
      <w:hyperlink r:id="rId283">
        <w:r>
          <w:rPr>
            <w:rFonts w:ascii="Times New Roman" w:cs="Times New Roman" w:eastAsia="Times New Roman" w:hAnsi="Times New Roman"/>
            <w:sz w:val="13"/>
            <w:szCs w:val="13"/>
            <w:u w:val="single" w:color="auto"/>
            <w:color w:val="0000EE"/>
          </w:rPr>
          <w:t>on September 14, 2017).</w:t>
        </w:r>
      </w:hyperlink>
    </w:p>
    <w:p>
      <w:pPr>
        <w:spacing w:after="0" w:line="129" w:lineRule="exact"/>
        <w:rPr>
          <w:rFonts w:ascii="Times New Roman" w:cs="Times New Roman" w:eastAsia="Times New Roman" w:hAnsi="Times New Roman"/>
          <w:sz w:val="13"/>
          <w:szCs w:val="13"/>
          <w:u w:val="single" w:color="auto"/>
          <w:color w:val="0000EE"/>
        </w:rPr>
      </w:pPr>
    </w:p>
    <w:p>
      <w:pPr>
        <w:ind w:left="760" w:right="179" w:hanging="739"/>
        <w:spacing w:after="0" w:line="256"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10.32†</w:t>
      </w:r>
      <w:r>
        <w:rPr>
          <w:sz w:val="20"/>
          <w:szCs w:val="20"/>
          <w:color w:val="auto"/>
        </w:rPr>
        <w:tab/>
      </w:r>
      <w:hyperlink r:id="rId284">
        <w:r>
          <w:rPr>
            <w:rFonts w:ascii="Times New Roman" w:cs="Times New Roman" w:eastAsia="Times New Roman" w:hAnsi="Times New Roman"/>
            <w:sz w:val="13"/>
            <w:szCs w:val="13"/>
            <w:u w:val="single" w:color="auto"/>
            <w:color w:val="0000EE"/>
          </w:rPr>
          <w:t>Fifth Amendment to the Digital Realty Trust, Inc., Digital Services, Inc. and Digital Realty Trust, L.P. 2014 Incentive Award Plan (incorporated by reference to</w:t>
        </w:r>
      </w:hyperlink>
      <w:r>
        <w:rPr>
          <w:rFonts w:ascii="Times New Roman" w:cs="Times New Roman" w:eastAsia="Times New Roman" w:hAnsi="Times New Roman"/>
          <w:sz w:val="13"/>
          <w:szCs w:val="13"/>
          <w:u w:val="single" w:color="auto"/>
          <w:color w:val="0000EE"/>
        </w:rPr>
        <w:t xml:space="preserve"> </w:t>
      </w:r>
      <w:hyperlink r:id="rId284">
        <w:r>
          <w:rPr>
            <w:rFonts w:ascii="Times New Roman" w:cs="Times New Roman" w:eastAsia="Times New Roman" w:hAnsi="Times New Roman"/>
            <w:sz w:val="13"/>
            <w:szCs w:val="13"/>
            <w:u w:val="single" w:color="auto"/>
            <w:color w:val="0000EE"/>
          </w:rPr>
          <w:t>Exhibit 10.38 to the Combined Annual Report on Form 10-K of Digital Realty Trust, Inc. and Digital Realty Trust, L.P. (File Nos. 001-32336 and 000-54023)</w:t>
        </w:r>
      </w:hyperlink>
      <w:r>
        <w:rPr>
          <w:rFonts w:ascii="Times New Roman" w:cs="Times New Roman" w:eastAsia="Times New Roman" w:hAnsi="Times New Roman"/>
          <w:sz w:val="13"/>
          <w:szCs w:val="13"/>
          <w:u w:val="single" w:color="auto"/>
          <w:color w:val="0000EE"/>
        </w:rPr>
        <w:t xml:space="preserve"> </w:t>
      </w:r>
      <w:hyperlink r:id="rId284">
        <w:r>
          <w:rPr>
            <w:rFonts w:ascii="Times New Roman" w:cs="Times New Roman" w:eastAsia="Times New Roman" w:hAnsi="Times New Roman"/>
            <w:sz w:val="13"/>
            <w:szCs w:val="13"/>
            <w:u w:val="single" w:color="auto"/>
            <w:color w:val="0000EE"/>
          </w:rPr>
          <w:t>filed on February 25, 2019).</w:t>
        </w:r>
      </w:hyperlink>
    </w:p>
    <w:p>
      <w:pPr>
        <w:spacing w:after="0" w:line="129" w:lineRule="exact"/>
        <w:rPr>
          <w:rFonts w:ascii="Times New Roman" w:cs="Times New Roman" w:eastAsia="Times New Roman" w:hAnsi="Times New Roman"/>
          <w:sz w:val="13"/>
          <w:szCs w:val="13"/>
          <w:u w:val="single" w:color="auto"/>
          <w:color w:val="0000EE"/>
        </w:rPr>
      </w:pPr>
    </w:p>
    <w:p>
      <w:pPr>
        <w:ind w:left="20"/>
        <w:spacing w:after="0"/>
        <w:tabs>
          <w:tab w:leader="none" w:pos="74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3"/>
          <w:szCs w:val="13"/>
          <w:color w:val="auto"/>
        </w:rPr>
        <w:t>10.33†</w:t>
      </w:r>
      <w:r>
        <w:rPr>
          <w:sz w:val="20"/>
          <w:szCs w:val="20"/>
          <w:color w:val="auto"/>
        </w:rPr>
        <w:tab/>
      </w:r>
      <w:hyperlink w:anchor="page224">
        <w:r>
          <w:rPr>
            <w:rFonts w:ascii="Times New Roman" w:cs="Times New Roman" w:eastAsia="Times New Roman" w:hAnsi="Times New Roman"/>
            <w:sz w:val="12"/>
            <w:szCs w:val="12"/>
            <w:u w:val="single" w:color="auto"/>
            <w:color w:val="0000EE"/>
          </w:rPr>
          <w:t>Sixth Amendment to the Digital Realty Trust, Inc., Digital Services, Inc. and Digital Realty Trust, L.P. 2014 Incentive Award Plan.</w:t>
        </w:r>
      </w:hyperlink>
    </w:p>
    <w:p>
      <w:pPr>
        <w:spacing w:after="0" w:line="154" w:lineRule="exact"/>
        <w:rPr>
          <w:rFonts w:ascii="Times New Roman" w:cs="Times New Roman" w:eastAsia="Times New Roman" w:hAnsi="Times New Roman"/>
          <w:sz w:val="13"/>
          <w:szCs w:val="13"/>
          <w:u w:val="single" w:color="auto"/>
          <w:color w:val="0000EE"/>
        </w:rPr>
      </w:pPr>
    </w:p>
    <w:p>
      <w:pPr>
        <w:ind w:left="760" w:right="199" w:hanging="739"/>
        <w:spacing w:after="0" w:line="268"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10.34†</w:t>
      </w:r>
      <w:r>
        <w:rPr>
          <w:sz w:val="20"/>
          <w:szCs w:val="20"/>
          <w:color w:val="auto"/>
        </w:rPr>
        <w:tab/>
      </w:r>
      <w:hyperlink r:id="rId285">
        <w:r>
          <w:rPr>
            <w:rFonts w:ascii="Times New Roman" w:cs="Times New Roman" w:eastAsia="Times New Roman" w:hAnsi="Times New Roman"/>
            <w:sz w:val="13"/>
            <w:szCs w:val="13"/>
            <w:u w:val="single" w:color="auto"/>
            <w:color w:val="0000EE"/>
          </w:rPr>
          <w:t>Employment Agreement among Digital Realty Trust, Inc., DLR LLC and A. William Stein (incorporated by reference to Exhibit 10.1 to the Combined Current</w:t>
        </w:r>
      </w:hyperlink>
      <w:r>
        <w:rPr>
          <w:rFonts w:ascii="Times New Roman" w:cs="Times New Roman" w:eastAsia="Times New Roman" w:hAnsi="Times New Roman"/>
          <w:sz w:val="13"/>
          <w:szCs w:val="13"/>
          <w:u w:val="single" w:color="auto"/>
          <w:color w:val="0000EE"/>
        </w:rPr>
        <w:t xml:space="preserve"> </w:t>
      </w:r>
      <w:hyperlink r:id="rId285">
        <w:r>
          <w:rPr>
            <w:rFonts w:ascii="Times New Roman" w:cs="Times New Roman" w:eastAsia="Times New Roman" w:hAnsi="Times New Roman"/>
            <w:sz w:val="13"/>
            <w:szCs w:val="13"/>
            <w:u w:val="single" w:color="auto"/>
            <w:color w:val="0000EE"/>
          </w:rPr>
          <w:t>Report on Form 8-K of Digital Realty Trust, Inc. and Digital Realty Trust, L.P. (File Nos. 001-32336 and 000-54023) filed on July 9, 2018).</w:t>
        </w:r>
      </w:hyperlink>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6">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02" w:name="page203"/>
    <w:bookmarkEnd w:id="202"/>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306" w:lineRule="exact"/>
        <w:rPr>
          <w:sz w:val="20"/>
          <w:szCs w:val="20"/>
          <w:color w:val="auto"/>
        </w:rPr>
      </w:pPr>
    </w:p>
    <w:p>
      <w:pPr>
        <w:ind w:left="760" w:right="279" w:hanging="739"/>
        <w:spacing w:after="0" w:line="256"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10.35†</w:t>
      </w:r>
      <w:r>
        <w:rPr>
          <w:sz w:val="20"/>
          <w:szCs w:val="20"/>
          <w:color w:val="auto"/>
        </w:rPr>
        <w:tab/>
      </w:r>
      <w:hyperlink r:id="rId287">
        <w:r>
          <w:rPr>
            <w:rFonts w:ascii="Times New Roman" w:cs="Times New Roman" w:eastAsia="Times New Roman" w:hAnsi="Times New Roman"/>
            <w:sz w:val="13"/>
            <w:szCs w:val="13"/>
            <w:u w:val="single" w:color="auto"/>
            <w:color w:val="0000EE"/>
          </w:rPr>
          <w:t>Amended and Restated Employment Agreement, dated as of June 18, 2019, by and among Digital Realty Trust, Inc., DLR, LLC and Andrew P. Power</w:t>
        </w:r>
      </w:hyperlink>
      <w:r>
        <w:rPr>
          <w:rFonts w:ascii="Times New Roman" w:cs="Times New Roman" w:eastAsia="Times New Roman" w:hAnsi="Times New Roman"/>
          <w:sz w:val="13"/>
          <w:szCs w:val="13"/>
          <w:u w:val="single" w:color="auto"/>
          <w:color w:val="0000EE"/>
        </w:rPr>
        <w:t xml:space="preserve"> </w:t>
      </w:r>
      <w:hyperlink r:id="rId287">
        <w:r>
          <w:rPr>
            <w:rFonts w:ascii="Times New Roman" w:cs="Times New Roman" w:eastAsia="Times New Roman" w:hAnsi="Times New Roman"/>
            <w:sz w:val="13"/>
            <w:szCs w:val="13"/>
            <w:u w:val="single" w:color="auto"/>
            <w:color w:val="0000EE"/>
          </w:rPr>
          <w:t>(incorporated by reference to Exhibit 10.1 to the Combined Current Report on Form 8-K of Digital Realty Trust, Inc. and Digital Realty Trust, L.P. (File Nos.</w:t>
        </w:r>
      </w:hyperlink>
      <w:r>
        <w:rPr>
          <w:rFonts w:ascii="Times New Roman" w:cs="Times New Roman" w:eastAsia="Times New Roman" w:hAnsi="Times New Roman"/>
          <w:sz w:val="13"/>
          <w:szCs w:val="13"/>
          <w:u w:val="single" w:color="auto"/>
          <w:color w:val="0000EE"/>
        </w:rPr>
        <w:t xml:space="preserve"> </w:t>
      </w:r>
      <w:hyperlink r:id="rId287">
        <w:r>
          <w:rPr>
            <w:rFonts w:ascii="Times New Roman" w:cs="Times New Roman" w:eastAsia="Times New Roman" w:hAnsi="Times New Roman"/>
            <w:sz w:val="13"/>
            <w:szCs w:val="13"/>
            <w:u w:val="single" w:color="auto"/>
            <w:color w:val="0000EE"/>
          </w:rPr>
          <w:t>001-32336 and 000-54023) filed on June 24, 2019)</w:t>
        </w:r>
      </w:hyperlink>
    </w:p>
    <w:p>
      <w:pPr>
        <w:spacing w:after="0" w:line="129" w:lineRule="exact"/>
        <w:rPr>
          <w:rFonts w:ascii="Times New Roman" w:cs="Times New Roman" w:eastAsia="Times New Roman" w:hAnsi="Times New Roman"/>
          <w:sz w:val="13"/>
          <w:szCs w:val="13"/>
          <w:u w:val="single" w:color="auto"/>
          <w:color w:val="0000EE"/>
        </w:rPr>
      </w:pPr>
    </w:p>
    <w:p>
      <w:pPr>
        <w:ind w:left="760" w:right="119" w:hanging="739"/>
        <w:spacing w:after="0" w:line="256"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10.36†</w:t>
      </w:r>
      <w:r>
        <w:rPr>
          <w:sz w:val="20"/>
          <w:szCs w:val="20"/>
          <w:color w:val="auto"/>
        </w:rPr>
        <w:tab/>
      </w:r>
      <w:hyperlink r:id="rId288">
        <w:r>
          <w:rPr>
            <w:rFonts w:ascii="Times New Roman" w:cs="Times New Roman" w:eastAsia="Times New Roman" w:hAnsi="Times New Roman"/>
            <w:sz w:val="13"/>
            <w:szCs w:val="13"/>
            <w:u w:val="single" w:color="auto"/>
            <w:color w:val="0000EE"/>
          </w:rPr>
          <w:t>Employment Agreement, dated as of November 10, 2015, by and among Digital Realty Trust, Inc., DLR, LLC and Joshua A. Mills (incorporated by reference to</w:t>
        </w:r>
      </w:hyperlink>
      <w:r>
        <w:rPr>
          <w:rFonts w:ascii="Times New Roman" w:cs="Times New Roman" w:eastAsia="Times New Roman" w:hAnsi="Times New Roman"/>
          <w:sz w:val="13"/>
          <w:szCs w:val="13"/>
          <w:u w:val="single" w:color="auto"/>
          <w:color w:val="0000EE"/>
        </w:rPr>
        <w:t xml:space="preserve"> </w:t>
      </w:r>
      <w:hyperlink r:id="rId288">
        <w:r>
          <w:rPr>
            <w:rFonts w:ascii="Times New Roman" w:cs="Times New Roman" w:eastAsia="Times New Roman" w:hAnsi="Times New Roman"/>
            <w:sz w:val="13"/>
            <w:szCs w:val="13"/>
            <w:u w:val="single" w:color="auto"/>
            <w:color w:val="0000EE"/>
          </w:rPr>
          <w:t>Exhibit 10.1 to the Combined Quarterly Report on Form 10-Q of Digital Realty Trust, Inc. and Digital Realty Trust, L.P. (File Nos. 001-32336 and 000-54023)</w:t>
        </w:r>
      </w:hyperlink>
      <w:r>
        <w:rPr>
          <w:rFonts w:ascii="Times New Roman" w:cs="Times New Roman" w:eastAsia="Times New Roman" w:hAnsi="Times New Roman"/>
          <w:sz w:val="13"/>
          <w:szCs w:val="13"/>
          <w:u w:val="single" w:color="auto"/>
          <w:color w:val="0000EE"/>
        </w:rPr>
        <w:t xml:space="preserve"> </w:t>
      </w:r>
      <w:hyperlink r:id="rId288">
        <w:r>
          <w:rPr>
            <w:rFonts w:ascii="Times New Roman" w:cs="Times New Roman" w:eastAsia="Times New Roman" w:hAnsi="Times New Roman"/>
            <w:sz w:val="13"/>
            <w:szCs w:val="13"/>
            <w:u w:val="single" w:color="auto"/>
            <w:color w:val="0000EE"/>
          </w:rPr>
          <w:t>filed on May 10, 2017).</w:t>
        </w:r>
      </w:hyperlink>
    </w:p>
    <w:p>
      <w:pPr>
        <w:spacing w:after="0" w:line="129" w:lineRule="exact"/>
        <w:rPr>
          <w:rFonts w:ascii="Times New Roman" w:cs="Times New Roman" w:eastAsia="Times New Roman" w:hAnsi="Times New Roman"/>
          <w:sz w:val="13"/>
          <w:szCs w:val="13"/>
          <w:u w:val="single" w:color="auto"/>
          <w:color w:val="0000EE"/>
        </w:rPr>
      </w:pPr>
    </w:p>
    <w:p>
      <w:pPr>
        <w:ind w:left="760" w:right="119" w:hanging="739"/>
        <w:spacing w:after="0" w:line="256"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10.37†</w:t>
      </w:r>
      <w:r>
        <w:rPr>
          <w:sz w:val="20"/>
          <w:szCs w:val="20"/>
          <w:color w:val="auto"/>
        </w:rPr>
        <w:tab/>
      </w:r>
      <w:hyperlink r:id="rId289">
        <w:r>
          <w:rPr>
            <w:rFonts w:ascii="Times New Roman" w:cs="Times New Roman" w:eastAsia="Times New Roman" w:hAnsi="Times New Roman"/>
            <w:sz w:val="13"/>
            <w:szCs w:val="13"/>
            <w:u w:val="single" w:color="auto"/>
            <w:color w:val="0000EE"/>
          </w:rPr>
          <w:t>Employment Agreement, dated as of January 9, 2018, by and among Digital Realty Trust, Inc., DLR LLC and Erich J. Sanchack (incorporated by reference to</w:t>
        </w:r>
      </w:hyperlink>
      <w:r>
        <w:rPr>
          <w:rFonts w:ascii="Times New Roman" w:cs="Times New Roman" w:eastAsia="Times New Roman" w:hAnsi="Times New Roman"/>
          <w:sz w:val="13"/>
          <w:szCs w:val="13"/>
          <w:u w:val="single" w:color="auto"/>
          <w:color w:val="0000EE"/>
        </w:rPr>
        <w:t xml:space="preserve"> </w:t>
      </w:r>
      <w:hyperlink r:id="rId289">
        <w:r>
          <w:rPr>
            <w:rFonts w:ascii="Times New Roman" w:cs="Times New Roman" w:eastAsia="Times New Roman" w:hAnsi="Times New Roman"/>
            <w:sz w:val="13"/>
            <w:szCs w:val="13"/>
            <w:u w:val="single" w:color="auto"/>
            <w:color w:val="0000EE"/>
          </w:rPr>
          <w:t>Exhibit 10.1 to the Combined Current Report on Form 8-K of Digital Realty Trust, Inc. and Digital Realty Trust, L.P. (File Nos. 001-32336 and 000-54023) filed</w:t>
        </w:r>
      </w:hyperlink>
      <w:r>
        <w:rPr>
          <w:rFonts w:ascii="Times New Roman" w:cs="Times New Roman" w:eastAsia="Times New Roman" w:hAnsi="Times New Roman"/>
          <w:sz w:val="13"/>
          <w:szCs w:val="13"/>
          <w:u w:val="single" w:color="auto"/>
          <w:color w:val="0000EE"/>
        </w:rPr>
        <w:t xml:space="preserve"> </w:t>
      </w:r>
      <w:hyperlink r:id="rId289">
        <w:r>
          <w:rPr>
            <w:rFonts w:ascii="Times New Roman" w:cs="Times New Roman" w:eastAsia="Times New Roman" w:hAnsi="Times New Roman"/>
            <w:sz w:val="13"/>
            <w:szCs w:val="13"/>
            <w:u w:val="single" w:color="auto"/>
            <w:color w:val="0000EE"/>
          </w:rPr>
          <w:t>on January 17, 2018).</w:t>
        </w:r>
      </w:hyperlink>
    </w:p>
    <w:p>
      <w:pPr>
        <w:spacing w:after="0" w:line="129" w:lineRule="exact"/>
        <w:rPr>
          <w:rFonts w:ascii="Times New Roman" w:cs="Times New Roman" w:eastAsia="Times New Roman" w:hAnsi="Times New Roman"/>
          <w:sz w:val="13"/>
          <w:szCs w:val="13"/>
          <w:u w:val="single" w:color="auto"/>
          <w:color w:val="0000EE"/>
        </w:rPr>
      </w:pPr>
    </w:p>
    <w:p>
      <w:pPr>
        <w:ind w:left="760" w:right="59" w:hanging="739"/>
        <w:spacing w:after="0" w:line="256"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10.38†</w:t>
      </w:r>
      <w:r>
        <w:rPr>
          <w:sz w:val="20"/>
          <w:szCs w:val="20"/>
          <w:color w:val="auto"/>
        </w:rPr>
        <w:tab/>
      </w:r>
      <w:hyperlink r:id="rId290">
        <w:r>
          <w:rPr>
            <w:rFonts w:ascii="Times New Roman" w:cs="Times New Roman" w:eastAsia="Times New Roman" w:hAnsi="Times New Roman"/>
            <w:sz w:val="13"/>
            <w:szCs w:val="13"/>
            <w:u w:val="single" w:color="auto"/>
            <w:color w:val="0000EE"/>
          </w:rPr>
          <w:t>Employment Agreement, dated as of June 5, 2018, by and among Digital Realty Trust, Inc., DLR LLC and Chris Sharp (incorporated by reference to Exhibit 10.2</w:t>
        </w:r>
      </w:hyperlink>
      <w:r>
        <w:rPr>
          <w:rFonts w:ascii="Times New Roman" w:cs="Times New Roman" w:eastAsia="Times New Roman" w:hAnsi="Times New Roman"/>
          <w:sz w:val="13"/>
          <w:szCs w:val="13"/>
          <w:u w:val="single" w:color="auto"/>
          <w:color w:val="0000EE"/>
        </w:rPr>
        <w:t xml:space="preserve"> </w:t>
      </w:r>
      <w:hyperlink r:id="rId290">
        <w:r>
          <w:rPr>
            <w:rFonts w:ascii="Times New Roman" w:cs="Times New Roman" w:eastAsia="Times New Roman" w:hAnsi="Times New Roman"/>
            <w:sz w:val="13"/>
            <w:szCs w:val="13"/>
            <w:u w:val="single" w:color="auto"/>
            <w:color w:val="0000EE"/>
          </w:rPr>
          <w:t>to the Combined Quarterly Report on Form 10-Q of Digital Realty Trust, Inc. and Digital Realty Trust, L.P. (File Nos. 001-32336 and 000-54023) filed on</w:t>
        </w:r>
      </w:hyperlink>
      <w:r>
        <w:rPr>
          <w:rFonts w:ascii="Times New Roman" w:cs="Times New Roman" w:eastAsia="Times New Roman" w:hAnsi="Times New Roman"/>
          <w:sz w:val="13"/>
          <w:szCs w:val="13"/>
          <w:u w:val="single" w:color="auto"/>
          <w:color w:val="0000EE"/>
        </w:rPr>
        <w:t xml:space="preserve"> </w:t>
      </w:r>
      <w:hyperlink r:id="rId290">
        <w:r>
          <w:rPr>
            <w:rFonts w:ascii="Times New Roman" w:cs="Times New Roman" w:eastAsia="Times New Roman" w:hAnsi="Times New Roman"/>
            <w:sz w:val="13"/>
            <w:szCs w:val="13"/>
            <w:u w:val="single" w:color="auto"/>
            <w:color w:val="0000EE"/>
          </w:rPr>
          <w:t>August 7, 2019).</w:t>
        </w:r>
      </w:hyperlink>
    </w:p>
    <w:p>
      <w:pPr>
        <w:spacing w:after="0" w:line="281" w:lineRule="exact"/>
        <w:rPr>
          <w:rFonts w:ascii="Times New Roman" w:cs="Times New Roman" w:eastAsia="Times New Roman" w:hAnsi="Times New Roman"/>
          <w:sz w:val="13"/>
          <w:szCs w:val="13"/>
          <w:u w:val="single" w:color="auto"/>
          <w:color w:val="0000EE"/>
        </w:rPr>
      </w:pPr>
    </w:p>
    <w:p>
      <w:pPr>
        <w:ind w:left="760" w:right="279" w:hanging="739"/>
        <w:spacing w:after="0" w:line="268"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10.39†</w:t>
      </w:r>
      <w:r>
        <w:rPr>
          <w:sz w:val="20"/>
          <w:szCs w:val="20"/>
          <w:color w:val="auto"/>
        </w:rPr>
        <w:tab/>
      </w:r>
      <w:hyperlink r:id="rId291">
        <w:r>
          <w:rPr>
            <w:rFonts w:ascii="Times New Roman" w:cs="Times New Roman" w:eastAsia="Times New Roman" w:hAnsi="Times New Roman"/>
            <w:sz w:val="13"/>
            <w:szCs w:val="13"/>
            <w:u w:val="single" w:color="auto"/>
            <w:color w:val="0000EE"/>
          </w:rPr>
          <w:t>Digital Realty Trust, Inc. 2015 Employee Stock Purchase Plan (incorporated by reference to Exhibit 10.6 to the Combined Quarterly Report on Form 10-Q of</w:t>
        </w:r>
      </w:hyperlink>
      <w:r>
        <w:rPr>
          <w:rFonts w:ascii="Times New Roman" w:cs="Times New Roman" w:eastAsia="Times New Roman" w:hAnsi="Times New Roman"/>
          <w:sz w:val="13"/>
          <w:szCs w:val="13"/>
          <w:u w:val="single" w:color="auto"/>
          <w:color w:val="0000EE"/>
        </w:rPr>
        <w:t xml:space="preserve"> </w:t>
      </w:r>
      <w:hyperlink r:id="rId291">
        <w:r>
          <w:rPr>
            <w:rFonts w:ascii="Times New Roman" w:cs="Times New Roman" w:eastAsia="Times New Roman" w:hAnsi="Times New Roman"/>
            <w:sz w:val="13"/>
            <w:szCs w:val="13"/>
            <w:u w:val="single" w:color="auto"/>
            <w:color w:val="0000EE"/>
          </w:rPr>
          <w:t>Digital Realty Trust, Inc. and Digital Realty Trust, L.P. (File Nos. 001-32336 and 000-54023) filed on August 6, 2015).</w:t>
        </w:r>
      </w:hyperlink>
    </w:p>
    <w:p>
      <w:pPr>
        <w:spacing w:after="0" w:line="122" w:lineRule="exact"/>
        <w:rPr>
          <w:sz w:val="20"/>
          <w:szCs w:val="20"/>
          <w:color w:val="auto"/>
        </w:rPr>
      </w:pPr>
    </w:p>
    <w:p>
      <w:pPr>
        <w:ind w:left="760" w:right="299" w:hanging="739"/>
        <w:spacing w:after="0" w:line="268"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10.40†</w:t>
      </w:r>
      <w:r>
        <w:rPr>
          <w:sz w:val="20"/>
          <w:szCs w:val="20"/>
          <w:color w:val="auto"/>
        </w:rPr>
        <w:tab/>
      </w:r>
      <w:hyperlink r:id="rId292">
        <w:r>
          <w:rPr>
            <w:rFonts w:ascii="Times New Roman" w:cs="Times New Roman" w:eastAsia="Times New Roman" w:hAnsi="Times New Roman"/>
            <w:sz w:val="13"/>
            <w:szCs w:val="13"/>
            <w:u w:val="single" w:color="auto"/>
            <w:color w:val="0000EE"/>
          </w:rPr>
          <w:t>First Amendment to Digital Realty Trust, Inc. 2015 Employee Stock Purchase Plan (incorporated by reference to Exhibit 4.7 to the Registration Statement on</w:t>
        </w:r>
      </w:hyperlink>
      <w:r>
        <w:rPr>
          <w:rFonts w:ascii="Times New Roman" w:cs="Times New Roman" w:eastAsia="Times New Roman" w:hAnsi="Times New Roman"/>
          <w:sz w:val="13"/>
          <w:szCs w:val="13"/>
          <w:u w:val="single" w:color="auto"/>
          <w:color w:val="0000EE"/>
        </w:rPr>
        <w:t xml:space="preserve"> </w:t>
      </w:r>
      <w:hyperlink r:id="rId292">
        <w:r>
          <w:rPr>
            <w:rFonts w:ascii="Times New Roman" w:cs="Times New Roman" w:eastAsia="Times New Roman" w:hAnsi="Times New Roman"/>
            <w:sz w:val="13"/>
            <w:szCs w:val="13"/>
            <w:u w:val="single" w:color="auto"/>
            <w:color w:val="0000EE"/>
          </w:rPr>
          <w:t>Form S-8 of Digital Realty Trust, Inc. (File Nos. 001-32336 and 000-54023) filed on October 7, 2015).</w:t>
        </w:r>
      </w:hyperlink>
    </w:p>
    <w:p>
      <w:pPr>
        <w:spacing w:after="0" w:line="122" w:lineRule="exact"/>
        <w:rPr>
          <w:sz w:val="20"/>
          <w:szCs w:val="20"/>
          <w:color w:val="auto"/>
        </w:rPr>
      </w:pPr>
    </w:p>
    <w:p>
      <w:pPr>
        <w:ind w:left="760" w:right="479" w:hanging="739"/>
        <w:spacing w:after="0" w:line="268"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10.41†</w:t>
      </w:r>
      <w:r>
        <w:rPr>
          <w:sz w:val="20"/>
          <w:szCs w:val="20"/>
          <w:color w:val="auto"/>
        </w:rPr>
        <w:tab/>
      </w:r>
      <w:hyperlink r:id="rId293">
        <w:r>
          <w:rPr>
            <w:rFonts w:ascii="Times New Roman" w:cs="Times New Roman" w:eastAsia="Times New Roman" w:hAnsi="Times New Roman"/>
            <w:sz w:val="13"/>
            <w:szCs w:val="13"/>
            <w:u w:val="single" w:color="auto"/>
            <w:color w:val="0000EE"/>
          </w:rPr>
          <w:t>Form of Director Confidentiality Agreement (incorporated by reference to Exhibit 10.39 to the Combined Annual Report on Form 10-K of Digital Realty</w:t>
        </w:r>
      </w:hyperlink>
      <w:r>
        <w:rPr>
          <w:rFonts w:ascii="Times New Roman" w:cs="Times New Roman" w:eastAsia="Times New Roman" w:hAnsi="Times New Roman"/>
          <w:sz w:val="13"/>
          <w:szCs w:val="13"/>
          <w:u w:val="single" w:color="auto"/>
          <w:color w:val="0000EE"/>
        </w:rPr>
        <w:t xml:space="preserve"> </w:t>
      </w:r>
      <w:hyperlink r:id="rId293">
        <w:r>
          <w:rPr>
            <w:rFonts w:ascii="Times New Roman" w:cs="Times New Roman" w:eastAsia="Times New Roman" w:hAnsi="Times New Roman"/>
            <w:sz w:val="13"/>
            <w:szCs w:val="13"/>
            <w:u w:val="single" w:color="auto"/>
            <w:color w:val="0000EE"/>
          </w:rPr>
          <w:t>Trust, Inc. and Digital Realty Trust, L.P. (File Nos. 001-32336 and 000-54023) filed on March 1, 2017).</w:t>
        </w:r>
      </w:hyperlink>
    </w:p>
    <w:p>
      <w:pPr>
        <w:spacing w:after="0" w:line="122" w:lineRule="exact"/>
        <w:rPr>
          <w:sz w:val="20"/>
          <w:szCs w:val="20"/>
          <w:color w:val="auto"/>
        </w:rPr>
      </w:pPr>
    </w:p>
    <w:p>
      <w:pPr>
        <w:ind w:left="760" w:right="159" w:hanging="739"/>
        <w:spacing w:after="0" w:line="247" w:lineRule="auto"/>
        <w:tabs>
          <w:tab w:leader="none" w:pos="7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10.42*</w:t>
      </w:r>
      <w:r>
        <w:rPr>
          <w:sz w:val="20"/>
          <w:szCs w:val="20"/>
          <w:color w:val="auto"/>
        </w:rPr>
        <w:tab/>
      </w:r>
      <w:hyperlink r:id="rId294">
        <w:r>
          <w:rPr>
            <w:rFonts w:ascii="Times New Roman" w:cs="Times New Roman" w:eastAsia="Times New Roman" w:hAnsi="Times New Roman"/>
            <w:sz w:val="13"/>
            <w:szCs w:val="13"/>
            <w:u w:val="single" w:color="auto"/>
            <w:color w:val="0000EE"/>
          </w:rPr>
          <w:t>Amended and Restated Global Senior Credit Agreement, dated as of October 24, 2018, among Digital Realty Trust, L.P. and the other initial borrowers named</w:t>
        </w:r>
      </w:hyperlink>
      <w:r>
        <w:rPr>
          <w:rFonts w:ascii="Times New Roman" w:cs="Times New Roman" w:eastAsia="Times New Roman" w:hAnsi="Times New Roman"/>
          <w:sz w:val="13"/>
          <w:szCs w:val="13"/>
          <w:u w:val="single" w:color="auto"/>
          <w:color w:val="0000EE"/>
        </w:rPr>
        <w:t xml:space="preserve"> </w:t>
      </w:r>
      <w:hyperlink r:id="rId294">
        <w:r>
          <w:rPr>
            <w:rFonts w:ascii="Times New Roman" w:cs="Times New Roman" w:eastAsia="Times New Roman" w:hAnsi="Times New Roman"/>
            <w:sz w:val="13"/>
            <w:szCs w:val="13"/>
            <w:u w:val="single" w:color="auto"/>
            <w:color w:val="0000EE"/>
          </w:rPr>
          <w:t>therein and additional borrowers party thereto, as borrowers, Digital Realty Trust, Inc., as parent guarantor, the additional guarantors party thereto, as additional</w:t>
        </w:r>
      </w:hyperlink>
      <w:r>
        <w:rPr>
          <w:rFonts w:ascii="Times New Roman" w:cs="Times New Roman" w:eastAsia="Times New Roman" w:hAnsi="Times New Roman"/>
          <w:sz w:val="13"/>
          <w:szCs w:val="13"/>
          <w:u w:val="single" w:color="auto"/>
          <w:color w:val="0000EE"/>
        </w:rPr>
        <w:t xml:space="preserve"> </w:t>
      </w:r>
      <w:hyperlink r:id="rId294">
        <w:r>
          <w:rPr>
            <w:rFonts w:ascii="Times New Roman" w:cs="Times New Roman" w:eastAsia="Times New Roman" w:hAnsi="Times New Roman"/>
            <w:sz w:val="13"/>
            <w:szCs w:val="13"/>
            <w:u w:val="single" w:color="auto"/>
            <w:color w:val="0000EE"/>
          </w:rPr>
          <w:t>guarantors, the banks, financial institutions and other institutional lenders listed therein, as the initial lenders, each issuing bank and swing line bank as listed</w:t>
        </w:r>
      </w:hyperlink>
      <w:r>
        <w:rPr>
          <w:rFonts w:ascii="Times New Roman" w:cs="Times New Roman" w:eastAsia="Times New Roman" w:hAnsi="Times New Roman"/>
          <w:sz w:val="13"/>
          <w:szCs w:val="13"/>
          <w:u w:val="single" w:color="auto"/>
          <w:color w:val="0000EE"/>
        </w:rPr>
        <w:t xml:space="preserve"> </w:t>
      </w:r>
      <w:hyperlink r:id="rId294">
        <w:r>
          <w:rPr>
            <w:rFonts w:ascii="Times New Roman" w:cs="Times New Roman" w:eastAsia="Times New Roman" w:hAnsi="Times New Roman"/>
            <w:sz w:val="13"/>
            <w:szCs w:val="13"/>
            <w:u w:val="single" w:color="auto"/>
            <w:color w:val="0000EE"/>
          </w:rPr>
          <w:t>therein, Citibank, N.A., as administrative agent, Bank of America, N.A. and JPMorgan Chase Bank, N.A., as syndication agents, and Merrill Lynch, Pierce,</w:t>
        </w:r>
      </w:hyperlink>
      <w:r>
        <w:rPr>
          <w:rFonts w:ascii="Times New Roman" w:cs="Times New Roman" w:eastAsia="Times New Roman" w:hAnsi="Times New Roman"/>
          <w:sz w:val="13"/>
          <w:szCs w:val="13"/>
          <w:u w:val="single" w:color="auto"/>
          <w:color w:val="0000EE"/>
        </w:rPr>
        <w:t xml:space="preserve"> </w:t>
      </w:r>
      <w:hyperlink r:id="rId294">
        <w:r>
          <w:rPr>
            <w:rFonts w:ascii="Times New Roman" w:cs="Times New Roman" w:eastAsia="Times New Roman" w:hAnsi="Times New Roman"/>
            <w:sz w:val="13"/>
            <w:szCs w:val="13"/>
            <w:u w:val="single" w:color="auto"/>
            <w:color w:val="0000EE"/>
          </w:rPr>
          <w:t>Fenner &amp; Smith Incorporated, Citibank, N.A., and JPMorgan Chase Bank, N.A., as joint lead arrangers and joint bookrunners, and the other agents and lenders</w:t>
        </w:r>
      </w:hyperlink>
      <w:r>
        <w:rPr>
          <w:rFonts w:ascii="Times New Roman" w:cs="Times New Roman" w:eastAsia="Times New Roman" w:hAnsi="Times New Roman"/>
          <w:sz w:val="13"/>
          <w:szCs w:val="13"/>
          <w:u w:val="single" w:color="auto"/>
          <w:color w:val="0000EE"/>
        </w:rPr>
        <w:t xml:space="preserve"> </w:t>
      </w:r>
      <w:hyperlink r:id="rId294">
        <w:r>
          <w:rPr>
            <w:rFonts w:ascii="Times New Roman" w:cs="Times New Roman" w:eastAsia="Times New Roman" w:hAnsi="Times New Roman"/>
            <w:sz w:val="13"/>
            <w:szCs w:val="13"/>
            <w:u w:val="single" w:color="auto"/>
            <w:color w:val="0000EE"/>
          </w:rPr>
          <w:t>named therein (incorporated by reference to Exhibit 10.54 to the Combined Annual Report on Form 10-K of Digital Realty Trust, Inc. and Digital Realty Trust,</w:t>
        </w:r>
      </w:hyperlink>
      <w:r>
        <w:rPr>
          <w:rFonts w:ascii="Times New Roman" w:cs="Times New Roman" w:eastAsia="Times New Roman" w:hAnsi="Times New Roman"/>
          <w:sz w:val="13"/>
          <w:szCs w:val="13"/>
          <w:u w:val="single" w:color="auto"/>
          <w:color w:val="0000EE"/>
        </w:rPr>
        <w:t xml:space="preserve"> </w:t>
      </w:r>
      <w:hyperlink r:id="rId294">
        <w:r>
          <w:rPr>
            <w:rFonts w:ascii="Times New Roman" w:cs="Times New Roman" w:eastAsia="Times New Roman" w:hAnsi="Times New Roman"/>
            <w:sz w:val="13"/>
            <w:szCs w:val="13"/>
            <w:u w:val="single" w:color="auto"/>
            <w:color w:val="0000EE"/>
          </w:rPr>
          <w:t>L.P. (File Nos. 001-32336 and 000-54023) filed on February 25, 2019).</w:t>
        </w:r>
      </w:hyperlink>
    </w:p>
    <w:p>
      <w:pPr>
        <w:spacing w:after="0" w:line="200" w:lineRule="exact"/>
        <w:rPr>
          <w:rFonts w:ascii="Times New Roman" w:cs="Times New Roman" w:eastAsia="Times New Roman" w:hAnsi="Times New Roman"/>
          <w:sz w:val="13"/>
          <w:szCs w:val="13"/>
          <w:u w:val="single" w:color="auto"/>
          <w:color w:val="0000EE"/>
        </w:rPr>
      </w:pPr>
    </w:p>
    <w:p>
      <w:pPr>
        <w:spacing w:after="0" w:line="242" w:lineRule="exact"/>
        <w:rPr>
          <w:rFonts w:ascii="Times New Roman" w:cs="Times New Roman" w:eastAsia="Times New Roman" w:hAnsi="Times New Roman"/>
          <w:sz w:val="13"/>
          <w:szCs w:val="13"/>
          <w:u w:val="single" w:color="auto"/>
          <w:color w:val="0000EE"/>
        </w:rPr>
      </w:pPr>
    </w:p>
    <w:p>
      <w:pPr>
        <w:jc w:val="center"/>
        <w:ind w:right="19"/>
        <w:spacing w:after="0"/>
        <w:rPr>
          <w:sz w:val="20"/>
          <w:szCs w:val="20"/>
          <w:color w:val="auto"/>
        </w:rPr>
      </w:pPr>
      <w:r>
        <w:rPr>
          <w:rFonts w:ascii="Times New Roman" w:cs="Times New Roman" w:eastAsia="Times New Roman" w:hAnsi="Times New Roman"/>
          <w:sz w:val="13"/>
          <w:szCs w:val="13"/>
          <w:color w:val="auto"/>
        </w:rPr>
        <w:t>198</w:t>
      </w:r>
    </w:p>
    <w:p>
      <w:pPr>
        <w:spacing w:after="0" w:line="20" w:lineRule="exact"/>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u w:val="single" w:color="auto"/>
          <w:color w:val="0000EE"/>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5">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03" w:name="page204"/>
    <w:bookmarkEnd w:id="203"/>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10.43*</w:t>
            </w:r>
          </w:p>
        </w:tc>
        <w:tc>
          <w:tcPr>
            <w:tcW w:w="8160" w:type="dxa"/>
            <w:vAlign w:val="bottom"/>
            <w:tcBorders>
              <w:bottom w:val="single" w:sz="8" w:color="0000EE"/>
            </w:tcBorders>
            <w:gridSpan w:val="14"/>
          </w:tcPr>
          <w:p>
            <w:pPr>
              <w:spacing w:after="0"/>
              <w:rPr>
                <w:rFonts w:ascii="Times New Roman" w:cs="Times New Roman" w:eastAsia="Times New Roman" w:hAnsi="Times New Roman"/>
                <w:sz w:val="13"/>
                <w:szCs w:val="13"/>
                <w:color w:val="0000EE"/>
                <w:w w:val="96"/>
              </w:rPr>
            </w:pPr>
            <w:hyperlink r:id="rId296">
              <w:r>
                <w:rPr>
                  <w:rFonts w:ascii="Times New Roman" w:cs="Times New Roman" w:eastAsia="Times New Roman" w:hAnsi="Times New Roman"/>
                  <w:sz w:val="13"/>
                  <w:szCs w:val="13"/>
                  <w:color w:val="0000EE"/>
                  <w:w w:val="96"/>
                </w:rPr>
                <w:t>Amended and Restated Term Loan Agreement, dated as of October 24, 2018, among Digital Realty Trust, L.P., and the other initial borrowers named therein and</w:t>
              </w:r>
            </w:hyperlink>
          </w:p>
        </w:tc>
        <w:tc>
          <w:tcPr>
            <w:tcW w:w="60" w:type="dxa"/>
            <w:vAlign w:val="bottom"/>
            <w:gridSpan w:val="2"/>
          </w:tcPr>
          <w:p>
            <w:pPr>
              <w:spacing w:after="0"/>
              <w:rPr>
                <w:sz w:val="12"/>
                <w:szCs w:val="12"/>
                <w:color w:val="auto"/>
              </w:rPr>
            </w:pPr>
          </w:p>
        </w:tc>
      </w:tr>
      <w:tr>
        <w:trPr>
          <w:trHeight w:val="132"/>
        </w:trPr>
        <w:tc>
          <w:tcPr>
            <w:tcW w:w="740" w:type="dxa"/>
            <w:vAlign w:val="bottom"/>
          </w:tcPr>
          <w:p>
            <w:pPr>
              <w:spacing w:after="0"/>
              <w:rPr>
                <w:sz w:val="11"/>
                <w:szCs w:val="11"/>
                <w:color w:val="auto"/>
              </w:rPr>
            </w:pPr>
          </w:p>
        </w:tc>
        <w:tc>
          <w:tcPr>
            <w:tcW w:w="8220" w:type="dxa"/>
            <w:vAlign w:val="bottom"/>
            <w:gridSpan w:val="16"/>
          </w:tcPr>
          <w:p>
            <w:pPr>
              <w:spacing w:after="0" w:line="132" w:lineRule="exact"/>
              <w:rPr>
                <w:rFonts w:ascii="Times New Roman" w:cs="Times New Roman" w:eastAsia="Times New Roman" w:hAnsi="Times New Roman"/>
                <w:sz w:val="13"/>
                <w:szCs w:val="13"/>
                <w:color w:val="0000EE"/>
              </w:rPr>
            </w:pPr>
            <w:hyperlink r:id="rId296">
              <w:r>
                <w:rPr>
                  <w:rFonts w:ascii="Times New Roman" w:cs="Times New Roman" w:eastAsia="Times New Roman" w:hAnsi="Times New Roman"/>
                  <w:sz w:val="13"/>
                  <w:szCs w:val="13"/>
                  <w:color w:val="0000EE"/>
                </w:rPr>
                <w:t>additional borrowers party thereto, as borrowers, and Digital Realty Trust, Inc., as parent guarantor, the additional guarantors party thereto, as additional</w:t>
              </w:r>
            </w:hyperlink>
          </w:p>
        </w:tc>
      </w:tr>
      <w:tr>
        <w:trPr>
          <w:trHeight w:val="20"/>
        </w:trPr>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220" w:type="dxa"/>
            <w:vAlign w:val="bottom"/>
            <w:gridSpan w:val="16"/>
          </w:tcPr>
          <w:p>
            <w:pPr>
              <w:spacing w:after="0" w:line="132" w:lineRule="exact"/>
              <w:rPr>
                <w:rFonts w:ascii="Times New Roman" w:cs="Times New Roman" w:eastAsia="Times New Roman" w:hAnsi="Times New Roman"/>
                <w:sz w:val="13"/>
                <w:szCs w:val="13"/>
                <w:color w:val="0000EE"/>
                <w:w w:val="98"/>
              </w:rPr>
            </w:pPr>
            <w:hyperlink r:id="rId296">
              <w:r>
                <w:rPr>
                  <w:rFonts w:ascii="Times New Roman" w:cs="Times New Roman" w:eastAsia="Times New Roman" w:hAnsi="Times New Roman"/>
                  <w:sz w:val="13"/>
                  <w:szCs w:val="13"/>
                  <w:color w:val="0000EE"/>
                  <w:w w:val="98"/>
                </w:rPr>
                <w:t>guarantors, the initial lenders named therein, as the initial lenders, Citibank, N.A., as administrative agent, the banks, financial institutions and other institutional</w:t>
              </w:r>
            </w:hyperlink>
          </w:p>
        </w:tc>
      </w:tr>
      <w:tr>
        <w:trPr>
          <w:trHeight w:val="20"/>
        </w:trPr>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140" w:type="dxa"/>
            <w:vAlign w:val="bottom"/>
            <w:tcBorders>
              <w:bottom w:val="single" w:sz="8" w:color="0000EE"/>
            </w:tcBorders>
            <w:gridSpan w:val="13"/>
          </w:tcPr>
          <w:p>
            <w:pPr>
              <w:spacing w:after="0" w:line="132" w:lineRule="exact"/>
              <w:rPr>
                <w:rFonts w:ascii="Times New Roman" w:cs="Times New Roman" w:eastAsia="Times New Roman" w:hAnsi="Times New Roman"/>
                <w:sz w:val="13"/>
                <w:szCs w:val="13"/>
                <w:color w:val="0000EE"/>
                <w:w w:val="97"/>
              </w:rPr>
            </w:pPr>
            <w:hyperlink r:id="rId296">
              <w:r>
                <w:rPr>
                  <w:rFonts w:ascii="Times New Roman" w:cs="Times New Roman" w:eastAsia="Times New Roman" w:hAnsi="Times New Roman"/>
                  <w:sz w:val="13"/>
                  <w:szCs w:val="13"/>
                  <w:color w:val="0000EE"/>
                  <w:w w:val="97"/>
                </w:rPr>
                <w:t>lenders listed therein, as the initial lenders, Citibank, N.A., as administrative agent, with Bank of America, N.A. and JPMorgan Chase Bank, N.A. as syndication</w:t>
              </w:r>
            </w:hyperlink>
          </w:p>
        </w:tc>
        <w:tc>
          <w:tcPr>
            <w:tcW w:w="80" w:type="dxa"/>
            <w:vAlign w:val="bottom"/>
            <w:gridSpan w:val="3"/>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220" w:type="dxa"/>
            <w:vAlign w:val="bottom"/>
            <w:gridSpan w:val="16"/>
          </w:tcPr>
          <w:p>
            <w:pPr>
              <w:spacing w:after="0" w:line="132" w:lineRule="exact"/>
              <w:rPr>
                <w:rFonts w:ascii="Times New Roman" w:cs="Times New Roman" w:eastAsia="Times New Roman" w:hAnsi="Times New Roman"/>
                <w:sz w:val="13"/>
                <w:szCs w:val="13"/>
                <w:color w:val="0000EE"/>
              </w:rPr>
            </w:pPr>
            <w:hyperlink r:id="rId296">
              <w:r>
                <w:rPr>
                  <w:rFonts w:ascii="Times New Roman" w:cs="Times New Roman" w:eastAsia="Times New Roman" w:hAnsi="Times New Roman"/>
                  <w:sz w:val="13"/>
                  <w:szCs w:val="13"/>
                  <w:color w:val="0000EE"/>
                </w:rPr>
                <w:t>agents, (i) Merrill Lynch, Pierce, Fenner &amp; Smith Incorporated, Citibank, N.A., JPMorgan Chase Bank, N.A., The Bank of Nova Scotia, U.S. Bank National</w:t>
              </w:r>
            </w:hyperlink>
          </w:p>
        </w:tc>
      </w:tr>
      <w:tr>
        <w:trPr>
          <w:trHeight w:val="20"/>
        </w:trPr>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220" w:type="dxa"/>
            <w:vAlign w:val="bottom"/>
            <w:gridSpan w:val="16"/>
          </w:tcPr>
          <w:p>
            <w:pPr>
              <w:spacing w:after="0" w:line="132" w:lineRule="exact"/>
              <w:rPr>
                <w:rFonts w:ascii="Times New Roman" w:cs="Times New Roman" w:eastAsia="Times New Roman" w:hAnsi="Times New Roman"/>
                <w:sz w:val="13"/>
                <w:szCs w:val="13"/>
                <w:color w:val="0000EE"/>
                <w:w w:val="98"/>
              </w:rPr>
            </w:pPr>
            <w:hyperlink r:id="rId296">
              <w:r>
                <w:rPr>
                  <w:rFonts w:ascii="Times New Roman" w:cs="Times New Roman" w:eastAsia="Times New Roman" w:hAnsi="Times New Roman"/>
                  <w:sz w:val="13"/>
                  <w:szCs w:val="13"/>
                  <w:color w:val="0000EE"/>
                  <w:w w:val="98"/>
                </w:rPr>
                <w:t>Association and TD Securities (USA) LLC, as joint lead arrangers and joint bookrunners for the 2023 Term Loan and (ii) Merrill Lynch, Pierce Fenner &amp; Smith</w:t>
              </w:r>
            </w:hyperlink>
          </w:p>
        </w:tc>
      </w:tr>
      <w:tr>
        <w:trPr>
          <w:trHeight w:val="20"/>
        </w:trPr>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740" w:type="dxa"/>
            <w:vAlign w:val="bottom"/>
          </w:tcPr>
          <w:p>
            <w:pPr>
              <w:spacing w:after="0"/>
              <w:rPr>
                <w:sz w:val="12"/>
                <w:szCs w:val="12"/>
                <w:color w:val="auto"/>
              </w:rPr>
            </w:pPr>
          </w:p>
        </w:tc>
        <w:tc>
          <w:tcPr>
            <w:tcW w:w="8220" w:type="dxa"/>
            <w:vAlign w:val="bottom"/>
            <w:gridSpan w:val="16"/>
          </w:tcPr>
          <w:p>
            <w:pPr>
              <w:spacing w:after="0" w:line="147" w:lineRule="exact"/>
              <w:rPr>
                <w:rFonts w:ascii="Times New Roman" w:cs="Times New Roman" w:eastAsia="Times New Roman" w:hAnsi="Times New Roman"/>
                <w:sz w:val="13"/>
                <w:szCs w:val="13"/>
                <w:u w:val="single" w:color="auto"/>
                <w:color w:val="0000EE"/>
                <w:w w:val="98"/>
              </w:rPr>
            </w:pPr>
            <w:hyperlink r:id="rId296">
              <w:r>
                <w:rPr>
                  <w:rFonts w:ascii="Times New Roman" w:cs="Times New Roman" w:eastAsia="Times New Roman" w:hAnsi="Times New Roman"/>
                  <w:sz w:val="13"/>
                  <w:szCs w:val="13"/>
                  <w:u w:val="single" w:color="auto"/>
                  <w:color w:val="0000EE"/>
                  <w:w w:val="98"/>
                </w:rPr>
                <w:t>Incorporated, Citibank, N.A., JPMorgan Chase Bank, N.A., The Bank of Nova Scotia, Sumitomo Mitsui Banking Corporation and TD Securities (USA) LLC as</w:t>
              </w:r>
            </w:hyperlink>
          </w:p>
        </w:tc>
      </w:tr>
      <w:tr>
        <w:trPr>
          <w:trHeight w:val="152"/>
        </w:trPr>
        <w:tc>
          <w:tcPr>
            <w:tcW w:w="740" w:type="dxa"/>
            <w:vAlign w:val="bottom"/>
          </w:tcPr>
          <w:p>
            <w:pPr>
              <w:spacing w:after="0"/>
              <w:rPr>
                <w:sz w:val="13"/>
                <w:szCs w:val="13"/>
                <w:color w:val="auto"/>
              </w:rPr>
            </w:pPr>
          </w:p>
        </w:tc>
        <w:tc>
          <w:tcPr>
            <w:tcW w:w="8220" w:type="dxa"/>
            <w:vAlign w:val="bottom"/>
            <w:gridSpan w:val="16"/>
          </w:tcPr>
          <w:p>
            <w:pPr>
              <w:spacing w:after="0"/>
              <w:rPr>
                <w:rFonts w:ascii="Times New Roman" w:cs="Times New Roman" w:eastAsia="Times New Roman" w:hAnsi="Times New Roman"/>
                <w:sz w:val="13"/>
                <w:szCs w:val="13"/>
                <w:u w:val="single" w:color="auto"/>
                <w:color w:val="0000EE"/>
                <w:w w:val="98"/>
              </w:rPr>
            </w:pPr>
            <w:hyperlink r:id="rId296">
              <w:r>
                <w:rPr>
                  <w:rFonts w:ascii="Times New Roman" w:cs="Times New Roman" w:eastAsia="Times New Roman" w:hAnsi="Times New Roman"/>
                  <w:sz w:val="13"/>
                  <w:szCs w:val="13"/>
                  <w:u w:val="single" w:color="auto"/>
                  <w:color w:val="0000EE"/>
                  <w:w w:val="98"/>
                </w:rPr>
                <w:t>joint lead arrangers and joint bookrunners for the 2024 Term Loan (incorporated by reference to Exhibit 10.55 to the Combined Annual Report on Form 10-K of</w:t>
              </w:r>
            </w:hyperlink>
          </w:p>
        </w:tc>
      </w:tr>
      <w:tr>
        <w:trPr>
          <w:trHeight w:val="165"/>
        </w:trPr>
        <w:tc>
          <w:tcPr>
            <w:tcW w:w="740" w:type="dxa"/>
            <w:vAlign w:val="bottom"/>
          </w:tcPr>
          <w:p>
            <w:pPr>
              <w:spacing w:after="0"/>
              <w:rPr>
                <w:sz w:val="14"/>
                <w:szCs w:val="14"/>
                <w:color w:val="auto"/>
              </w:rPr>
            </w:pPr>
          </w:p>
        </w:tc>
        <w:tc>
          <w:tcPr>
            <w:tcW w:w="8220" w:type="dxa"/>
            <w:vAlign w:val="bottom"/>
            <w:gridSpan w:val="16"/>
          </w:tcPr>
          <w:p>
            <w:pPr>
              <w:spacing w:after="0"/>
              <w:rPr>
                <w:rFonts w:ascii="Times New Roman" w:cs="Times New Roman" w:eastAsia="Times New Roman" w:hAnsi="Times New Roman"/>
                <w:sz w:val="13"/>
                <w:szCs w:val="13"/>
                <w:u w:val="single" w:color="auto"/>
                <w:color w:val="0000EE"/>
              </w:rPr>
            </w:pPr>
            <w:hyperlink r:id="rId296">
              <w:r>
                <w:rPr>
                  <w:rFonts w:ascii="Times New Roman" w:cs="Times New Roman" w:eastAsia="Times New Roman" w:hAnsi="Times New Roman"/>
                  <w:sz w:val="13"/>
                  <w:szCs w:val="13"/>
                  <w:u w:val="single" w:color="auto"/>
                  <w:color w:val="0000EE"/>
                </w:rPr>
                <w:t>Digital Realty Trust, Inc. and Digital Realty Trust, L.P. (File Nos. 001-32336 and 000-54023) filed on February 25, 2019).</w:t>
              </w:r>
            </w:hyperlink>
          </w:p>
        </w:tc>
      </w:tr>
      <w:tr>
        <w:trPr>
          <w:trHeight w:val="275"/>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10.44*</w:t>
            </w:r>
          </w:p>
        </w:tc>
        <w:tc>
          <w:tcPr>
            <w:tcW w:w="8220" w:type="dxa"/>
            <w:vAlign w:val="bottom"/>
            <w:gridSpan w:val="16"/>
          </w:tcPr>
          <w:p>
            <w:pPr>
              <w:spacing w:after="0"/>
              <w:rPr>
                <w:rFonts w:ascii="Times New Roman" w:cs="Times New Roman" w:eastAsia="Times New Roman" w:hAnsi="Times New Roman"/>
                <w:sz w:val="13"/>
                <w:szCs w:val="13"/>
                <w:color w:val="0000EE"/>
                <w:w w:val="98"/>
              </w:rPr>
            </w:pPr>
            <w:hyperlink r:id="rId297">
              <w:r>
                <w:rPr>
                  <w:rFonts w:ascii="Times New Roman" w:cs="Times New Roman" w:eastAsia="Times New Roman" w:hAnsi="Times New Roman"/>
                  <w:sz w:val="13"/>
                  <w:szCs w:val="13"/>
                  <w:color w:val="0000EE"/>
                  <w:w w:val="98"/>
                </w:rPr>
                <w:t>Credit Agreement, dated as of October 24, 2018, among Digital Realty Trust, L.P. and the other initial borrowers named therein and additional borrowers party</w:t>
              </w:r>
            </w:hyperlink>
          </w:p>
        </w:tc>
      </w:tr>
      <w:tr>
        <w:trPr>
          <w:trHeight w:val="132"/>
        </w:trPr>
        <w:tc>
          <w:tcPr>
            <w:tcW w:w="740" w:type="dxa"/>
            <w:vAlign w:val="bottom"/>
          </w:tcPr>
          <w:p>
            <w:pPr>
              <w:spacing w:after="0"/>
              <w:rPr>
                <w:sz w:val="11"/>
                <w:szCs w:val="11"/>
                <w:color w:val="auto"/>
              </w:rPr>
            </w:pPr>
          </w:p>
        </w:tc>
        <w:tc>
          <w:tcPr>
            <w:tcW w:w="7960" w:type="dxa"/>
            <w:vAlign w:val="bottom"/>
            <w:tcBorders>
              <w:top w:val="single" w:sz="8" w:color="0000EE"/>
              <w:bottom w:val="single" w:sz="8" w:color="0000EE"/>
            </w:tcBorders>
            <w:gridSpan w:val="9"/>
          </w:tcPr>
          <w:p>
            <w:pPr>
              <w:spacing w:after="0" w:line="132" w:lineRule="exact"/>
              <w:rPr>
                <w:rFonts w:ascii="Times New Roman" w:cs="Times New Roman" w:eastAsia="Times New Roman" w:hAnsi="Times New Roman"/>
                <w:sz w:val="13"/>
                <w:szCs w:val="13"/>
                <w:color w:val="0000EE"/>
                <w:w w:val="96"/>
              </w:rPr>
            </w:pPr>
            <w:hyperlink r:id="rId297">
              <w:r>
                <w:rPr>
                  <w:rFonts w:ascii="Times New Roman" w:cs="Times New Roman" w:eastAsia="Times New Roman" w:hAnsi="Times New Roman"/>
                  <w:sz w:val="13"/>
                  <w:szCs w:val="13"/>
                  <w:color w:val="0000EE"/>
                  <w:w w:val="96"/>
                </w:rPr>
                <w:t>thereto, as borrowers, Digital Realty Trust, Inc., as parent guarantor, the subsidiary borrowers and additional guarantors named therein, the initial lenders and</w:t>
              </w:r>
            </w:hyperlink>
          </w:p>
        </w:tc>
        <w:tc>
          <w:tcPr>
            <w:tcW w:w="80" w:type="dxa"/>
            <w:vAlign w:val="bottom"/>
            <w:tcBorders>
              <w:top w:val="single" w:sz="8" w:color="0000EE"/>
            </w:tcBorders>
            <w:gridSpan w:val="2"/>
          </w:tcPr>
          <w:p>
            <w:pPr>
              <w:spacing w:after="0"/>
              <w:rPr>
                <w:sz w:val="11"/>
                <w:szCs w:val="11"/>
                <w:color w:val="auto"/>
              </w:rPr>
            </w:pPr>
          </w:p>
        </w:tc>
        <w:tc>
          <w:tcPr>
            <w:tcW w:w="180" w:type="dxa"/>
            <w:vAlign w:val="bottom"/>
            <w:gridSpan w:val="5"/>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8160" w:type="dxa"/>
            <w:vAlign w:val="bottom"/>
            <w:tcBorders>
              <w:bottom w:val="single" w:sz="8" w:color="0000EE"/>
            </w:tcBorders>
            <w:gridSpan w:val="14"/>
          </w:tcPr>
          <w:p>
            <w:pPr>
              <w:spacing w:after="0" w:line="132" w:lineRule="exact"/>
              <w:rPr>
                <w:rFonts w:ascii="Times New Roman" w:cs="Times New Roman" w:eastAsia="Times New Roman" w:hAnsi="Times New Roman"/>
                <w:sz w:val="13"/>
                <w:szCs w:val="13"/>
                <w:color w:val="0000EE"/>
                <w:w w:val="97"/>
              </w:rPr>
            </w:pPr>
            <w:hyperlink r:id="rId297">
              <w:r>
                <w:rPr>
                  <w:rFonts w:ascii="Times New Roman" w:cs="Times New Roman" w:eastAsia="Times New Roman" w:hAnsi="Times New Roman"/>
                  <w:sz w:val="13"/>
                  <w:szCs w:val="13"/>
                  <w:color w:val="0000EE"/>
                  <w:w w:val="97"/>
                </w:rPr>
                <w:t>issuing banks named therein, Sumitomo Mutsui Banking Corporation, as administrative agent, with Sumitomo Mutsui Banking Corporation, MUFG Bank, LTD.</w:t>
              </w:r>
            </w:hyperlink>
          </w:p>
        </w:tc>
        <w:tc>
          <w:tcPr>
            <w:tcW w:w="60" w:type="dxa"/>
            <w:vAlign w:val="bottom"/>
            <w:gridSpan w:val="2"/>
          </w:tcPr>
          <w:p>
            <w:pPr>
              <w:spacing w:after="0"/>
              <w:rPr>
                <w:sz w:val="11"/>
                <w:szCs w:val="11"/>
                <w:color w:val="auto"/>
              </w:rPr>
            </w:pPr>
          </w:p>
        </w:tc>
      </w:tr>
      <w:tr>
        <w:trPr>
          <w:trHeight w:val="132"/>
        </w:trPr>
        <w:tc>
          <w:tcPr>
            <w:tcW w:w="740" w:type="dxa"/>
            <w:vAlign w:val="bottom"/>
          </w:tcPr>
          <w:p>
            <w:pPr>
              <w:spacing w:after="0"/>
              <w:rPr>
                <w:sz w:val="11"/>
                <w:szCs w:val="11"/>
                <w:color w:val="auto"/>
              </w:rPr>
            </w:pPr>
          </w:p>
        </w:tc>
        <w:tc>
          <w:tcPr>
            <w:tcW w:w="7940" w:type="dxa"/>
            <w:vAlign w:val="bottom"/>
            <w:tcBorders>
              <w:bottom w:val="single" w:sz="8" w:color="0000EE"/>
            </w:tcBorders>
            <w:gridSpan w:val="8"/>
          </w:tcPr>
          <w:p>
            <w:pPr>
              <w:spacing w:after="0" w:line="132" w:lineRule="exact"/>
              <w:rPr>
                <w:rFonts w:ascii="Times New Roman" w:cs="Times New Roman" w:eastAsia="Times New Roman" w:hAnsi="Times New Roman"/>
                <w:sz w:val="13"/>
                <w:szCs w:val="13"/>
                <w:color w:val="0000EE"/>
                <w:w w:val="96"/>
              </w:rPr>
            </w:pPr>
            <w:hyperlink r:id="rId297">
              <w:r>
                <w:rPr>
                  <w:rFonts w:ascii="Times New Roman" w:cs="Times New Roman" w:eastAsia="Times New Roman" w:hAnsi="Times New Roman"/>
                  <w:sz w:val="13"/>
                  <w:szCs w:val="13"/>
                  <w:color w:val="0000EE"/>
                  <w:w w:val="96"/>
                </w:rPr>
                <w:t>and Mizuho Bank, LTD. , as joint lead arrangers and joint bookrunners, and the other agents and lenders named therein (incorporated by reference to Exhibit</w:t>
              </w:r>
            </w:hyperlink>
          </w:p>
        </w:tc>
        <w:tc>
          <w:tcPr>
            <w:tcW w:w="280" w:type="dxa"/>
            <w:vAlign w:val="bottom"/>
            <w:gridSpan w:val="8"/>
          </w:tcPr>
          <w:p>
            <w:pPr>
              <w:spacing w:after="0"/>
              <w:rPr>
                <w:sz w:val="11"/>
                <w:szCs w:val="11"/>
                <w:color w:val="auto"/>
              </w:rPr>
            </w:pPr>
          </w:p>
        </w:tc>
      </w:tr>
      <w:tr>
        <w:trPr>
          <w:trHeight w:val="148"/>
        </w:trPr>
        <w:tc>
          <w:tcPr>
            <w:tcW w:w="740" w:type="dxa"/>
            <w:vAlign w:val="bottom"/>
          </w:tcPr>
          <w:p>
            <w:pPr>
              <w:spacing w:after="0"/>
              <w:rPr>
                <w:sz w:val="12"/>
                <w:szCs w:val="12"/>
                <w:color w:val="auto"/>
              </w:rPr>
            </w:pPr>
          </w:p>
        </w:tc>
        <w:tc>
          <w:tcPr>
            <w:tcW w:w="8220" w:type="dxa"/>
            <w:vAlign w:val="bottom"/>
            <w:gridSpan w:val="16"/>
          </w:tcPr>
          <w:p>
            <w:pPr>
              <w:spacing w:after="0" w:line="147" w:lineRule="exact"/>
              <w:rPr>
                <w:rFonts w:ascii="Times New Roman" w:cs="Times New Roman" w:eastAsia="Times New Roman" w:hAnsi="Times New Roman"/>
                <w:sz w:val="13"/>
                <w:szCs w:val="13"/>
                <w:u w:val="single" w:color="auto"/>
                <w:color w:val="0000EE"/>
                <w:w w:val="99"/>
              </w:rPr>
            </w:pPr>
            <w:hyperlink r:id="rId297">
              <w:r>
                <w:rPr>
                  <w:rFonts w:ascii="Times New Roman" w:cs="Times New Roman" w:eastAsia="Times New Roman" w:hAnsi="Times New Roman"/>
                  <w:sz w:val="13"/>
                  <w:szCs w:val="13"/>
                  <w:u w:val="single" w:color="auto"/>
                  <w:color w:val="0000EE"/>
                  <w:w w:val="99"/>
                </w:rPr>
                <w:t>10.56 to the Combined Annual Report on Form 10-K of Digital Realty Trust, Inc. and Digital Realty Trust, L.P. (File Nos. 001-32336 and 000-54023) filed on</w:t>
              </w:r>
            </w:hyperlink>
          </w:p>
        </w:tc>
      </w:tr>
      <w:tr>
        <w:trPr>
          <w:trHeight w:val="165"/>
        </w:trPr>
        <w:tc>
          <w:tcPr>
            <w:tcW w:w="740" w:type="dxa"/>
            <w:vAlign w:val="bottom"/>
          </w:tcPr>
          <w:p>
            <w:pPr>
              <w:spacing w:after="0"/>
              <w:rPr>
                <w:sz w:val="14"/>
                <w:szCs w:val="14"/>
                <w:color w:val="auto"/>
              </w:rPr>
            </w:pPr>
          </w:p>
        </w:tc>
        <w:tc>
          <w:tcPr>
            <w:tcW w:w="8220" w:type="dxa"/>
            <w:vAlign w:val="bottom"/>
            <w:gridSpan w:val="16"/>
          </w:tcPr>
          <w:p>
            <w:pPr>
              <w:spacing w:after="0"/>
              <w:rPr>
                <w:rFonts w:ascii="Times New Roman" w:cs="Times New Roman" w:eastAsia="Times New Roman" w:hAnsi="Times New Roman"/>
                <w:sz w:val="13"/>
                <w:szCs w:val="13"/>
                <w:u w:val="single" w:color="auto"/>
                <w:color w:val="0000EE"/>
              </w:rPr>
            </w:pPr>
            <w:hyperlink r:id="rId297">
              <w:r>
                <w:rPr>
                  <w:rFonts w:ascii="Times New Roman" w:cs="Times New Roman" w:eastAsia="Times New Roman" w:hAnsi="Times New Roman"/>
                  <w:sz w:val="13"/>
                  <w:szCs w:val="13"/>
                  <w:u w:val="single" w:color="auto"/>
                  <w:color w:val="0000EE"/>
                </w:rPr>
                <w:t>February 25, 2019).</w:t>
              </w:r>
            </w:hyperlink>
          </w:p>
        </w:tc>
      </w:tr>
      <w:tr>
        <w:trPr>
          <w:trHeight w:val="275"/>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10.45</w:t>
            </w:r>
          </w:p>
        </w:tc>
        <w:tc>
          <w:tcPr>
            <w:tcW w:w="8200" w:type="dxa"/>
            <w:vAlign w:val="bottom"/>
            <w:tcBorders>
              <w:bottom w:val="single" w:sz="8" w:color="0000EE"/>
            </w:tcBorders>
            <w:gridSpan w:val="15"/>
          </w:tcPr>
          <w:p>
            <w:pPr>
              <w:spacing w:after="0"/>
              <w:rPr>
                <w:rFonts w:ascii="Times New Roman" w:cs="Times New Roman" w:eastAsia="Times New Roman" w:hAnsi="Times New Roman"/>
                <w:sz w:val="13"/>
                <w:szCs w:val="13"/>
                <w:color w:val="0000EE"/>
                <w:w w:val="96"/>
              </w:rPr>
            </w:pPr>
            <w:hyperlink r:id="rId298">
              <w:r>
                <w:rPr>
                  <w:rFonts w:ascii="Times New Roman" w:cs="Times New Roman" w:eastAsia="Times New Roman" w:hAnsi="Times New Roman"/>
                  <w:sz w:val="13"/>
                  <w:szCs w:val="13"/>
                  <w:color w:val="0000EE"/>
                  <w:w w:val="96"/>
                </w:rPr>
                <w:t>Amendment No. 1 to the Amended and Restated Global Senior Credit Agreement, dated April 18, 2019, among Digital Realty Trust, L.P. and the other borrowers</w:t>
              </w:r>
            </w:hyperlink>
          </w:p>
        </w:tc>
        <w:tc>
          <w:tcPr>
            <w:tcW w:w="20" w:type="dxa"/>
            <w:vAlign w:val="bottom"/>
          </w:tcPr>
          <w:p>
            <w:pPr>
              <w:spacing w:after="0"/>
              <w:rPr>
                <w:sz w:val="23"/>
                <w:szCs w:val="23"/>
                <w:color w:val="auto"/>
              </w:rPr>
            </w:pPr>
          </w:p>
        </w:tc>
      </w:tr>
      <w:tr>
        <w:trPr>
          <w:trHeight w:val="132"/>
        </w:trPr>
        <w:tc>
          <w:tcPr>
            <w:tcW w:w="740" w:type="dxa"/>
            <w:vAlign w:val="bottom"/>
          </w:tcPr>
          <w:p>
            <w:pPr>
              <w:spacing w:after="0"/>
              <w:rPr>
                <w:sz w:val="11"/>
                <w:szCs w:val="11"/>
                <w:color w:val="auto"/>
              </w:rPr>
            </w:pPr>
          </w:p>
        </w:tc>
        <w:tc>
          <w:tcPr>
            <w:tcW w:w="8220" w:type="dxa"/>
            <w:vAlign w:val="bottom"/>
            <w:gridSpan w:val="16"/>
          </w:tcPr>
          <w:p>
            <w:pPr>
              <w:spacing w:after="0" w:line="132" w:lineRule="exact"/>
              <w:rPr>
                <w:rFonts w:ascii="Times New Roman" w:cs="Times New Roman" w:eastAsia="Times New Roman" w:hAnsi="Times New Roman"/>
                <w:sz w:val="13"/>
                <w:szCs w:val="13"/>
                <w:color w:val="0000EE"/>
              </w:rPr>
            </w:pPr>
            <w:hyperlink r:id="rId298">
              <w:r>
                <w:rPr>
                  <w:rFonts w:ascii="Times New Roman" w:cs="Times New Roman" w:eastAsia="Times New Roman" w:hAnsi="Times New Roman"/>
                  <w:sz w:val="13"/>
                  <w:szCs w:val="13"/>
                  <w:color w:val="0000EE"/>
                </w:rPr>
                <w:t>named therein and additional borrowers party thereto, as borrowers, Digital Realty Trust, Inc., as parent guarantor, the additional guarantors party thereto, as</w:t>
              </w:r>
            </w:hyperlink>
          </w:p>
        </w:tc>
      </w:tr>
      <w:tr>
        <w:trPr>
          <w:trHeight w:val="20"/>
        </w:trPr>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220" w:type="dxa"/>
            <w:vAlign w:val="bottom"/>
            <w:gridSpan w:val="16"/>
          </w:tcPr>
          <w:p>
            <w:pPr>
              <w:spacing w:after="0" w:line="132" w:lineRule="exact"/>
              <w:rPr>
                <w:rFonts w:ascii="Times New Roman" w:cs="Times New Roman" w:eastAsia="Times New Roman" w:hAnsi="Times New Roman"/>
                <w:sz w:val="13"/>
                <w:szCs w:val="13"/>
                <w:color w:val="0000EE"/>
                <w:w w:val="97"/>
              </w:rPr>
            </w:pPr>
            <w:hyperlink r:id="rId298">
              <w:r>
                <w:rPr>
                  <w:rFonts w:ascii="Times New Roman" w:cs="Times New Roman" w:eastAsia="Times New Roman" w:hAnsi="Times New Roman"/>
                  <w:sz w:val="13"/>
                  <w:szCs w:val="13"/>
                  <w:color w:val="0000EE"/>
                  <w:w w:val="97"/>
                </w:rPr>
                <w:t>additional guarantors, and Citibank, N.A., as administrative agent (incorporated by reference to Exhibit 10.3 to the Combined Quarterly Report on Form 10-Q of</w:t>
              </w:r>
            </w:hyperlink>
          </w:p>
        </w:tc>
      </w:tr>
      <w:tr>
        <w:trPr>
          <w:trHeight w:val="132"/>
        </w:trPr>
        <w:tc>
          <w:tcPr>
            <w:tcW w:w="740" w:type="dxa"/>
            <w:vAlign w:val="bottom"/>
          </w:tcPr>
          <w:p>
            <w:pPr>
              <w:spacing w:after="0"/>
              <w:rPr>
                <w:sz w:val="11"/>
                <w:szCs w:val="11"/>
                <w:color w:val="auto"/>
              </w:rPr>
            </w:pPr>
          </w:p>
        </w:tc>
        <w:tc>
          <w:tcPr>
            <w:tcW w:w="6040" w:type="dxa"/>
            <w:vAlign w:val="bottom"/>
            <w:tcBorders>
              <w:top w:val="single" w:sz="8" w:color="0000EE"/>
              <w:bottom w:val="single" w:sz="8" w:color="0000EE"/>
            </w:tcBorders>
            <w:gridSpan w:val="4"/>
          </w:tcPr>
          <w:p>
            <w:pPr>
              <w:spacing w:after="0" w:line="132" w:lineRule="exact"/>
              <w:rPr>
                <w:rFonts w:ascii="Times New Roman" w:cs="Times New Roman" w:eastAsia="Times New Roman" w:hAnsi="Times New Roman"/>
                <w:sz w:val="13"/>
                <w:szCs w:val="13"/>
                <w:color w:val="0000EE"/>
                <w:w w:val="96"/>
              </w:rPr>
            </w:pPr>
            <w:hyperlink r:id="rId298">
              <w:r>
                <w:rPr>
                  <w:rFonts w:ascii="Times New Roman" w:cs="Times New Roman" w:eastAsia="Times New Roman" w:hAnsi="Times New Roman"/>
                  <w:sz w:val="13"/>
                  <w:szCs w:val="13"/>
                  <w:color w:val="0000EE"/>
                  <w:w w:val="96"/>
                </w:rPr>
                <w:t>Digital Realty Trust, Inc. and Digital Realty Trust, L.P. (File Nos. 001-32336 and 000-54023) filed on August 7, 2019).</w:t>
              </w:r>
            </w:hyperlink>
          </w:p>
        </w:tc>
        <w:tc>
          <w:tcPr>
            <w:tcW w:w="2100" w:type="dxa"/>
            <w:vAlign w:val="bottom"/>
            <w:tcBorders>
              <w:top w:val="single" w:sz="8" w:color="0000EE"/>
            </w:tcBorders>
            <w:gridSpan w:val="9"/>
          </w:tcPr>
          <w:p>
            <w:pPr>
              <w:spacing w:after="0"/>
              <w:rPr>
                <w:sz w:val="11"/>
                <w:szCs w:val="11"/>
                <w:color w:val="auto"/>
              </w:rPr>
            </w:pPr>
          </w:p>
        </w:tc>
        <w:tc>
          <w:tcPr>
            <w:tcW w:w="80" w:type="dxa"/>
            <w:vAlign w:val="bottom"/>
            <w:gridSpan w:val="3"/>
          </w:tcPr>
          <w:p>
            <w:pPr>
              <w:spacing w:after="0"/>
              <w:rPr>
                <w:sz w:val="11"/>
                <w:szCs w:val="1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10.46†</w:t>
            </w:r>
          </w:p>
        </w:tc>
        <w:tc>
          <w:tcPr>
            <w:tcW w:w="8220" w:type="dxa"/>
            <w:vAlign w:val="bottom"/>
            <w:gridSpan w:val="16"/>
          </w:tcPr>
          <w:p>
            <w:pPr>
              <w:spacing w:after="0"/>
              <w:rPr>
                <w:rFonts w:ascii="Times New Roman" w:cs="Times New Roman" w:eastAsia="Times New Roman" w:hAnsi="Times New Roman"/>
                <w:sz w:val="13"/>
                <w:szCs w:val="13"/>
                <w:color w:val="0000EE"/>
                <w:w w:val="99"/>
              </w:rPr>
            </w:pPr>
            <w:hyperlink r:id="rId299">
              <w:r>
                <w:rPr>
                  <w:rFonts w:ascii="Times New Roman" w:cs="Times New Roman" w:eastAsia="Times New Roman" w:hAnsi="Times New Roman"/>
                  <w:sz w:val="13"/>
                  <w:szCs w:val="13"/>
                  <w:color w:val="0000EE"/>
                  <w:w w:val="99"/>
                </w:rPr>
                <w:t>Form of Executive Severance Agreement (incorporated by reference to Exhibit 10.56 to the Combined Quarterly Report on Form 10-K of Digital Realty Trust,</w:t>
              </w:r>
            </w:hyperlink>
          </w:p>
        </w:tc>
      </w:tr>
      <w:tr>
        <w:trPr>
          <w:trHeight w:val="132"/>
        </w:trPr>
        <w:tc>
          <w:tcPr>
            <w:tcW w:w="740" w:type="dxa"/>
            <w:vAlign w:val="bottom"/>
          </w:tcPr>
          <w:p>
            <w:pPr>
              <w:spacing w:after="0"/>
              <w:rPr>
                <w:sz w:val="11"/>
                <w:szCs w:val="11"/>
                <w:color w:val="auto"/>
              </w:rPr>
            </w:pPr>
          </w:p>
        </w:tc>
        <w:tc>
          <w:tcPr>
            <w:tcW w:w="8040" w:type="dxa"/>
            <w:vAlign w:val="bottom"/>
            <w:tcBorders>
              <w:top w:val="single" w:sz="8" w:color="0000EE"/>
            </w:tcBorders>
            <w:gridSpan w:val="11"/>
          </w:tcPr>
          <w:p>
            <w:pPr>
              <w:spacing w:after="0" w:line="132" w:lineRule="exact"/>
              <w:rPr>
                <w:rFonts w:ascii="Times New Roman" w:cs="Times New Roman" w:eastAsia="Times New Roman" w:hAnsi="Times New Roman"/>
                <w:sz w:val="13"/>
                <w:szCs w:val="13"/>
                <w:color w:val="0000EE"/>
              </w:rPr>
            </w:pPr>
            <w:hyperlink r:id="rId299">
              <w:r>
                <w:rPr>
                  <w:rFonts w:ascii="Times New Roman" w:cs="Times New Roman" w:eastAsia="Times New Roman" w:hAnsi="Times New Roman"/>
                  <w:sz w:val="13"/>
                  <w:szCs w:val="13"/>
                  <w:color w:val="0000EE"/>
                </w:rPr>
                <w:t>Inc. and Digital Realty Trust, L.P. (File Nos. 001-32336 and 000-54023) filed on March 2, 2020).</w:t>
              </w:r>
            </w:hyperlink>
          </w:p>
        </w:tc>
        <w:tc>
          <w:tcPr>
            <w:tcW w:w="180" w:type="dxa"/>
            <w:vAlign w:val="bottom"/>
            <w:gridSpan w:val="5"/>
          </w:tcPr>
          <w:p>
            <w:pPr>
              <w:spacing w:after="0"/>
              <w:rPr>
                <w:sz w:val="11"/>
                <w:szCs w:val="11"/>
                <w:color w:val="auto"/>
              </w:rPr>
            </w:pPr>
          </w:p>
        </w:tc>
      </w:tr>
      <w:tr>
        <w:trPr>
          <w:trHeight w:val="20"/>
        </w:trPr>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10.47†</w:t>
            </w:r>
          </w:p>
        </w:tc>
        <w:tc>
          <w:tcPr>
            <w:tcW w:w="8220" w:type="dxa"/>
            <w:vAlign w:val="bottom"/>
            <w:gridSpan w:val="16"/>
          </w:tcPr>
          <w:p>
            <w:pPr>
              <w:spacing w:after="0"/>
              <w:rPr>
                <w:rFonts w:ascii="Times New Roman" w:cs="Times New Roman" w:eastAsia="Times New Roman" w:hAnsi="Times New Roman"/>
                <w:sz w:val="13"/>
                <w:szCs w:val="13"/>
                <w:color w:val="0000EE"/>
                <w:w w:val="99"/>
              </w:rPr>
            </w:pPr>
            <w:hyperlink r:id="rId300">
              <w:r>
                <w:rPr>
                  <w:rFonts w:ascii="Times New Roman" w:cs="Times New Roman" w:eastAsia="Times New Roman" w:hAnsi="Times New Roman"/>
                  <w:sz w:val="13"/>
                  <w:szCs w:val="13"/>
                  <w:color w:val="0000EE"/>
                  <w:w w:val="99"/>
                </w:rPr>
                <w:t>Employment Agreement, dated November 19, 2018, by and among Digital Realty Trust, Inc., DLR, LLC and Gregory S. Wright (incorporated by reference to</w:t>
              </w:r>
            </w:hyperlink>
          </w:p>
        </w:tc>
      </w:tr>
      <w:tr>
        <w:trPr>
          <w:trHeight w:val="20"/>
        </w:trPr>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220" w:type="dxa"/>
            <w:vAlign w:val="bottom"/>
            <w:gridSpan w:val="16"/>
          </w:tcPr>
          <w:p>
            <w:pPr>
              <w:spacing w:after="0" w:line="132" w:lineRule="exact"/>
              <w:rPr>
                <w:rFonts w:ascii="Times New Roman" w:cs="Times New Roman" w:eastAsia="Times New Roman" w:hAnsi="Times New Roman"/>
                <w:sz w:val="13"/>
                <w:szCs w:val="13"/>
                <w:color w:val="0000EE"/>
                <w:w w:val="98"/>
              </w:rPr>
            </w:pPr>
            <w:hyperlink r:id="rId300">
              <w:r>
                <w:rPr>
                  <w:rFonts w:ascii="Times New Roman" w:cs="Times New Roman" w:eastAsia="Times New Roman" w:hAnsi="Times New Roman"/>
                  <w:sz w:val="13"/>
                  <w:szCs w:val="13"/>
                  <w:color w:val="0000EE"/>
                  <w:w w:val="98"/>
                </w:rPr>
                <w:t>Exhibit 10.1 to the Combined Quarterly Report on Form 10-Q of Digital Realty Trust, Inc. and Digital Realty Trust, L.P. (File Nos. 001-32336 and 000-54023)</w:t>
              </w:r>
            </w:hyperlink>
          </w:p>
        </w:tc>
      </w:tr>
      <w:tr>
        <w:trPr>
          <w:trHeight w:val="132"/>
        </w:trPr>
        <w:tc>
          <w:tcPr>
            <w:tcW w:w="740" w:type="dxa"/>
            <w:vAlign w:val="bottom"/>
          </w:tcPr>
          <w:p>
            <w:pPr>
              <w:spacing w:after="0"/>
              <w:rPr>
                <w:sz w:val="11"/>
                <w:szCs w:val="11"/>
                <w:color w:val="auto"/>
              </w:rPr>
            </w:pPr>
          </w:p>
        </w:tc>
        <w:tc>
          <w:tcPr>
            <w:tcW w:w="1200" w:type="dxa"/>
            <w:vAlign w:val="bottom"/>
            <w:tcBorders>
              <w:top w:val="single" w:sz="8" w:color="0000EE"/>
              <w:bottom w:val="single" w:sz="8" w:color="0000EE"/>
            </w:tcBorders>
            <w:gridSpan w:val="2"/>
          </w:tcPr>
          <w:p>
            <w:pPr>
              <w:spacing w:after="0" w:line="132" w:lineRule="exact"/>
              <w:rPr>
                <w:rFonts w:ascii="Times New Roman" w:cs="Times New Roman" w:eastAsia="Times New Roman" w:hAnsi="Times New Roman"/>
                <w:sz w:val="13"/>
                <w:szCs w:val="13"/>
                <w:color w:val="0000EE"/>
                <w:w w:val="95"/>
              </w:rPr>
            </w:pPr>
            <w:hyperlink r:id="rId300">
              <w:r>
                <w:rPr>
                  <w:rFonts w:ascii="Times New Roman" w:cs="Times New Roman" w:eastAsia="Times New Roman" w:hAnsi="Times New Roman"/>
                  <w:sz w:val="13"/>
                  <w:szCs w:val="13"/>
                  <w:color w:val="0000EE"/>
                  <w:w w:val="95"/>
                </w:rPr>
                <w:t>filed on May 11, 2020).</w:t>
              </w:r>
            </w:hyperlink>
          </w:p>
        </w:tc>
        <w:tc>
          <w:tcPr>
            <w:tcW w:w="6840" w:type="dxa"/>
            <w:vAlign w:val="bottom"/>
            <w:tcBorders>
              <w:top w:val="single" w:sz="8" w:color="0000EE"/>
            </w:tcBorders>
            <w:gridSpan w:val="9"/>
          </w:tcPr>
          <w:p>
            <w:pPr>
              <w:spacing w:after="0"/>
              <w:rPr>
                <w:sz w:val="11"/>
                <w:szCs w:val="11"/>
                <w:color w:val="auto"/>
              </w:rPr>
            </w:pPr>
          </w:p>
        </w:tc>
        <w:tc>
          <w:tcPr>
            <w:tcW w:w="180" w:type="dxa"/>
            <w:vAlign w:val="bottom"/>
            <w:gridSpan w:val="5"/>
          </w:tcPr>
          <w:p>
            <w:pPr>
              <w:spacing w:after="0"/>
              <w:rPr>
                <w:sz w:val="11"/>
                <w:szCs w:val="1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10.48†</w:t>
            </w:r>
          </w:p>
        </w:tc>
        <w:tc>
          <w:tcPr>
            <w:tcW w:w="8220" w:type="dxa"/>
            <w:vAlign w:val="bottom"/>
            <w:gridSpan w:val="16"/>
          </w:tcPr>
          <w:p>
            <w:pPr>
              <w:spacing w:after="0"/>
              <w:rPr>
                <w:rFonts w:ascii="Times New Roman" w:cs="Times New Roman" w:eastAsia="Times New Roman" w:hAnsi="Times New Roman"/>
                <w:sz w:val="13"/>
                <w:szCs w:val="13"/>
                <w:color w:val="0000EE"/>
                <w:w w:val="99"/>
              </w:rPr>
            </w:pPr>
            <w:hyperlink r:id="rId301">
              <w:r>
                <w:rPr>
                  <w:rFonts w:ascii="Times New Roman" w:cs="Times New Roman" w:eastAsia="Times New Roman" w:hAnsi="Times New Roman"/>
                  <w:sz w:val="13"/>
                  <w:szCs w:val="13"/>
                  <w:color w:val="0000EE"/>
                  <w:w w:val="99"/>
                </w:rPr>
                <w:t>Employment Agreement, dated December 8, 2018, by and among Digital Realty Trust, Inc., DLR, LLC and Corey Dyer (incorporated by reference to Exhibit</w:t>
              </w:r>
            </w:hyperlink>
          </w:p>
        </w:tc>
      </w:tr>
      <w:tr>
        <w:trPr>
          <w:trHeight w:val="20"/>
        </w:trPr>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32"/>
        </w:trPr>
        <w:tc>
          <w:tcPr>
            <w:tcW w:w="740" w:type="dxa"/>
            <w:vAlign w:val="bottom"/>
          </w:tcPr>
          <w:p>
            <w:pPr>
              <w:spacing w:after="0"/>
              <w:rPr>
                <w:sz w:val="11"/>
                <w:szCs w:val="11"/>
                <w:color w:val="auto"/>
              </w:rPr>
            </w:pPr>
          </w:p>
        </w:tc>
        <w:tc>
          <w:tcPr>
            <w:tcW w:w="8220" w:type="dxa"/>
            <w:vAlign w:val="bottom"/>
            <w:gridSpan w:val="16"/>
          </w:tcPr>
          <w:p>
            <w:pPr>
              <w:spacing w:after="0" w:line="132" w:lineRule="exact"/>
              <w:rPr>
                <w:rFonts w:ascii="Times New Roman" w:cs="Times New Roman" w:eastAsia="Times New Roman" w:hAnsi="Times New Roman"/>
                <w:sz w:val="13"/>
                <w:szCs w:val="13"/>
                <w:color w:val="0000EE"/>
                <w:w w:val="98"/>
              </w:rPr>
            </w:pPr>
            <w:hyperlink r:id="rId301">
              <w:r>
                <w:rPr>
                  <w:rFonts w:ascii="Times New Roman" w:cs="Times New Roman" w:eastAsia="Times New Roman" w:hAnsi="Times New Roman"/>
                  <w:sz w:val="13"/>
                  <w:szCs w:val="13"/>
                  <w:color w:val="0000EE"/>
                  <w:w w:val="98"/>
                </w:rPr>
                <w:t>10.</w:t>
              </w:r>
              <w:r>
                <w:rPr>
                  <w:rFonts w:ascii="Times New Roman" w:cs="Times New Roman" w:eastAsia="Times New Roman" w:hAnsi="Times New Roman"/>
                  <w:sz w:val="13"/>
                  <w:szCs w:val="13"/>
                  <w:u w:val="single" w:color="auto"/>
                  <w:color w:val="0000EE"/>
                  <w:w w:val="98"/>
                </w:rPr>
                <w:t>2</w:t>
              </w:r>
              <w:r>
                <w:rPr>
                  <w:rFonts w:ascii="Times New Roman" w:cs="Times New Roman" w:eastAsia="Times New Roman" w:hAnsi="Times New Roman"/>
                  <w:sz w:val="13"/>
                  <w:szCs w:val="13"/>
                  <w:color w:val="0000EE"/>
                  <w:w w:val="98"/>
                </w:rPr>
                <w:t xml:space="preserve"> to the Combined Quarterly Report on Form 10-Q of Digital Realty Trust, Inc. and Digital Realty Trust, L.P. (File Nos. 001-32336 and 000-54023) filed on</w:t>
              </w:r>
            </w:hyperlink>
          </w:p>
        </w:tc>
      </w:tr>
      <w:tr>
        <w:trPr>
          <w:trHeight w:val="132"/>
        </w:trPr>
        <w:tc>
          <w:tcPr>
            <w:tcW w:w="740" w:type="dxa"/>
            <w:vAlign w:val="bottom"/>
          </w:tcPr>
          <w:p>
            <w:pPr>
              <w:spacing w:after="0"/>
              <w:rPr>
                <w:sz w:val="11"/>
                <w:szCs w:val="11"/>
                <w:color w:val="auto"/>
              </w:rPr>
            </w:pPr>
          </w:p>
        </w:tc>
        <w:tc>
          <w:tcPr>
            <w:tcW w:w="780" w:type="dxa"/>
            <w:vAlign w:val="bottom"/>
            <w:tcBorders>
              <w:top w:val="single" w:sz="8" w:color="0000EE"/>
              <w:bottom w:val="single" w:sz="8" w:color="0000EE"/>
            </w:tcBorders>
          </w:tcPr>
          <w:p>
            <w:pPr>
              <w:spacing w:after="0" w:line="132" w:lineRule="exact"/>
              <w:rPr>
                <w:rFonts w:ascii="Times New Roman" w:cs="Times New Roman" w:eastAsia="Times New Roman" w:hAnsi="Times New Roman"/>
                <w:sz w:val="13"/>
                <w:szCs w:val="13"/>
                <w:color w:val="0000EE"/>
                <w:w w:val="94"/>
              </w:rPr>
            </w:pPr>
            <w:hyperlink r:id="rId301">
              <w:r>
                <w:rPr>
                  <w:rFonts w:ascii="Times New Roman" w:cs="Times New Roman" w:eastAsia="Times New Roman" w:hAnsi="Times New Roman"/>
                  <w:sz w:val="13"/>
                  <w:szCs w:val="13"/>
                  <w:color w:val="0000EE"/>
                  <w:w w:val="94"/>
                </w:rPr>
                <w:t>May 11, 2020).</w:t>
              </w:r>
            </w:hyperlink>
          </w:p>
        </w:tc>
        <w:tc>
          <w:tcPr>
            <w:tcW w:w="7320" w:type="dxa"/>
            <w:vAlign w:val="bottom"/>
            <w:tcBorders>
              <w:top w:val="single" w:sz="8" w:color="0000EE"/>
            </w:tcBorders>
            <w:gridSpan w:val="11"/>
          </w:tcPr>
          <w:p>
            <w:pPr>
              <w:spacing w:after="0"/>
              <w:rPr>
                <w:sz w:val="11"/>
                <w:szCs w:val="11"/>
                <w:color w:val="auto"/>
              </w:rPr>
            </w:pPr>
          </w:p>
        </w:tc>
        <w:tc>
          <w:tcPr>
            <w:tcW w:w="120" w:type="dxa"/>
            <w:vAlign w:val="bottom"/>
            <w:gridSpan w:val="4"/>
          </w:tcPr>
          <w:p>
            <w:pPr>
              <w:spacing w:after="0"/>
              <w:rPr>
                <w:sz w:val="11"/>
                <w:szCs w:val="1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10.49†</w:t>
            </w:r>
          </w:p>
        </w:tc>
        <w:tc>
          <w:tcPr>
            <w:tcW w:w="8220" w:type="dxa"/>
            <w:vAlign w:val="bottom"/>
            <w:tcBorders>
              <w:bottom w:val="single" w:sz="8" w:color="0000EE"/>
            </w:tcBorders>
            <w:gridSpan w:val="16"/>
          </w:tcPr>
          <w:p>
            <w:pPr>
              <w:spacing w:after="0"/>
              <w:rPr>
                <w:rFonts w:ascii="Times New Roman" w:cs="Times New Roman" w:eastAsia="Times New Roman" w:hAnsi="Times New Roman"/>
                <w:sz w:val="13"/>
                <w:szCs w:val="13"/>
                <w:color w:val="0000EE"/>
                <w:w w:val="96"/>
              </w:rPr>
            </w:pPr>
            <w:hyperlink r:id="rId302">
              <w:r>
                <w:rPr>
                  <w:rFonts w:ascii="Times New Roman" w:cs="Times New Roman" w:eastAsia="Times New Roman" w:hAnsi="Times New Roman"/>
                  <w:sz w:val="13"/>
                  <w:szCs w:val="13"/>
                  <w:color w:val="0000EE"/>
                  <w:w w:val="96"/>
                </w:rPr>
                <w:t>Form of Class D Profits Interest Unit Agreement (Transaction Award) (incorporated by reference to Exhibit 10.3 to the Combined Quarterly Report on Form 10-Q</w:t>
              </w:r>
            </w:hyperlink>
          </w:p>
        </w:tc>
      </w:tr>
      <w:tr>
        <w:trPr>
          <w:trHeight w:val="132"/>
        </w:trPr>
        <w:tc>
          <w:tcPr>
            <w:tcW w:w="740" w:type="dxa"/>
            <w:vAlign w:val="bottom"/>
          </w:tcPr>
          <w:p>
            <w:pPr>
              <w:spacing w:after="0"/>
              <w:rPr>
                <w:sz w:val="11"/>
                <w:szCs w:val="11"/>
                <w:color w:val="auto"/>
              </w:rPr>
            </w:pPr>
          </w:p>
        </w:tc>
        <w:tc>
          <w:tcPr>
            <w:tcW w:w="6100" w:type="dxa"/>
            <w:vAlign w:val="bottom"/>
            <w:tcBorders>
              <w:bottom w:val="single" w:sz="8" w:color="0000EE"/>
            </w:tcBorders>
            <w:gridSpan w:val="5"/>
          </w:tcPr>
          <w:p>
            <w:pPr>
              <w:spacing w:after="0" w:line="132" w:lineRule="exact"/>
              <w:rPr>
                <w:rFonts w:ascii="Times New Roman" w:cs="Times New Roman" w:eastAsia="Times New Roman" w:hAnsi="Times New Roman"/>
                <w:sz w:val="13"/>
                <w:szCs w:val="13"/>
                <w:color w:val="0000EE"/>
                <w:w w:val="96"/>
              </w:rPr>
            </w:pPr>
            <w:hyperlink r:id="rId302">
              <w:r>
                <w:rPr>
                  <w:rFonts w:ascii="Times New Roman" w:cs="Times New Roman" w:eastAsia="Times New Roman" w:hAnsi="Times New Roman"/>
                  <w:sz w:val="13"/>
                  <w:szCs w:val="13"/>
                  <w:color w:val="0000EE"/>
                  <w:w w:val="96"/>
                </w:rPr>
                <w:t>of Digital Realty Trust, Inc. and Digital Realty Trust, L.P. (File Nos. 001-32336 and 000-54023) filed on May 11, 2020).</w:t>
              </w:r>
            </w:hyperlink>
          </w:p>
        </w:tc>
        <w:tc>
          <w:tcPr>
            <w:tcW w:w="2120" w:type="dxa"/>
            <w:vAlign w:val="bottom"/>
            <w:gridSpan w:val="11"/>
          </w:tcPr>
          <w:p>
            <w:pPr>
              <w:spacing w:after="0"/>
              <w:rPr>
                <w:sz w:val="11"/>
                <w:szCs w:val="1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10.50†</w:t>
            </w:r>
          </w:p>
        </w:tc>
        <w:tc>
          <w:tcPr>
            <w:tcW w:w="8160" w:type="dxa"/>
            <w:vAlign w:val="bottom"/>
            <w:tcBorders>
              <w:bottom w:val="single" w:sz="8" w:color="0000EE"/>
            </w:tcBorders>
            <w:gridSpan w:val="14"/>
          </w:tcPr>
          <w:p>
            <w:pPr>
              <w:spacing w:after="0"/>
              <w:rPr>
                <w:rFonts w:ascii="Times New Roman" w:cs="Times New Roman" w:eastAsia="Times New Roman" w:hAnsi="Times New Roman"/>
                <w:sz w:val="13"/>
                <w:szCs w:val="13"/>
                <w:color w:val="0000EE"/>
                <w:w w:val="96"/>
              </w:rPr>
            </w:pPr>
            <w:hyperlink r:id="rId303">
              <w:r>
                <w:rPr>
                  <w:rFonts w:ascii="Times New Roman" w:cs="Times New Roman" w:eastAsia="Times New Roman" w:hAnsi="Times New Roman"/>
                  <w:sz w:val="13"/>
                  <w:szCs w:val="13"/>
                  <w:color w:val="0000EE"/>
                  <w:w w:val="96"/>
                </w:rPr>
                <w:t>Form of Performance-Based Restricted Stock Unit Agreement (Transaction Award) (incorporated by reference to Exhibit 10.4 to the Combined Quarterly Report</w:t>
              </w:r>
            </w:hyperlink>
          </w:p>
        </w:tc>
        <w:tc>
          <w:tcPr>
            <w:tcW w:w="60" w:type="dxa"/>
            <w:vAlign w:val="bottom"/>
            <w:gridSpan w:val="2"/>
          </w:tcPr>
          <w:p>
            <w:pPr>
              <w:spacing w:after="0"/>
              <w:rPr>
                <w:sz w:val="24"/>
                <w:szCs w:val="24"/>
                <w:color w:val="auto"/>
              </w:rPr>
            </w:pPr>
          </w:p>
        </w:tc>
      </w:tr>
      <w:tr>
        <w:trPr>
          <w:trHeight w:val="160"/>
        </w:trPr>
        <w:tc>
          <w:tcPr>
            <w:tcW w:w="740" w:type="dxa"/>
            <w:vAlign w:val="bottom"/>
          </w:tcPr>
          <w:p>
            <w:pPr>
              <w:spacing w:after="0"/>
              <w:rPr>
                <w:sz w:val="13"/>
                <w:szCs w:val="13"/>
                <w:color w:val="auto"/>
              </w:rPr>
            </w:pPr>
          </w:p>
        </w:tc>
        <w:tc>
          <w:tcPr>
            <w:tcW w:w="8220" w:type="dxa"/>
            <w:vAlign w:val="bottom"/>
            <w:gridSpan w:val="16"/>
          </w:tcPr>
          <w:p>
            <w:pPr>
              <w:spacing w:after="0"/>
              <w:rPr>
                <w:rFonts w:ascii="Times New Roman" w:cs="Times New Roman" w:eastAsia="Times New Roman" w:hAnsi="Times New Roman"/>
                <w:sz w:val="13"/>
                <w:szCs w:val="13"/>
                <w:u w:val="single" w:color="auto"/>
                <w:color w:val="0000EE"/>
              </w:rPr>
            </w:pPr>
            <w:hyperlink r:id="rId303">
              <w:r>
                <w:rPr>
                  <w:rFonts w:ascii="Times New Roman" w:cs="Times New Roman" w:eastAsia="Times New Roman" w:hAnsi="Times New Roman"/>
                  <w:sz w:val="13"/>
                  <w:szCs w:val="13"/>
                  <w:u w:val="single" w:color="auto"/>
                  <w:color w:val="0000EE"/>
                </w:rPr>
                <w:t>on Form 10-Q of Digital Realty Trust, Inc. and Digital Realty Trust, L.P. (File Nos. 001-32336 and 000-54023) filed on May 11, 2020).</w:t>
              </w:r>
            </w:hyperlink>
          </w:p>
        </w:tc>
      </w:tr>
      <w:tr>
        <w:trPr>
          <w:trHeight w:val="608"/>
        </w:trPr>
        <w:tc>
          <w:tcPr>
            <w:tcW w:w="740" w:type="dxa"/>
            <w:vAlign w:val="bottom"/>
          </w:tcPr>
          <w:p>
            <w:pPr>
              <w:spacing w:after="0"/>
              <w:rPr>
                <w:sz w:val="24"/>
                <w:szCs w:val="24"/>
                <w:color w:val="auto"/>
              </w:rPr>
            </w:pPr>
          </w:p>
        </w:tc>
        <w:tc>
          <w:tcPr>
            <w:tcW w:w="4920" w:type="dxa"/>
            <w:vAlign w:val="bottom"/>
            <w:gridSpan w:val="3"/>
          </w:tcPr>
          <w:p>
            <w:pPr>
              <w:ind w:left="3640"/>
              <w:spacing w:after="0"/>
              <w:rPr>
                <w:sz w:val="20"/>
                <w:szCs w:val="20"/>
                <w:color w:val="auto"/>
              </w:rPr>
            </w:pPr>
            <w:r>
              <w:rPr>
                <w:rFonts w:ascii="Times New Roman" w:cs="Times New Roman" w:eastAsia="Times New Roman" w:hAnsi="Times New Roman"/>
                <w:sz w:val="13"/>
                <w:szCs w:val="13"/>
                <w:color w:val="auto"/>
              </w:rPr>
              <w:t>199</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0"/>
        </w:trPr>
        <w:tc>
          <w:tcPr>
            <w:tcW w:w="7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204" w:name="page205"/>
    <w:bookmarkEnd w:id="204"/>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10.51†</w:t>
            </w:r>
          </w:p>
        </w:tc>
        <w:tc>
          <w:tcPr>
            <w:tcW w:w="8220" w:type="dxa"/>
            <w:vAlign w:val="bottom"/>
            <w:gridSpan w:val="10"/>
          </w:tcPr>
          <w:p>
            <w:pPr>
              <w:spacing w:after="0"/>
              <w:rPr>
                <w:rFonts w:ascii="Times New Roman" w:cs="Times New Roman" w:eastAsia="Times New Roman" w:hAnsi="Times New Roman"/>
                <w:sz w:val="13"/>
                <w:szCs w:val="13"/>
                <w:color w:val="0000EE"/>
                <w:w w:val="97"/>
              </w:rPr>
            </w:pPr>
            <w:hyperlink r:id="rId304">
              <w:r>
                <w:rPr>
                  <w:rFonts w:ascii="Times New Roman" w:cs="Times New Roman" w:eastAsia="Times New Roman" w:hAnsi="Times New Roman"/>
                  <w:sz w:val="13"/>
                  <w:szCs w:val="13"/>
                  <w:color w:val="0000EE"/>
                  <w:w w:val="97"/>
                </w:rPr>
                <w:t>Form of Executive Severance Class D Profits Interest Unit Agreement (Transaction Award) (incorporated by reference to Exhibit 10.5 to the Combined Quarterly</w:t>
              </w:r>
            </w:hyperlink>
          </w:p>
        </w:tc>
      </w:tr>
      <w:tr>
        <w:trPr>
          <w:trHeight w:val="160"/>
        </w:trPr>
        <w:tc>
          <w:tcPr>
            <w:tcW w:w="740" w:type="dxa"/>
            <w:vAlign w:val="bottom"/>
          </w:tcPr>
          <w:p>
            <w:pPr>
              <w:spacing w:after="0"/>
              <w:rPr>
                <w:sz w:val="13"/>
                <w:szCs w:val="13"/>
                <w:color w:val="auto"/>
              </w:rPr>
            </w:pPr>
          </w:p>
        </w:tc>
        <w:tc>
          <w:tcPr>
            <w:tcW w:w="8180" w:type="dxa"/>
            <w:vAlign w:val="bottom"/>
            <w:tcBorders>
              <w:top w:val="single" w:sz="8" w:color="0000EE"/>
            </w:tcBorders>
            <w:gridSpan w:val="9"/>
          </w:tcPr>
          <w:p>
            <w:pPr>
              <w:spacing w:after="0"/>
              <w:rPr>
                <w:rFonts w:ascii="Times New Roman" w:cs="Times New Roman" w:eastAsia="Times New Roman" w:hAnsi="Times New Roman"/>
                <w:sz w:val="13"/>
                <w:szCs w:val="13"/>
                <w:u w:val="single" w:color="auto"/>
                <w:color w:val="0000EE"/>
              </w:rPr>
            </w:pPr>
            <w:hyperlink r:id="rId304">
              <w:r>
                <w:rPr>
                  <w:rFonts w:ascii="Times New Roman" w:cs="Times New Roman" w:eastAsia="Times New Roman" w:hAnsi="Times New Roman"/>
                  <w:sz w:val="13"/>
                  <w:szCs w:val="13"/>
                  <w:u w:val="single" w:color="auto"/>
                  <w:color w:val="0000EE"/>
                </w:rPr>
                <w:t>Report on Form 10-Q of Digital Realty Trust, Inc. and Digital Realty Trust, L.P. (File Nos. 001-32336 and 000-54023) filed on May 11, 2020)</w:t>
              </w:r>
              <w:r>
                <w:rPr>
                  <w:rFonts w:ascii="Times New Roman" w:cs="Times New Roman" w:eastAsia="Times New Roman" w:hAnsi="Times New Roman"/>
                  <w:sz w:val="13"/>
                  <w:szCs w:val="13"/>
                  <w:u w:val="single" w:color="auto"/>
                  <w:color w:val="000000"/>
                </w:rPr>
                <w:t>.</w:t>
              </w:r>
            </w:hyperlink>
          </w:p>
        </w:tc>
        <w:tc>
          <w:tcPr>
            <w:tcW w:w="40" w:type="dxa"/>
            <w:vAlign w:val="bottom"/>
          </w:tcPr>
          <w:p>
            <w:pPr>
              <w:spacing w:after="0"/>
              <w:rPr>
                <w:sz w:val="13"/>
                <w:szCs w:val="13"/>
                <w:color w:val="auto"/>
              </w:rPr>
            </w:pPr>
          </w:p>
        </w:tc>
      </w:tr>
      <w:tr>
        <w:trPr>
          <w:trHeight w:val="275"/>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10.52†</w:t>
            </w:r>
          </w:p>
        </w:tc>
        <w:tc>
          <w:tcPr>
            <w:tcW w:w="8160" w:type="dxa"/>
            <w:vAlign w:val="bottom"/>
            <w:tcBorders>
              <w:bottom w:val="single" w:sz="8" w:color="0000EE"/>
            </w:tcBorders>
            <w:gridSpan w:val="8"/>
          </w:tcPr>
          <w:p>
            <w:pPr>
              <w:spacing w:after="0"/>
              <w:rPr>
                <w:rFonts w:ascii="Times New Roman" w:cs="Times New Roman" w:eastAsia="Times New Roman" w:hAnsi="Times New Roman"/>
                <w:sz w:val="13"/>
                <w:szCs w:val="13"/>
                <w:color w:val="0000EE"/>
                <w:w w:val="96"/>
              </w:rPr>
            </w:pPr>
            <w:hyperlink r:id="rId305">
              <w:r>
                <w:rPr>
                  <w:rFonts w:ascii="Times New Roman" w:cs="Times New Roman" w:eastAsia="Times New Roman" w:hAnsi="Times New Roman"/>
                  <w:sz w:val="13"/>
                  <w:szCs w:val="13"/>
                  <w:color w:val="0000EE"/>
                  <w:w w:val="96"/>
                </w:rPr>
                <w:t>Form of Time-Based Profits Interest Unit Agreement (Transaction Award) (incorporated by reference to Exhibit 10.6 to the Combined Quarterly Report on Form</w:t>
              </w:r>
            </w:hyperlink>
          </w:p>
        </w:tc>
        <w:tc>
          <w:tcPr>
            <w:tcW w:w="60" w:type="dxa"/>
            <w:vAlign w:val="bottom"/>
            <w:gridSpan w:val="2"/>
          </w:tcPr>
          <w:p>
            <w:pPr>
              <w:spacing w:after="0"/>
              <w:rPr>
                <w:sz w:val="23"/>
                <w:szCs w:val="23"/>
                <w:color w:val="auto"/>
              </w:rPr>
            </w:pPr>
          </w:p>
        </w:tc>
      </w:tr>
      <w:tr>
        <w:trPr>
          <w:trHeight w:val="132"/>
        </w:trPr>
        <w:tc>
          <w:tcPr>
            <w:tcW w:w="740" w:type="dxa"/>
            <w:vAlign w:val="bottom"/>
          </w:tcPr>
          <w:p>
            <w:pPr>
              <w:spacing w:after="0"/>
              <w:rPr>
                <w:sz w:val="11"/>
                <w:szCs w:val="11"/>
                <w:color w:val="auto"/>
              </w:rPr>
            </w:pPr>
          </w:p>
        </w:tc>
        <w:tc>
          <w:tcPr>
            <w:tcW w:w="8220" w:type="dxa"/>
            <w:vAlign w:val="bottom"/>
            <w:gridSpan w:val="10"/>
          </w:tcPr>
          <w:p>
            <w:pPr>
              <w:spacing w:after="0" w:line="132" w:lineRule="exact"/>
              <w:rPr>
                <w:rFonts w:ascii="Times New Roman" w:cs="Times New Roman" w:eastAsia="Times New Roman" w:hAnsi="Times New Roman"/>
                <w:sz w:val="13"/>
                <w:szCs w:val="13"/>
                <w:color w:val="0000EE"/>
              </w:rPr>
            </w:pPr>
            <w:hyperlink r:id="rId305">
              <w:r>
                <w:rPr>
                  <w:rFonts w:ascii="Times New Roman" w:cs="Times New Roman" w:eastAsia="Times New Roman" w:hAnsi="Times New Roman"/>
                  <w:sz w:val="13"/>
                  <w:szCs w:val="13"/>
                  <w:color w:val="0000EE"/>
                </w:rPr>
                <w:t>10-Q of Digital Realty Trust, Inc. and Digital Realty Trust, L.P. (File Nos. 001-32336 and 000-54023) filed on May 11, 2020).</w:t>
              </w:r>
            </w:hyperlink>
          </w:p>
        </w:tc>
      </w:tr>
      <w:tr>
        <w:trPr>
          <w:trHeight w:val="20"/>
        </w:trPr>
        <w:tc>
          <w:tcPr>
            <w:tcW w:w="74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10.53†</w:t>
            </w:r>
          </w:p>
        </w:tc>
        <w:tc>
          <w:tcPr>
            <w:tcW w:w="8220" w:type="dxa"/>
            <w:vAlign w:val="bottom"/>
            <w:gridSpan w:val="10"/>
          </w:tcPr>
          <w:p>
            <w:pPr>
              <w:spacing w:after="0"/>
              <w:rPr>
                <w:rFonts w:ascii="Times New Roman" w:cs="Times New Roman" w:eastAsia="Times New Roman" w:hAnsi="Times New Roman"/>
                <w:sz w:val="13"/>
                <w:szCs w:val="13"/>
                <w:color w:val="0000EE"/>
              </w:rPr>
            </w:pPr>
            <w:hyperlink r:id="rId306">
              <w:r>
                <w:rPr>
                  <w:rFonts w:ascii="Times New Roman" w:cs="Times New Roman" w:eastAsia="Times New Roman" w:hAnsi="Times New Roman"/>
                  <w:sz w:val="13"/>
                  <w:szCs w:val="13"/>
                  <w:color w:val="0000EE"/>
                </w:rPr>
                <w:t>Form of Time-Based Restricted Stock Unit Agreement (Transaction Award) (incorporated by reference to Exhibit 10.7 to the Combined Quarterly Report on</w:t>
              </w:r>
            </w:hyperlink>
          </w:p>
        </w:tc>
      </w:tr>
      <w:tr>
        <w:trPr>
          <w:trHeight w:val="160"/>
        </w:trPr>
        <w:tc>
          <w:tcPr>
            <w:tcW w:w="740" w:type="dxa"/>
            <w:vAlign w:val="bottom"/>
          </w:tcPr>
          <w:p>
            <w:pPr>
              <w:spacing w:after="0"/>
              <w:rPr>
                <w:sz w:val="13"/>
                <w:szCs w:val="13"/>
                <w:color w:val="auto"/>
              </w:rPr>
            </w:pPr>
          </w:p>
        </w:tc>
        <w:tc>
          <w:tcPr>
            <w:tcW w:w="7920" w:type="dxa"/>
            <w:vAlign w:val="bottom"/>
            <w:tcBorders>
              <w:top w:val="single" w:sz="8" w:color="0000EE"/>
            </w:tcBorders>
            <w:gridSpan w:val="6"/>
          </w:tcPr>
          <w:p>
            <w:pPr>
              <w:spacing w:after="0"/>
              <w:rPr>
                <w:rFonts w:ascii="Times New Roman" w:cs="Times New Roman" w:eastAsia="Times New Roman" w:hAnsi="Times New Roman"/>
                <w:sz w:val="13"/>
                <w:szCs w:val="13"/>
                <w:u w:val="single" w:color="auto"/>
                <w:color w:val="0000EE"/>
              </w:rPr>
            </w:pPr>
            <w:hyperlink r:id="rId306">
              <w:r>
                <w:rPr>
                  <w:rFonts w:ascii="Times New Roman" w:cs="Times New Roman" w:eastAsia="Times New Roman" w:hAnsi="Times New Roman"/>
                  <w:sz w:val="13"/>
                  <w:szCs w:val="13"/>
                  <w:u w:val="single" w:color="auto"/>
                  <w:color w:val="0000EE"/>
                </w:rPr>
                <w:t>Form 10-Q of Digital Realty Trust, Inc. and Digital Realty Trust, L.P. (File Nos. 001-32336 and 000-54023) filed on May 11, 2020).</w:t>
              </w:r>
            </w:hyperlink>
          </w:p>
        </w:tc>
        <w:tc>
          <w:tcPr>
            <w:tcW w:w="300" w:type="dxa"/>
            <w:vAlign w:val="bottom"/>
            <w:gridSpan w:val="4"/>
          </w:tcPr>
          <w:p>
            <w:pPr>
              <w:spacing w:after="0"/>
              <w:rPr>
                <w:sz w:val="13"/>
                <w:szCs w:val="13"/>
                <w:color w:val="auto"/>
              </w:rPr>
            </w:pPr>
          </w:p>
        </w:tc>
      </w:tr>
      <w:tr>
        <w:trPr>
          <w:trHeight w:val="275"/>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10.54†</w:t>
            </w:r>
          </w:p>
        </w:tc>
        <w:tc>
          <w:tcPr>
            <w:tcW w:w="8220" w:type="dxa"/>
            <w:vAlign w:val="bottom"/>
            <w:gridSpan w:val="10"/>
          </w:tcPr>
          <w:p>
            <w:pPr>
              <w:spacing w:after="0"/>
              <w:rPr>
                <w:rFonts w:ascii="Times New Roman" w:cs="Times New Roman" w:eastAsia="Times New Roman" w:hAnsi="Times New Roman"/>
                <w:sz w:val="13"/>
                <w:szCs w:val="13"/>
                <w:color w:val="0000EE"/>
              </w:rPr>
            </w:pPr>
            <w:hyperlink r:id="rId307">
              <w:r>
                <w:rPr>
                  <w:rFonts w:ascii="Times New Roman" w:cs="Times New Roman" w:eastAsia="Times New Roman" w:hAnsi="Times New Roman"/>
                  <w:sz w:val="13"/>
                  <w:szCs w:val="13"/>
                  <w:color w:val="0000EE"/>
                </w:rPr>
                <w:t>Form of Executive Severance Time-Based Profits Interest Unit Agreement (Transaction Award) (incorporated by reference to Exhibit 10.8 to the Combined</w:t>
              </w:r>
            </w:hyperlink>
          </w:p>
        </w:tc>
      </w:tr>
      <w:tr>
        <w:trPr>
          <w:trHeight w:val="160"/>
        </w:trPr>
        <w:tc>
          <w:tcPr>
            <w:tcW w:w="740" w:type="dxa"/>
            <w:vAlign w:val="bottom"/>
          </w:tcPr>
          <w:p>
            <w:pPr>
              <w:spacing w:after="0"/>
              <w:rPr>
                <w:sz w:val="13"/>
                <w:szCs w:val="13"/>
                <w:color w:val="auto"/>
              </w:rPr>
            </w:pPr>
          </w:p>
        </w:tc>
        <w:tc>
          <w:tcPr>
            <w:tcW w:w="7880" w:type="dxa"/>
            <w:vAlign w:val="bottom"/>
            <w:tcBorders>
              <w:top w:val="single" w:sz="8" w:color="0000EE"/>
            </w:tcBorders>
            <w:gridSpan w:val="5"/>
          </w:tcPr>
          <w:p>
            <w:pPr>
              <w:spacing w:after="0"/>
              <w:rPr>
                <w:rFonts w:ascii="Times New Roman" w:cs="Times New Roman" w:eastAsia="Times New Roman" w:hAnsi="Times New Roman"/>
                <w:sz w:val="13"/>
                <w:szCs w:val="13"/>
                <w:u w:val="single" w:color="auto"/>
                <w:color w:val="0000EE"/>
                <w:w w:val="98"/>
              </w:rPr>
            </w:pPr>
            <w:hyperlink r:id="rId307">
              <w:r>
                <w:rPr>
                  <w:rFonts w:ascii="Times New Roman" w:cs="Times New Roman" w:eastAsia="Times New Roman" w:hAnsi="Times New Roman"/>
                  <w:sz w:val="13"/>
                  <w:szCs w:val="13"/>
                  <w:u w:val="single" w:color="auto"/>
                  <w:color w:val="0000EE"/>
                  <w:w w:val="98"/>
                </w:rPr>
                <w:t>Quarterly Report on Form 10-Q of Digital Realty Trust, Inc. and Digital Realty Trust, L.P. (File Nos. 001-32336 and 000-54023) filed on May 11, 2020).</w:t>
              </w:r>
            </w:hyperlink>
          </w:p>
        </w:tc>
        <w:tc>
          <w:tcPr>
            <w:tcW w:w="340" w:type="dxa"/>
            <w:vAlign w:val="bottom"/>
            <w:gridSpan w:val="5"/>
          </w:tcPr>
          <w:p>
            <w:pPr>
              <w:spacing w:after="0"/>
              <w:rPr>
                <w:sz w:val="13"/>
                <w:szCs w:val="13"/>
                <w:color w:val="auto"/>
              </w:rPr>
            </w:pPr>
          </w:p>
        </w:tc>
      </w:tr>
      <w:tr>
        <w:trPr>
          <w:trHeight w:val="275"/>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10.55†</w:t>
            </w:r>
          </w:p>
        </w:tc>
        <w:tc>
          <w:tcPr>
            <w:tcW w:w="8220" w:type="dxa"/>
            <w:vAlign w:val="bottom"/>
            <w:gridSpan w:val="10"/>
          </w:tcPr>
          <w:p>
            <w:pPr>
              <w:spacing w:after="0"/>
              <w:rPr>
                <w:rFonts w:ascii="Times New Roman" w:cs="Times New Roman" w:eastAsia="Times New Roman" w:hAnsi="Times New Roman"/>
                <w:sz w:val="13"/>
                <w:szCs w:val="13"/>
                <w:color w:val="0000EE"/>
                <w:w w:val="97"/>
              </w:rPr>
            </w:pPr>
            <w:hyperlink r:id="rId308">
              <w:r>
                <w:rPr>
                  <w:rFonts w:ascii="Times New Roman" w:cs="Times New Roman" w:eastAsia="Times New Roman" w:hAnsi="Times New Roman"/>
                  <w:sz w:val="13"/>
                  <w:szCs w:val="13"/>
                  <w:color w:val="0000EE"/>
                  <w:w w:val="97"/>
                </w:rPr>
                <w:t>Form of Executive Severance Time-Based Profits Interest Unit Agreement (incorporated by reference to Exhibit 10.9 to the Combined Quarterly Report on Form</w:t>
              </w:r>
            </w:hyperlink>
          </w:p>
        </w:tc>
      </w:tr>
      <w:tr>
        <w:trPr>
          <w:trHeight w:val="132"/>
        </w:trPr>
        <w:tc>
          <w:tcPr>
            <w:tcW w:w="740" w:type="dxa"/>
            <w:vAlign w:val="bottom"/>
          </w:tcPr>
          <w:p>
            <w:pPr>
              <w:spacing w:after="0"/>
              <w:rPr>
                <w:sz w:val="11"/>
                <w:szCs w:val="11"/>
                <w:color w:val="auto"/>
              </w:rPr>
            </w:pPr>
          </w:p>
        </w:tc>
        <w:tc>
          <w:tcPr>
            <w:tcW w:w="8160" w:type="dxa"/>
            <w:vAlign w:val="bottom"/>
            <w:tcBorders>
              <w:top w:val="single" w:sz="8" w:color="0000EE"/>
            </w:tcBorders>
            <w:gridSpan w:val="8"/>
          </w:tcPr>
          <w:p>
            <w:pPr>
              <w:spacing w:after="0" w:line="132" w:lineRule="exact"/>
              <w:rPr>
                <w:rFonts w:ascii="Times New Roman" w:cs="Times New Roman" w:eastAsia="Times New Roman" w:hAnsi="Times New Roman"/>
                <w:sz w:val="13"/>
                <w:szCs w:val="13"/>
                <w:color w:val="0000EE"/>
              </w:rPr>
            </w:pPr>
            <w:hyperlink r:id="rId308">
              <w:r>
                <w:rPr>
                  <w:rFonts w:ascii="Times New Roman" w:cs="Times New Roman" w:eastAsia="Times New Roman" w:hAnsi="Times New Roman"/>
                  <w:sz w:val="13"/>
                  <w:szCs w:val="13"/>
                  <w:color w:val="0000EE"/>
                </w:rPr>
                <w:t>10-Q of Digital Realty Trust, Inc. and Digital Realty Trust, L.P. (File Nos. 001-32336 and 000-54023) filed on May 11, 2020).</w:t>
              </w:r>
            </w:hyperlink>
          </w:p>
        </w:tc>
        <w:tc>
          <w:tcPr>
            <w:tcW w:w="60" w:type="dxa"/>
            <w:vAlign w:val="bottom"/>
            <w:gridSpan w:val="2"/>
          </w:tcPr>
          <w:p>
            <w:pPr>
              <w:spacing w:after="0"/>
              <w:rPr>
                <w:sz w:val="11"/>
                <w:szCs w:val="11"/>
                <w:color w:val="auto"/>
              </w:rPr>
            </w:pPr>
          </w:p>
        </w:tc>
      </w:tr>
      <w:tr>
        <w:trPr>
          <w:trHeight w:val="20"/>
        </w:trPr>
        <w:tc>
          <w:tcPr>
            <w:tcW w:w="74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10.56†</w:t>
            </w:r>
          </w:p>
        </w:tc>
        <w:tc>
          <w:tcPr>
            <w:tcW w:w="8220" w:type="dxa"/>
            <w:vAlign w:val="bottom"/>
            <w:tcBorders>
              <w:bottom w:val="single" w:sz="8" w:color="0000EE"/>
            </w:tcBorders>
            <w:gridSpan w:val="10"/>
          </w:tcPr>
          <w:p>
            <w:pPr>
              <w:spacing w:after="0"/>
              <w:rPr>
                <w:rFonts w:ascii="Times New Roman" w:cs="Times New Roman" w:eastAsia="Times New Roman" w:hAnsi="Times New Roman"/>
                <w:sz w:val="13"/>
                <w:szCs w:val="13"/>
                <w:color w:val="0000EE"/>
                <w:w w:val="97"/>
              </w:rPr>
            </w:pPr>
            <w:hyperlink r:id="rId309">
              <w:r>
                <w:rPr>
                  <w:rFonts w:ascii="Times New Roman" w:cs="Times New Roman" w:eastAsia="Times New Roman" w:hAnsi="Times New Roman"/>
                  <w:sz w:val="13"/>
                  <w:szCs w:val="13"/>
                  <w:color w:val="0000EE"/>
                  <w:w w:val="97"/>
                </w:rPr>
                <w:t>Form of Executive Severance Class D Profits Interest Unit Agreement (incorporated by reference to Exhibit 10.10 to the Combined Quarterly Report on Form 10-</w:t>
              </w:r>
            </w:hyperlink>
          </w:p>
        </w:tc>
      </w:tr>
      <w:tr>
        <w:trPr>
          <w:trHeight w:val="132"/>
        </w:trPr>
        <w:tc>
          <w:tcPr>
            <w:tcW w:w="740" w:type="dxa"/>
            <w:vAlign w:val="bottom"/>
          </w:tcPr>
          <w:p>
            <w:pPr>
              <w:spacing w:after="0"/>
              <w:rPr>
                <w:sz w:val="11"/>
                <w:szCs w:val="11"/>
                <w:color w:val="auto"/>
              </w:rPr>
            </w:pPr>
          </w:p>
        </w:tc>
        <w:tc>
          <w:tcPr>
            <w:tcW w:w="6220" w:type="dxa"/>
            <w:vAlign w:val="bottom"/>
            <w:tcBorders>
              <w:bottom w:val="single" w:sz="8" w:color="0000EE"/>
            </w:tcBorders>
            <w:gridSpan w:val="3"/>
          </w:tcPr>
          <w:p>
            <w:pPr>
              <w:spacing w:after="0" w:line="132" w:lineRule="exact"/>
              <w:rPr>
                <w:rFonts w:ascii="Times New Roman" w:cs="Times New Roman" w:eastAsia="Times New Roman" w:hAnsi="Times New Roman"/>
                <w:sz w:val="13"/>
                <w:szCs w:val="13"/>
                <w:color w:val="0000EE"/>
                <w:w w:val="96"/>
              </w:rPr>
            </w:pPr>
            <w:hyperlink r:id="rId309">
              <w:r>
                <w:rPr>
                  <w:rFonts w:ascii="Times New Roman" w:cs="Times New Roman" w:eastAsia="Times New Roman" w:hAnsi="Times New Roman"/>
                  <w:sz w:val="13"/>
                  <w:szCs w:val="13"/>
                  <w:color w:val="0000EE"/>
                  <w:w w:val="96"/>
                </w:rPr>
                <w:t>Q of Digital Realty Trust, Inc. and Digital Realty Trust, L.P. (File Nos. 001-32336 and 000-54023) filed on May 11, 2020).</w:t>
              </w:r>
            </w:hyperlink>
          </w:p>
        </w:tc>
        <w:tc>
          <w:tcPr>
            <w:tcW w:w="2000" w:type="dxa"/>
            <w:vAlign w:val="bottom"/>
            <w:gridSpan w:val="7"/>
          </w:tcPr>
          <w:p>
            <w:pPr>
              <w:spacing w:after="0"/>
              <w:rPr>
                <w:sz w:val="11"/>
                <w:szCs w:val="1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10.57†</w:t>
            </w:r>
          </w:p>
        </w:tc>
        <w:tc>
          <w:tcPr>
            <w:tcW w:w="8220" w:type="dxa"/>
            <w:vAlign w:val="bottom"/>
            <w:gridSpan w:val="10"/>
          </w:tcPr>
          <w:p>
            <w:pPr>
              <w:spacing w:after="0"/>
              <w:rPr>
                <w:rFonts w:ascii="Times New Roman" w:cs="Times New Roman" w:eastAsia="Times New Roman" w:hAnsi="Times New Roman"/>
                <w:sz w:val="13"/>
                <w:szCs w:val="13"/>
                <w:color w:val="0000EE"/>
                <w:w w:val="98"/>
              </w:rPr>
            </w:pPr>
            <w:hyperlink r:id="rId310">
              <w:r>
                <w:rPr>
                  <w:rFonts w:ascii="Times New Roman" w:cs="Times New Roman" w:eastAsia="Times New Roman" w:hAnsi="Times New Roman"/>
                  <w:sz w:val="13"/>
                  <w:szCs w:val="13"/>
                  <w:color w:val="0000EE"/>
                  <w:w w:val="98"/>
                </w:rPr>
                <w:t>InterXion Holding N.V. 2017 Executive Director Long Term Incentive Plan (incorporated by reference to Exhibit 4.5 to the Registration Statement on Form S-8</w:t>
              </w:r>
            </w:hyperlink>
          </w:p>
        </w:tc>
      </w:tr>
      <w:tr>
        <w:trPr>
          <w:trHeight w:val="132"/>
        </w:trPr>
        <w:tc>
          <w:tcPr>
            <w:tcW w:w="740" w:type="dxa"/>
            <w:vAlign w:val="bottom"/>
          </w:tcPr>
          <w:p>
            <w:pPr>
              <w:spacing w:after="0"/>
              <w:rPr>
                <w:sz w:val="11"/>
                <w:szCs w:val="11"/>
                <w:color w:val="auto"/>
              </w:rPr>
            </w:pPr>
          </w:p>
        </w:tc>
        <w:tc>
          <w:tcPr>
            <w:tcW w:w="8100" w:type="dxa"/>
            <w:vAlign w:val="bottom"/>
            <w:tcBorders>
              <w:top w:val="single" w:sz="8" w:color="0000EE"/>
            </w:tcBorders>
            <w:gridSpan w:val="7"/>
          </w:tcPr>
          <w:p>
            <w:pPr>
              <w:spacing w:after="0" w:line="132" w:lineRule="exact"/>
              <w:rPr>
                <w:rFonts w:ascii="Times New Roman" w:cs="Times New Roman" w:eastAsia="Times New Roman" w:hAnsi="Times New Roman"/>
                <w:sz w:val="13"/>
                <w:szCs w:val="13"/>
                <w:color w:val="0000EE"/>
              </w:rPr>
            </w:pPr>
            <w:hyperlink r:id="rId310">
              <w:r>
                <w:rPr>
                  <w:rFonts w:ascii="Times New Roman" w:cs="Times New Roman" w:eastAsia="Times New Roman" w:hAnsi="Times New Roman"/>
                  <w:sz w:val="13"/>
                  <w:szCs w:val="13"/>
                  <w:color w:val="0000EE"/>
                </w:rPr>
                <w:t>of Digital Realty Trust, Inc. (File No. 333-237038) filed on March 9, 2020).</w:t>
              </w:r>
            </w:hyperlink>
          </w:p>
        </w:tc>
        <w:tc>
          <w:tcPr>
            <w:tcW w:w="120" w:type="dxa"/>
            <w:vAlign w:val="bottom"/>
            <w:gridSpan w:val="3"/>
          </w:tcPr>
          <w:p>
            <w:pPr>
              <w:spacing w:after="0"/>
              <w:rPr>
                <w:sz w:val="11"/>
                <w:szCs w:val="11"/>
                <w:color w:val="auto"/>
              </w:rPr>
            </w:pPr>
          </w:p>
        </w:tc>
      </w:tr>
      <w:tr>
        <w:trPr>
          <w:trHeight w:val="20"/>
        </w:trPr>
        <w:tc>
          <w:tcPr>
            <w:tcW w:w="74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10.58†</w:t>
            </w:r>
          </w:p>
        </w:tc>
        <w:tc>
          <w:tcPr>
            <w:tcW w:w="8220" w:type="dxa"/>
            <w:vAlign w:val="bottom"/>
            <w:tcBorders>
              <w:bottom w:val="single" w:sz="8" w:color="0000EE"/>
            </w:tcBorders>
            <w:gridSpan w:val="10"/>
          </w:tcPr>
          <w:p>
            <w:pPr>
              <w:spacing w:after="0"/>
              <w:rPr>
                <w:rFonts w:ascii="Times New Roman" w:cs="Times New Roman" w:eastAsia="Times New Roman" w:hAnsi="Times New Roman"/>
                <w:sz w:val="13"/>
                <w:szCs w:val="13"/>
                <w:color w:val="0000EE"/>
                <w:w w:val="96"/>
              </w:rPr>
            </w:pPr>
            <w:hyperlink r:id="rId311">
              <w:r>
                <w:rPr>
                  <w:rFonts w:ascii="Times New Roman" w:cs="Times New Roman" w:eastAsia="Times New Roman" w:hAnsi="Times New Roman"/>
                  <w:sz w:val="13"/>
                  <w:szCs w:val="13"/>
                  <w:color w:val="0000EE"/>
                  <w:w w:val="96"/>
                </w:rPr>
                <w:t>InterXion Holding N.V. 2013 Amended International Equity Based Incentive Plan (incorporated by reference to Exhibit 4.4 to the Registration Statement on Form</w:t>
              </w:r>
            </w:hyperlink>
          </w:p>
        </w:tc>
      </w:tr>
      <w:tr>
        <w:trPr>
          <w:trHeight w:val="132"/>
        </w:trPr>
        <w:tc>
          <w:tcPr>
            <w:tcW w:w="740" w:type="dxa"/>
            <w:vAlign w:val="bottom"/>
          </w:tcPr>
          <w:p>
            <w:pPr>
              <w:spacing w:after="0"/>
              <w:rPr>
                <w:sz w:val="11"/>
                <w:szCs w:val="11"/>
                <w:color w:val="auto"/>
              </w:rPr>
            </w:pPr>
          </w:p>
        </w:tc>
        <w:tc>
          <w:tcPr>
            <w:tcW w:w="8220" w:type="dxa"/>
            <w:vAlign w:val="bottom"/>
            <w:gridSpan w:val="10"/>
          </w:tcPr>
          <w:p>
            <w:pPr>
              <w:spacing w:after="0" w:line="132" w:lineRule="exact"/>
              <w:rPr>
                <w:rFonts w:ascii="Times New Roman" w:cs="Times New Roman" w:eastAsia="Times New Roman" w:hAnsi="Times New Roman"/>
                <w:sz w:val="13"/>
                <w:szCs w:val="13"/>
                <w:color w:val="0000EE"/>
              </w:rPr>
            </w:pPr>
            <w:hyperlink r:id="rId311">
              <w:r>
                <w:rPr>
                  <w:rFonts w:ascii="Times New Roman" w:cs="Times New Roman" w:eastAsia="Times New Roman" w:hAnsi="Times New Roman"/>
                  <w:sz w:val="13"/>
                  <w:szCs w:val="13"/>
                  <w:color w:val="0000EE"/>
                </w:rPr>
                <w:t>S-8 of Digital Realty Trust, Inc. (File No. 333-237038) filed on March 9, 2020).</w:t>
              </w:r>
            </w:hyperlink>
          </w:p>
        </w:tc>
      </w:tr>
      <w:tr>
        <w:trPr>
          <w:trHeight w:val="20"/>
        </w:trPr>
        <w:tc>
          <w:tcPr>
            <w:tcW w:w="740" w:type="dxa"/>
            <w:vAlign w:val="bottom"/>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r>
      <w:tr>
        <w:trPr>
          <w:trHeight w:val="312"/>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10.59†</w:t>
            </w:r>
          </w:p>
        </w:tc>
        <w:tc>
          <w:tcPr>
            <w:tcW w:w="8220" w:type="dxa"/>
            <w:vAlign w:val="bottom"/>
            <w:gridSpan w:val="10"/>
          </w:tcPr>
          <w:p>
            <w:pPr>
              <w:spacing w:after="0"/>
              <w:rPr>
                <w:rFonts w:ascii="Times New Roman" w:cs="Times New Roman" w:eastAsia="Times New Roman" w:hAnsi="Times New Roman"/>
                <w:sz w:val="13"/>
                <w:szCs w:val="13"/>
                <w:color w:val="0000EE"/>
              </w:rPr>
            </w:pPr>
            <w:hyperlink w:anchor="page227">
              <w:r>
                <w:rPr>
                  <w:rFonts w:ascii="Times New Roman" w:cs="Times New Roman" w:eastAsia="Times New Roman" w:hAnsi="Times New Roman"/>
                  <w:sz w:val="13"/>
                  <w:szCs w:val="13"/>
                  <w:u w:val="single" w:color="auto"/>
                  <w:color w:val="0000EE"/>
                </w:rPr>
                <w:t>Form of Indemnification Agreement by and between Digital Realty Trust, Inc. and its directors and officers</w:t>
              </w:r>
              <w:r>
                <w:rPr>
                  <w:rFonts w:ascii="Times New Roman" w:cs="Times New Roman" w:eastAsia="Times New Roman" w:hAnsi="Times New Roman"/>
                  <w:sz w:val="13"/>
                  <w:szCs w:val="13"/>
                  <w:color w:val="0000EE"/>
                </w:rPr>
                <w:t>.</w:t>
              </w:r>
            </w:hyperlink>
          </w:p>
        </w:tc>
      </w:tr>
      <w:tr>
        <w:trPr>
          <w:trHeight w:val="30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21.1</w:t>
            </w:r>
          </w:p>
        </w:tc>
        <w:tc>
          <w:tcPr>
            <w:tcW w:w="8220" w:type="dxa"/>
            <w:vAlign w:val="bottom"/>
            <w:gridSpan w:val="10"/>
          </w:tcPr>
          <w:p>
            <w:pPr>
              <w:spacing w:after="0"/>
              <w:rPr>
                <w:rFonts w:ascii="Times New Roman" w:cs="Times New Roman" w:eastAsia="Times New Roman" w:hAnsi="Times New Roman"/>
                <w:sz w:val="13"/>
                <w:szCs w:val="13"/>
                <w:u w:val="single" w:color="auto"/>
                <w:color w:val="0000EE"/>
              </w:rPr>
            </w:pPr>
            <w:hyperlink w:anchor="page243">
              <w:r>
                <w:rPr>
                  <w:rFonts w:ascii="Times New Roman" w:cs="Times New Roman" w:eastAsia="Times New Roman" w:hAnsi="Times New Roman"/>
                  <w:sz w:val="13"/>
                  <w:szCs w:val="13"/>
                  <w:u w:val="single" w:color="auto"/>
                  <w:color w:val="0000EE"/>
                </w:rPr>
                <w:t>List of Subsidiaries of Digital Realty Trust, Inc.</w:t>
              </w:r>
            </w:hyperlink>
          </w:p>
        </w:tc>
      </w:tr>
      <w:tr>
        <w:trPr>
          <w:trHeight w:val="30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21.2</w:t>
            </w:r>
          </w:p>
        </w:tc>
        <w:tc>
          <w:tcPr>
            <w:tcW w:w="8220" w:type="dxa"/>
            <w:vAlign w:val="bottom"/>
            <w:gridSpan w:val="10"/>
          </w:tcPr>
          <w:p>
            <w:pPr>
              <w:spacing w:after="0"/>
              <w:rPr>
                <w:rFonts w:ascii="Times New Roman" w:cs="Times New Roman" w:eastAsia="Times New Roman" w:hAnsi="Times New Roman"/>
                <w:sz w:val="13"/>
                <w:szCs w:val="13"/>
                <w:color w:val="0000EE"/>
              </w:rPr>
            </w:pPr>
            <w:hyperlink w:anchor="page250">
              <w:r>
                <w:rPr>
                  <w:rFonts w:ascii="Times New Roman" w:cs="Times New Roman" w:eastAsia="Times New Roman" w:hAnsi="Times New Roman"/>
                  <w:sz w:val="13"/>
                  <w:szCs w:val="13"/>
                  <w:u w:val="single" w:color="auto"/>
                  <w:color w:val="0000EE"/>
                </w:rPr>
                <w:t>List of Subsidiaries of Digital Realty Trust, L.P</w:t>
              </w:r>
              <w:r>
                <w:rPr>
                  <w:rFonts w:ascii="Times New Roman" w:cs="Times New Roman" w:eastAsia="Times New Roman" w:hAnsi="Times New Roman"/>
                  <w:sz w:val="13"/>
                  <w:szCs w:val="13"/>
                  <w:color w:val="0000EE"/>
                </w:rPr>
                <w:t>.</w:t>
              </w:r>
            </w:hyperlink>
          </w:p>
        </w:tc>
      </w:tr>
      <w:tr>
        <w:trPr>
          <w:trHeight w:val="30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23.1</w:t>
            </w:r>
          </w:p>
        </w:tc>
        <w:tc>
          <w:tcPr>
            <w:tcW w:w="8220" w:type="dxa"/>
            <w:vAlign w:val="bottom"/>
            <w:gridSpan w:val="10"/>
          </w:tcPr>
          <w:p>
            <w:pPr>
              <w:spacing w:after="0"/>
              <w:rPr>
                <w:rFonts w:ascii="Times New Roman" w:cs="Times New Roman" w:eastAsia="Times New Roman" w:hAnsi="Times New Roman"/>
                <w:sz w:val="13"/>
                <w:szCs w:val="13"/>
                <w:u w:val="single" w:color="auto"/>
                <w:color w:val="0000EE"/>
              </w:rPr>
            </w:pPr>
            <w:hyperlink w:anchor="page258">
              <w:r>
                <w:rPr>
                  <w:rFonts w:ascii="Times New Roman" w:cs="Times New Roman" w:eastAsia="Times New Roman" w:hAnsi="Times New Roman"/>
                  <w:sz w:val="13"/>
                  <w:szCs w:val="13"/>
                  <w:u w:val="single" w:color="auto"/>
                  <w:color w:val="0000EE"/>
                </w:rPr>
                <w:t>Consent of Independent Registered Public Accounting Firm.</w:t>
              </w:r>
            </w:hyperlink>
          </w:p>
        </w:tc>
      </w:tr>
      <w:tr>
        <w:trPr>
          <w:trHeight w:val="30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8220" w:type="dxa"/>
            <w:vAlign w:val="bottom"/>
            <w:gridSpan w:val="10"/>
          </w:tcPr>
          <w:p>
            <w:pPr>
              <w:spacing w:after="0"/>
              <w:rPr>
                <w:rFonts w:ascii="Times New Roman" w:cs="Times New Roman" w:eastAsia="Times New Roman" w:hAnsi="Times New Roman"/>
                <w:sz w:val="13"/>
                <w:szCs w:val="13"/>
                <w:u w:val="single" w:color="auto"/>
                <w:color w:val="0000EE"/>
              </w:rPr>
            </w:pPr>
            <w:hyperlink w:anchor="page259">
              <w:r>
                <w:rPr>
                  <w:rFonts w:ascii="Times New Roman" w:cs="Times New Roman" w:eastAsia="Times New Roman" w:hAnsi="Times New Roman"/>
                  <w:sz w:val="13"/>
                  <w:szCs w:val="13"/>
                  <w:u w:val="single" w:color="auto"/>
                  <w:color w:val="0000EE"/>
                </w:rPr>
                <w:t>Rule 13a-14(a)/15d-14(a) Certifications of Chief Executive Officer for Digital Realty Trust, Inc.</w:t>
              </w:r>
            </w:hyperlink>
          </w:p>
        </w:tc>
      </w:tr>
      <w:tr>
        <w:trPr>
          <w:trHeight w:val="30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8220" w:type="dxa"/>
            <w:vAlign w:val="bottom"/>
            <w:gridSpan w:val="10"/>
          </w:tcPr>
          <w:p>
            <w:pPr>
              <w:spacing w:after="0"/>
              <w:rPr>
                <w:rFonts w:ascii="Times New Roman" w:cs="Times New Roman" w:eastAsia="Times New Roman" w:hAnsi="Times New Roman"/>
                <w:sz w:val="13"/>
                <w:szCs w:val="13"/>
                <w:u w:val="single" w:color="auto"/>
                <w:color w:val="0000EE"/>
              </w:rPr>
            </w:pPr>
            <w:hyperlink w:anchor="page261">
              <w:r>
                <w:rPr>
                  <w:rFonts w:ascii="Times New Roman" w:cs="Times New Roman" w:eastAsia="Times New Roman" w:hAnsi="Times New Roman"/>
                  <w:sz w:val="13"/>
                  <w:szCs w:val="13"/>
                  <w:u w:val="single" w:color="auto"/>
                  <w:color w:val="0000EE"/>
                </w:rPr>
                <w:t>Rule 13a-14(a)/15d-14(a) Certifications of Chief Financial Officer for Digital Realty Trust, Inc.</w:t>
              </w:r>
            </w:hyperlink>
          </w:p>
        </w:tc>
      </w:tr>
      <w:tr>
        <w:trPr>
          <w:trHeight w:val="30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31.3</w:t>
            </w:r>
          </w:p>
        </w:tc>
        <w:tc>
          <w:tcPr>
            <w:tcW w:w="8220" w:type="dxa"/>
            <w:vAlign w:val="bottom"/>
            <w:gridSpan w:val="10"/>
          </w:tcPr>
          <w:p>
            <w:pPr>
              <w:spacing w:after="0"/>
              <w:rPr>
                <w:rFonts w:ascii="Times New Roman" w:cs="Times New Roman" w:eastAsia="Times New Roman" w:hAnsi="Times New Roman"/>
                <w:sz w:val="13"/>
                <w:szCs w:val="13"/>
                <w:u w:val="single" w:color="auto"/>
                <w:color w:val="0000EE"/>
              </w:rPr>
            </w:pPr>
            <w:hyperlink w:anchor="page263">
              <w:r>
                <w:rPr>
                  <w:rFonts w:ascii="Times New Roman" w:cs="Times New Roman" w:eastAsia="Times New Roman" w:hAnsi="Times New Roman"/>
                  <w:sz w:val="13"/>
                  <w:szCs w:val="13"/>
                  <w:u w:val="single" w:color="auto"/>
                  <w:color w:val="0000EE"/>
                </w:rPr>
                <w:t>Rule 13a-14(a)/15d-14(a) Certifications of Chief Executive Officer for Digital Realty Trust, L.P.</w:t>
              </w:r>
            </w:hyperlink>
          </w:p>
        </w:tc>
      </w:tr>
      <w:tr>
        <w:trPr>
          <w:trHeight w:val="30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31.4</w:t>
            </w:r>
          </w:p>
        </w:tc>
        <w:tc>
          <w:tcPr>
            <w:tcW w:w="8220" w:type="dxa"/>
            <w:vAlign w:val="bottom"/>
            <w:gridSpan w:val="10"/>
          </w:tcPr>
          <w:p>
            <w:pPr>
              <w:spacing w:after="0"/>
              <w:rPr>
                <w:rFonts w:ascii="Times New Roman" w:cs="Times New Roman" w:eastAsia="Times New Roman" w:hAnsi="Times New Roman"/>
                <w:sz w:val="13"/>
                <w:szCs w:val="13"/>
                <w:u w:val="single" w:color="auto"/>
                <w:color w:val="0000EE"/>
              </w:rPr>
            </w:pPr>
            <w:hyperlink w:anchor="page265">
              <w:r>
                <w:rPr>
                  <w:rFonts w:ascii="Times New Roman" w:cs="Times New Roman" w:eastAsia="Times New Roman" w:hAnsi="Times New Roman"/>
                  <w:sz w:val="13"/>
                  <w:szCs w:val="13"/>
                  <w:u w:val="single" w:color="auto"/>
                  <w:color w:val="0000EE"/>
                </w:rPr>
                <w:t>Rule 13a-14(a)/15d-14(a) Certifications of Chief Financial Officer for Digital Realty Trust, L.P.</w:t>
              </w:r>
            </w:hyperlink>
          </w:p>
        </w:tc>
      </w:tr>
      <w:tr>
        <w:trPr>
          <w:trHeight w:val="30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32.1</w:t>
            </w:r>
          </w:p>
        </w:tc>
        <w:tc>
          <w:tcPr>
            <w:tcW w:w="8220" w:type="dxa"/>
            <w:vAlign w:val="bottom"/>
            <w:gridSpan w:val="10"/>
          </w:tcPr>
          <w:p>
            <w:pPr>
              <w:spacing w:after="0"/>
              <w:rPr>
                <w:rFonts w:ascii="Times New Roman" w:cs="Times New Roman" w:eastAsia="Times New Roman" w:hAnsi="Times New Roman"/>
                <w:sz w:val="13"/>
                <w:szCs w:val="13"/>
                <w:u w:val="single" w:color="auto"/>
                <w:color w:val="0000EE"/>
              </w:rPr>
            </w:pPr>
            <w:hyperlink w:anchor="page267">
              <w:r>
                <w:rPr>
                  <w:rFonts w:ascii="Times New Roman" w:cs="Times New Roman" w:eastAsia="Times New Roman" w:hAnsi="Times New Roman"/>
                  <w:sz w:val="13"/>
                  <w:szCs w:val="13"/>
                  <w:u w:val="single" w:color="auto"/>
                  <w:color w:val="0000EE"/>
                </w:rPr>
                <w:t>18 U.S.C. § 1350 Certifications of Chief Executive Officer for Digital Realty Trust, Inc.</w:t>
              </w:r>
            </w:hyperlink>
          </w:p>
        </w:tc>
      </w:tr>
      <w:tr>
        <w:trPr>
          <w:trHeight w:val="30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32.2</w:t>
            </w:r>
          </w:p>
        </w:tc>
        <w:tc>
          <w:tcPr>
            <w:tcW w:w="8220" w:type="dxa"/>
            <w:vAlign w:val="bottom"/>
            <w:gridSpan w:val="10"/>
          </w:tcPr>
          <w:p>
            <w:pPr>
              <w:spacing w:after="0"/>
              <w:rPr>
                <w:rFonts w:ascii="Times New Roman" w:cs="Times New Roman" w:eastAsia="Times New Roman" w:hAnsi="Times New Roman"/>
                <w:sz w:val="13"/>
                <w:szCs w:val="13"/>
                <w:u w:val="single" w:color="auto"/>
                <w:color w:val="0000EE"/>
              </w:rPr>
            </w:pPr>
            <w:hyperlink w:anchor="page268">
              <w:r>
                <w:rPr>
                  <w:rFonts w:ascii="Times New Roman" w:cs="Times New Roman" w:eastAsia="Times New Roman" w:hAnsi="Times New Roman"/>
                  <w:sz w:val="13"/>
                  <w:szCs w:val="13"/>
                  <w:u w:val="single" w:color="auto"/>
                  <w:color w:val="0000EE"/>
                </w:rPr>
                <w:t>18 U.S.C. § 1350 Certifications of Chief Financial Officer for Digital Realty Trust, Inc.</w:t>
              </w:r>
            </w:hyperlink>
          </w:p>
        </w:tc>
      </w:tr>
      <w:tr>
        <w:trPr>
          <w:trHeight w:val="30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32.3</w:t>
            </w:r>
          </w:p>
        </w:tc>
        <w:tc>
          <w:tcPr>
            <w:tcW w:w="8220" w:type="dxa"/>
            <w:vAlign w:val="bottom"/>
            <w:gridSpan w:val="10"/>
          </w:tcPr>
          <w:p>
            <w:pPr>
              <w:spacing w:after="0"/>
              <w:rPr>
                <w:rFonts w:ascii="Times New Roman" w:cs="Times New Roman" w:eastAsia="Times New Roman" w:hAnsi="Times New Roman"/>
                <w:sz w:val="13"/>
                <w:szCs w:val="13"/>
                <w:u w:val="single" w:color="auto"/>
                <w:color w:val="0000EE"/>
              </w:rPr>
            </w:pPr>
            <w:hyperlink w:anchor="page269">
              <w:r>
                <w:rPr>
                  <w:rFonts w:ascii="Times New Roman" w:cs="Times New Roman" w:eastAsia="Times New Roman" w:hAnsi="Times New Roman"/>
                  <w:sz w:val="13"/>
                  <w:szCs w:val="13"/>
                  <w:u w:val="single" w:color="auto"/>
                  <w:color w:val="0000EE"/>
                </w:rPr>
                <w:t>18 U.S.C. § 1350 Certifications of Chief Executive Officer for Digital Realty Trust, L.P.</w:t>
              </w:r>
            </w:hyperlink>
          </w:p>
        </w:tc>
      </w:tr>
      <w:tr>
        <w:trPr>
          <w:trHeight w:val="608"/>
        </w:trPr>
        <w:tc>
          <w:tcPr>
            <w:tcW w:w="740" w:type="dxa"/>
            <w:vAlign w:val="bottom"/>
          </w:tcPr>
          <w:p>
            <w:pPr>
              <w:spacing w:after="0"/>
              <w:rPr>
                <w:sz w:val="24"/>
                <w:szCs w:val="24"/>
                <w:color w:val="auto"/>
              </w:rPr>
            </w:pPr>
          </w:p>
        </w:tc>
        <w:tc>
          <w:tcPr>
            <w:tcW w:w="3840" w:type="dxa"/>
            <w:vAlign w:val="bottom"/>
          </w:tcPr>
          <w:p>
            <w:pPr>
              <w:ind w:left="3640"/>
              <w:spacing w:after="0"/>
              <w:rPr>
                <w:sz w:val="20"/>
                <w:szCs w:val="20"/>
                <w:color w:val="auto"/>
              </w:rPr>
            </w:pPr>
            <w:r>
              <w:rPr>
                <w:rFonts w:ascii="Times New Roman" w:cs="Times New Roman" w:eastAsia="Times New Roman" w:hAnsi="Times New Roman"/>
                <w:sz w:val="13"/>
                <w:szCs w:val="13"/>
                <w:color w:val="auto"/>
                <w:w w:val="92"/>
              </w:rPr>
              <w:t>200</w:t>
            </w: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0"/>
        </w:trPr>
        <w:tc>
          <w:tcPr>
            <w:tcW w:w="7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205" w:name="page206"/>
    <w:bookmarkEnd w:id="205"/>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54" w:lineRule="exact"/>
        <w:rPr>
          <w:sz w:val="20"/>
          <w:szCs w:val="20"/>
          <w:color w:val="auto"/>
        </w:rPr>
      </w:pPr>
    </w:p>
    <w:p>
      <w:pPr>
        <w:ind w:left="20"/>
        <w:spacing w:after="0"/>
        <w:tabs>
          <w:tab w:leader="none" w:pos="74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3"/>
          <w:szCs w:val="13"/>
          <w:color w:val="auto"/>
        </w:rPr>
        <w:t>32.4</w:t>
      </w:r>
      <w:r>
        <w:rPr>
          <w:sz w:val="20"/>
          <w:szCs w:val="20"/>
          <w:color w:val="auto"/>
        </w:rPr>
        <w:tab/>
      </w:r>
      <w:hyperlink w:anchor="page270">
        <w:r>
          <w:rPr>
            <w:rFonts w:ascii="Times New Roman" w:cs="Times New Roman" w:eastAsia="Times New Roman" w:hAnsi="Times New Roman"/>
            <w:sz w:val="12"/>
            <w:szCs w:val="12"/>
            <w:u w:val="single" w:color="auto"/>
            <w:color w:val="0000EE"/>
          </w:rPr>
          <w:t>18 U.S.C. § 1350 Certifications of Chief Financial Officer for Digital Realty Trust, L.P.</w:t>
        </w:r>
      </w:hyperlink>
    </w:p>
    <w:p>
      <w:pPr>
        <w:spacing w:after="0" w:line="154" w:lineRule="exact"/>
        <w:rPr>
          <w:sz w:val="20"/>
          <w:szCs w:val="20"/>
          <w:color w:val="auto"/>
        </w:rPr>
      </w:pPr>
    </w:p>
    <w:p>
      <w:pPr>
        <w:ind w:left="760" w:right="79" w:hanging="741"/>
        <w:spacing w:after="0" w:line="249" w:lineRule="auto"/>
        <w:tabs>
          <w:tab w:leader="none" w:pos="76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financial statements from Digital Realty Trust, Inc.’s and Digital Realty Trust, L.P.’s Form 10-K for the year ended December 31, 2020, formatted in Inline XBRL interactive data files: (i) Consolidated Balance Sheets as of December 31, 2020 and December 31, 2019; (ii) Consolidated Income Statements for each of the years in the three-year period ended December 31, 2020; (iii) Consolidated Statements of Equity and Comprehensive Income/Statements of Capital and Comprehensive Income for each of the years in the three-year period ended December 31, 2020; (iv) Consolidated Statements of Cash Flows for each of the years in the three-year period ended December 31, 2020; and (v) Notes to Consolidated Financial Statements.</w:t>
      </w:r>
    </w:p>
    <w:p>
      <w:pPr>
        <w:spacing w:after="0" w:line="136" w:lineRule="exact"/>
        <w:rPr>
          <w:sz w:val="20"/>
          <w:szCs w:val="20"/>
          <w:color w:val="auto"/>
        </w:rPr>
      </w:pPr>
    </w:p>
    <w:p>
      <w:pPr>
        <w:ind w:left="760" w:hanging="741"/>
        <w:spacing w:after="0"/>
        <w:tabs>
          <w:tab w:leader="none" w:pos="76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(formatted as Inline XBRL and contained in Exhibit 101).</w:t>
      </w:r>
    </w:p>
    <w:p>
      <w:pPr>
        <w:spacing w:after="0" w:line="154" w:lineRule="exact"/>
        <w:rPr>
          <w:rFonts w:ascii="Times New Roman" w:cs="Times New Roman" w:eastAsia="Times New Roman" w:hAnsi="Times New Roman"/>
          <w:sz w:val="13"/>
          <w:szCs w:val="13"/>
          <w:color w:val="auto"/>
        </w:rPr>
      </w:pPr>
    </w:p>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Management contract or compensatory plan or arrangement.</w:t>
      </w:r>
    </w:p>
    <w:p>
      <w:pPr>
        <w:spacing w:after="0" w:line="154" w:lineRule="exact"/>
        <w:rPr>
          <w:rFonts w:ascii="Times New Roman" w:cs="Times New Roman" w:eastAsia="Times New Roman" w:hAnsi="Times New Roman"/>
          <w:sz w:val="13"/>
          <w:szCs w:val="13"/>
          <w:color w:val="auto"/>
        </w:rPr>
      </w:pPr>
    </w:p>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Portions of this exhibit have been omitted pursuant to a grant of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-327025</wp:posOffset>
            </wp:positionV>
            <wp:extent cx="142240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2">
                      <a:extLst>
                        <a:ext uri="{28A0092B-C50C-407E-A947-70E740481C1C}"/>
                      </a:extLst>
                    </a:blip>
                    <a:srcRect/>
                    <a:stretch>
                      <a:fillRect/>
                    </a:stretch>
                  </pic:blipFill>
                  <pic:spPr bwMode="auto">
                    <a:xfrm>
                      <a:off x="0" y="0"/>
                      <a:ext cx="1422400" cy="5715"/>
                    </a:xfrm>
                    <a:prstGeom prst="rect">
                      <a:avLst/>
                    </a:prstGeom>
                    <a:noFill/>
                  </pic:spPr>
                </pic:pic>
              </a:graphicData>
            </a:graphic>
          </wp:anchor>
        </w:drawing>
      </w:r>
    </w:p>
    <w:p>
      <w:pPr>
        <w:spacing w:after="0" w:line="132"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ITEM 16.</w:t>
      </w:r>
      <w:r>
        <w:rPr>
          <w:sz w:val="20"/>
          <w:szCs w:val="20"/>
          <w:color w:val="auto"/>
        </w:rPr>
        <w:tab/>
      </w:r>
      <w:r>
        <w:rPr>
          <w:rFonts w:ascii="Times New Roman" w:cs="Times New Roman" w:eastAsia="Times New Roman" w:hAnsi="Times New Roman"/>
          <w:sz w:val="12"/>
          <w:szCs w:val="12"/>
          <w:b w:val="1"/>
          <w:bCs w:val="1"/>
          <w:color w:val="auto"/>
        </w:rPr>
        <w:t>FORM 10-K SUMMARY</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3">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06" w:name="page207"/>
    <w:bookmarkEnd w:id="206"/>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56" w:lineRule="exact"/>
        <w:rPr>
          <w:sz w:val="20"/>
          <w:szCs w:val="20"/>
          <w:color w:val="auto"/>
        </w:rPr>
      </w:pPr>
    </w:p>
    <w:p>
      <w:pPr>
        <w:ind w:left="20" w:right="399" w:firstLine="228"/>
        <w:spacing w:after="0" w:line="268" w:lineRule="auto"/>
        <w:rPr>
          <w:sz w:val="20"/>
          <w:szCs w:val="20"/>
          <w:color w:val="auto"/>
        </w:rPr>
      </w:pPr>
      <w:r>
        <w:rPr>
          <w:rFonts w:ascii="Times New Roman" w:cs="Times New Roman" w:eastAsia="Times New Roman" w:hAnsi="Times New Roman"/>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154" w:lineRule="exact"/>
        <w:rPr>
          <w:sz w:val="20"/>
          <w:szCs w:val="20"/>
          <w:color w:val="auto"/>
        </w:rPr>
      </w:pPr>
    </w:p>
    <w:p>
      <w:pPr>
        <w:ind w:left="4100"/>
        <w:spacing w:after="0"/>
        <w:tabs>
          <w:tab w:leader="none" w:pos="614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A. WILLIAM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9525</wp:posOffset>
            </wp:positionV>
            <wp:extent cx="278511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14">
                      <a:extLst>
                        <a:ext uri="{28A0092B-C50C-407E-A947-70E740481C1C}"/>
                      </a:extLst>
                    </a:blip>
                    <a:srcRect/>
                    <a:stretch>
                      <a:fillRect/>
                    </a:stretch>
                  </pic:blipFill>
                  <pic:spPr bwMode="auto">
                    <a:xfrm>
                      <a:off x="0" y="0"/>
                      <a:ext cx="2785110" cy="5715"/>
                    </a:xfrm>
                    <a:prstGeom prst="rect">
                      <a:avLst/>
                    </a:prstGeom>
                    <a:noFill/>
                  </pic:spPr>
                </pic:pic>
              </a:graphicData>
            </a:graphic>
          </wp:anchor>
        </w:drawing>
      </w:r>
    </w:p>
    <w:p>
      <w:pPr>
        <w:jc w:val="center"/>
        <w:ind w:left="4560"/>
        <w:spacing w:after="0"/>
        <w:rPr>
          <w:sz w:val="20"/>
          <w:szCs w:val="20"/>
          <w:color w:val="auto"/>
        </w:rPr>
      </w:pPr>
      <w:r>
        <w:rPr>
          <w:rFonts w:ascii="Times New Roman" w:cs="Times New Roman" w:eastAsia="Times New Roman" w:hAnsi="Times New Roman"/>
          <w:sz w:val="13"/>
          <w:szCs w:val="13"/>
          <w:b w:val="1"/>
          <w:bCs w:val="1"/>
          <w:color w:val="auto"/>
        </w:rPr>
        <w:t>A. William Stein</w:t>
      </w:r>
    </w:p>
    <w:p>
      <w:pPr>
        <w:spacing w:after="0" w:line="12"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pacing w:after="0" w:line="141" w:lineRule="exact"/>
        <w:rPr>
          <w:sz w:val="20"/>
          <w:szCs w:val="20"/>
          <w:color w:val="auto"/>
        </w:rPr>
      </w:pPr>
    </w:p>
    <w:p>
      <w:pPr>
        <w:ind w:left="4100"/>
        <w:spacing w:after="0"/>
        <w:tabs>
          <w:tab w:leader="none" w:pos="458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March 1, 2021</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156" w:lineRule="exact"/>
        <w:rPr>
          <w:sz w:val="20"/>
          <w:szCs w:val="20"/>
          <w:color w:val="auto"/>
        </w:rPr>
      </w:pPr>
    </w:p>
    <w:p>
      <w:pPr>
        <w:ind w:left="20" w:right="39" w:firstLine="228"/>
        <w:spacing w:after="0" w:line="247" w:lineRule="auto"/>
        <w:rPr>
          <w:sz w:val="20"/>
          <w:szCs w:val="20"/>
          <w:color w:val="auto"/>
        </w:rPr>
      </w:pPr>
      <w:r>
        <w:rPr>
          <w:rFonts w:ascii="Times New Roman" w:cs="Times New Roman" w:eastAsia="Times New Roman" w:hAnsi="Times New Roman"/>
          <w:sz w:val="13"/>
          <w:szCs w:val="13"/>
          <w:color w:val="auto"/>
        </w:rPr>
        <w:t>KNOW ALL PERSONS BY THESE PRESENTS, that each person whose signature appears below constitutes and appoints A. William Stein, Andrew P. Power and Joshua A. Mills, and each of them, with full power to act without the other, such person’s true and lawful attorneys-in-fact and agents, with full power of substitution and resubstitution, for him or her and in his or her name, place and stead, in any and all capacities, to sign this Form 10-K and any and all amendments thereto,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38" w:lineRule="exact"/>
        <w:rPr>
          <w:sz w:val="20"/>
          <w:szCs w:val="20"/>
          <w:color w:val="auto"/>
        </w:rPr>
      </w:pPr>
    </w:p>
    <w:p>
      <w:pPr>
        <w:ind w:left="20" w:right="379" w:firstLine="228"/>
        <w:spacing w:after="0" w:line="268"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Signature</w:t>
            </w:r>
          </w:p>
        </w:tc>
        <w:tc>
          <w:tcPr>
            <w:tcW w:w="280" w:type="dxa"/>
            <w:vAlign w:val="bottom"/>
          </w:tcPr>
          <w:p>
            <w:pPr>
              <w:spacing w:after="0"/>
              <w:rPr>
                <w:sz w:val="14"/>
                <w:szCs w:val="14"/>
                <w:color w:val="auto"/>
              </w:rPr>
            </w:pPr>
          </w:p>
        </w:tc>
        <w:tc>
          <w:tcPr>
            <w:tcW w:w="36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6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246"/>
        </w:trPr>
        <w:tc>
          <w:tcPr>
            <w:tcW w:w="20" w:type="dxa"/>
            <w:vAlign w:val="bottom"/>
          </w:tcPr>
          <w:p>
            <w:pPr>
              <w:spacing w:after="0"/>
              <w:rPr>
                <w:sz w:val="21"/>
                <w:szCs w:val="21"/>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/s/ LAURENCE A. CHAPMAN</w:t>
            </w:r>
          </w:p>
        </w:tc>
        <w:tc>
          <w:tcPr>
            <w:tcW w:w="41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Chairman of the Board</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Laurence A. Chapman</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A. WILLIAM STEIN</w:t>
            </w:r>
          </w:p>
        </w:tc>
        <w:tc>
          <w:tcPr>
            <w:tcW w:w="41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Chief Executive Officer and Director (Principal Executive Officer)</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 William Stein</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ANDREW P. POWER</w:t>
            </w:r>
          </w:p>
        </w:tc>
        <w:tc>
          <w:tcPr>
            <w:tcW w:w="41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Chief Financial Officer (Principal Financial Officer)</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Andrew P. Power</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Senior Vice President, Finance and Accounting (Principal Accounting</w:t>
            </w:r>
          </w:p>
        </w:tc>
        <w:tc>
          <w:tcPr>
            <w:tcW w:w="1780" w:type="dxa"/>
            <w:vAlign w:val="bottom"/>
          </w:tcPr>
          <w:p>
            <w:pPr>
              <w:spacing w:after="0"/>
              <w:rPr>
                <w:sz w:val="19"/>
                <w:szCs w:val="19"/>
                <w:color w:val="auto"/>
              </w:rPr>
            </w:pPr>
          </w:p>
        </w:tc>
      </w:tr>
      <w:tr>
        <w:trPr>
          <w:trHeight w:val="165"/>
        </w:trPr>
        <w:tc>
          <w:tcPr>
            <w:tcW w:w="20" w:type="dxa"/>
            <w:vAlign w:val="bottom"/>
          </w:tcPr>
          <w:p>
            <w:pPr>
              <w:spacing w:after="0"/>
              <w:rPr>
                <w:sz w:val="14"/>
                <w:szCs w:val="1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MATTHEW MERCIER</w:t>
            </w:r>
          </w:p>
        </w:tc>
        <w:tc>
          <w:tcPr>
            <w:tcW w:w="41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Officer)</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Matthew Mercier</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ALEXIS BLACK BJORLIN</w:t>
            </w:r>
          </w:p>
        </w:tc>
        <w:tc>
          <w:tcPr>
            <w:tcW w:w="41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Alexis Black Bjorlin</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MICHAEL A. COKE</w:t>
            </w:r>
          </w:p>
        </w:tc>
        <w:tc>
          <w:tcPr>
            <w:tcW w:w="41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Michael A. Coke</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VERALINN JAMIESON</w:t>
            </w:r>
          </w:p>
        </w:tc>
        <w:tc>
          <w:tcPr>
            <w:tcW w:w="41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VeraLinn Jamieson</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441"/>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900" w:type="dxa"/>
            <w:vAlign w:val="bottom"/>
            <w:gridSpan w:val="2"/>
          </w:tcPr>
          <w:p>
            <w:pPr>
              <w:ind w:left="1360"/>
              <w:spacing w:after="0"/>
              <w:rPr>
                <w:sz w:val="20"/>
                <w:szCs w:val="20"/>
                <w:color w:val="auto"/>
              </w:rPr>
            </w:pPr>
            <w:r>
              <w:rPr>
                <w:rFonts w:ascii="Times New Roman" w:cs="Times New Roman" w:eastAsia="Times New Roman" w:hAnsi="Times New Roman"/>
                <w:sz w:val="13"/>
                <w:szCs w:val="13"/>
                <w:color w:val="auto"/>
              </w:rPr>
              <w:t>202</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80"/>
        </w:trPr>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207" w:name="page208"/>
    <w:bookmarkEnd w:id="20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3020" w:type="dxa"/>
            <w:vAlign w:val="bottom"/>
            <w:gridSpan w:val="2"/>
          </w:tcPr>
          <w:p>
            <w:pPr>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tc>
        <w:tc>
          <w:tcPr>
            <w:tcW w:w="2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42"/>
        </w:trPr>
        <w:tc>
          <w:tcPr>
            <w:tcW w:w="3020" w:type="dxa"/>
            <w:vAlign w:val="bottom"/>
            <w:gridSpan w:val="2"/>
          </w:tcPr>
          <w:p>
            <w:pPr>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tc>
        <w:tc>
          <w:tcPr>
            <w:tcW w:w="2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3"/>
        </w:trPr>
        <w:tc>
          <w:tcPr>
            <w:tcW w:w="2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Signature</w:t>
            </w:r>
          </w:p>
        </w:tc>
        <w:tc>
          <w:tcPr>
            <w:tcW w:w="280" w:type="dxa"/>
            <w:vAlign w:val="bottom"/>
          </w:tcPr>
          <w:p>
            <w:pPr>
              <w:spacing w:after="0"/>
              <w:rPr>
                <w:sz w:val="24"/>
                <w:szCs w:val="24"/>
                <w:color w:val="auto"/>
              </w:rPr>
            </w:pPr>
          </w:p>
        </w:tc>
        <w:tc>
          <w:tcPr>
            <w:tcW w:w="36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6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246"/>
        </w:trPr>
        <w:tc>
          <w:tcPr>
            <w:tcW w:w="20" w:type="dxa"/>
            <w:vAlign w:val="bottom"/>
          </w:tcPr>
          <w:p>
            <w:pPr>
              <w:spacing w:after="0"/>
              <w:rPr>
                <w:sz w:val="21"/>
                <w:szCs w:val="21"/>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KEVIN J. KENNEDY</w:t>
            </w:r>
          </w:p>
        </w:tc>
        <w:tc>
          <w:tcPr>
            <w:tcW w:w="41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Kevin J. Kennedy</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WILLIAM G. LAPERCH</w:t>
            </w:r>
          </w:p>
        </w:tc>
        <w:tc>
          <w:tcPr>
            <w:tcW w:w="41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William G. LaPerch</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JEAN F.H.P. MANDEVILLE</w:t>
            </w:r>
          </w:p>
        </w:tc>
        <w:tc>
          <w:tcPr>
            <w:tcW w:w="41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Jean F.H.P. Mandeville</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89"/>
        </w:trPr>
        <w:tc>
          <w:tcPr>
            <w:tcW w:w="2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AFSHIN MOHEBBI</w:t>
            </w:r>
          </w:p>
        </w:tc>
        <w:tc>
          <w:tcPr>
            <w:tcW w:w="41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Afshin Mohebbi</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/s/ MARK R. PATTERSON</w:t>
            </w:r>
          </w:p>
        </w:tc>
        <w:tc>
          <w:tcPr>
            <w:tcW w:w="41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Mark R. Patterson</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MARY HOGAN PREUSSE</w:t>
            </w:r>
          </w:p>
        </w:tc>
        <w:tc>
          <w:tcPr>
            <w:tcW w:w="41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Mary Hogan Preusse</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84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900" w:type="dxa"/>
            <w:vAlign w:val="bottom"/>
            <w:gridSpan w:val="2"/>
          </w:tcPr>
          <w:p>
            <w:pPr>
              <w:ind w:left="1360"/>
              <w:spacing w:after="0"/>
              <w:rPr>
                <w:sz w:val="20"/>
                <w:szCs w:val="20"/>
                <w:color w:val="auto"/>
              </w:rPr>
            </w:pPr>
            <w:r>
              <w:rPr>
                <w:rFonts w:ascii="Times New Roman" w:cs="Times New Roman" w:eastAsia="Times New Roman" w:hAnsi="Times New Roman"/>
                <w:sz w:val="13"/>
                <w:szCs w:val="13"/>
                <w:color w:val="auto"/>
              </w:rPr>
              <w:t>203</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80"/>
        </w:trPr>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208" w:name="page209"/>
    <w:bookmarkEnd w:id="208"/>
    <w:p>
      <w:pPr>
        <w:ind w:left="20"/>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p>
      <w:pPr>
        <w:spacing w:after="0" w:line="192" w:lineRule="exact"/>
        <w:rPr>
          <w:sz w:val="20"/>
          <w:szCs w:val="20"/>
          <w:color w:val="auto"/>
        </w:rPr>
      </w:pPr>
    </w:p>
    <w:p>
      <w:pPr>
        <w:ind w:left="20"/>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56" w:lineRule="exact"/>
        <w:rPr>
          <w:sz w:val="20"/>
          <w:szCs w:val="20"/>
          <w:color w:val="auto"/>
        </w:rPr>
      </w:pPr>
    </w:p>
    <w:p>
      <w:pPr>
        <w:ind w:left="20" w:right="399" w:firstLine="228"/>
        <w:spacing w:after="0" w:line="268" w:lineRule="auto"/>
        <w:rPr>
          <w:sz w:val="20"/>
          <w:szCs w:val="20"/>
          <w:color w:val="auto"/>
        </w:rPr>
      </w:pPr>
      <w:r>
        <w:rPr>
          <w:rFonts w:ascii="Times New Roman" w:cs="Times New Roman" w:eastAsia="Times New Roman" w:hAnsi="Times New Roman"/>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color w:val="auto"/>
        </w:rPr>
        <w:t>DIGITAL REALTY TRUST, L.P.</w:t>
      </w:r>
    </w:p>
    <w:p>
      <w:pPr>
        <w:spacing w:after="0" w:line="154" w:lineRule="exact"/>
        <w:rPr>
          <w:sz w:val="20"/>
          <w:szCs w:val="20"/>
          <w:color w:val="auto"/>
        </w:rPr>
      </w:pPr>
    </w:p>
    <w:tbl>
      <w:tblPr>
        <w:tblLayout w:type="fixed"/>
        <w:tblInd w:w="4100" w:type="dxa"/>
        <w:tblCellMar>
          <w:top w:w="0" w:type="dxa"/>
          <w:left w:w="0" w:type="dxa"/>
          <w:bottom w:w="0" w:type="dxa"/>
          <w:right w:w="0" w:type="dxa"/>
        </w:tblCellMar>
      </w:tblPr>
      <w:tr>
        <w:trPr>
          <w:trHeight w:val="152"/>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Digital Realty Trust, Inc.,</w:t>
            </w:r>
          </w:p>
        </w:tc>
      </w:tr>
      <w:tr>
        <w:trPr>
          <w:trHeight w:val="165"/>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Its</w:t>
            </w:r>
          </w:p>
        </w:tc>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General Partner</w:t>
            </w:r>
          </w:p>
        </w:tc>
      </w:tr>
      <w:tr>
        <w:trPr>
          <w:trHeight w:val="304"/>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12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A. WILLIAM STEIN</w:t>
            </w:r>
          </w:p>
        </w:tc>
      </w:tr>
      <w:tr>
        <w:trPr>
          <w:trHeight w:val="127"/>
        </w:trPr>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8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b w:val="1"/>
                <w:bCs w:val="1"/>
                <w:color w:val="auto"/>
                <w:w w:val="97"/>
              </w:rPr>
              <w:t>A. William Stein</w:t>
            </w:r>
          </w:p>
        </w:tc>
      </w:tr>
      <w:tr>
        <w:trPr>
          <w:trHeight w:val="167"/>
        </w:trPr>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Chief Executive Officer</w:t>
            </w:r>
          </w:p>
        </w:tc>
      </w:tr>
      <w:tr>
        <w:trPr>
          <w:trHeight w:val="304"/>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Date:</w:t>
            </w:r>
          </w:p>
        </w:tc>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March 1, 2021</w:t>
            </w:r>
          </w:p>
        </w:tc>
      </w:tr>
    </w:tbl>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156" w:lineRule="exact"/>
        <w:rPr>
          <w:sz w:val="20"/>
          <w:szCs w:val="20"/>
          <w:color w:val="auto"/>
        </w:rPr>
      </w:pPr>
    </w:p>
    <w:p>
      <w:pPr>
        <w:ind w:left="20" w:right="39" w:firstLine="228"/>
        <w:spacing w:after="0" w:line="247" w:lineRule="auto"/>
        <w:rPr>
          <w:sz w:val="20"/>
          <w:szCs w:val="20"/>
          <w:color w:val="auto"/>
        </w:rPr>
      </w:pPr>
      <w:r>
        <w:rPr>
          <w:rFonts w:ascii="Times New Roman" w:cs="Times New Roman" w:eastAsia="Times New Roman" w:hAnsi="Times New Roman"/>
          <w:sz w:val="13"/>
          <w:szCs w:val="13"/>
          <w:color w:val="auto"/>
        </w:rPr>
        <w:t>KNOW ALL PERSONS BY THESE PRESENTS, that each person whose signature appears below constitutes and appoints A. William Stein, Andrew P. Power and Joshua A. Mills, and each of them, with full power to act without the other, such person’s true and lawful attorneys-in-fact and agents, with full power of substitution and resubstitution, for him or her and in his or her name, place and stead, in any and all capacities, to sign this Form 10-K and any and all amendments thereto,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38" w:lineRule="exact"/>
        <w:rPr>
          <w:sz w:val="20"/>
          <w:szCs w:val="20"/>
          <w:color w:val="auto"/>
        </w:rPr>
      </w:pPr>
    </w:p>
    <w:p>
      <w:pPr>
        <w:ind w:left="20" w:right="379" w:firstLine="228"/>
        <w:spacing w:after="0" w:line="268"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Signature</w:t>
            </w:r>
          </w:p>
        </w:tc>
        <w:tc>
          <w:tcPr>
            <w:tcW w:w="280" w:type="dxa"/>
            <w:vAlign w:val="bottom"/>
          </w:tcPr>
          <w:p>
            <w:pPr>
              <w:spacing w:after="0"/>
              <w:rPr>
                <w:sz w:val="14"/>
                <w:szCs w:val="14"/>
                <w:color w:val="auto"/>
              </w:rPr>
            </w:pPr>
          </w:p>
        </w:tc>
        <w:tc>
          <w:tcPr>
            <w:tcW w:w="36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8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r>
      <w:tr>
        <w:trPr>
          <w:trHeight w:val="246"/>
        </w:trPr>
        <w:tc>
          <w:tcPr>
            <w:tcW w:w="20" w:type="dxa"/>
            <w:vAlign w:val="bottom"/>
          </w:tcPr>
          <w:p>
            <w:pPr>
              <w:spacing w:after="0"/>
              <w:rPr>
                <w:sz w:val="21"/>
                <w:szCs w:val="21"/>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/s/ LAURENCE A. CHAPMAN</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Chairman of the Board</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Laurence A. Chapman</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A. WILLIAM STEIN</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Chief Executive Officer and Director (Principal Executive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 William Stein</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ANDREW P. POWER</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Chief Financial Officer (Principal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Andrew P. Power</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Senior Vice President, Finance and Accounting (Principal Accounting</w:t>
            </w:r>
          </w:p>
        </w:tc>
        <w:tc>
          <w:tcPr>
            <w:tcW w:w="1760" w:type="dxa"/>
            <w:vAlign w:val="bottom"/>
          </w:tcPr>
          <w:p>
            <w:pPr>
              <w:spacing w:after="0"/>
              <w:rPr>
                <w:sz w:val="19"/>
                <w:szCs w:val="19"/>
                <w:color w:val="auto"/>
              </w:rPr>
            </w:pPr>
          </w:p>
        </w:tc>
      </w:tr>
      <w:tr>
        <w:trPr>
          <w:trHeight w:val="165"/>
        </w:trPr>
        <w:tc>
          <w:tcPr>
            <w:tcW w:w="20" w:type="dxa"/>
            <w:vAlign w:val="bottom"/>
          </w:tcPr>
          <w:p>
            <w:pPr>
              <w:spacing w:after="0"/>
              <w:rPr>
                <w:sz w:val="14"/>
                <w:szCs w:val="1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MATTHEW MERCIER</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Matthew Mercier</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ALEXIS BLACK BJORLIN</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Alexis Black Bjorlin</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441"/>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900" w:type="dxa"/>
            <w:vAlign w:val="bottom"/>
            <w:gridSpan w:val="2"/>
          </w:tcPr>
          <w:p>
            <w:pPr>
              <w:ind w:left="1360"/>
              <w:spacing w:after="0"/>
              <w:rPr>
                <w:sz w:val="20"/>
                <w:szCs w:val="20"/>
                <w:color w:val="auto"/>
              </w:rPr>
            </w:pPr>
            <w:r>
              <w:rPr>
                <w:rFonts w:ascii="Times New Roman" w:cs="Times New Roman" w:eastAsia="Times New Roman" w:hAnsi="Times New Roman"/>
                <w:sz w:val="13"/>
                <w:szCs w:val="13"/>
                <w:color w:val="auto"/>
              </w:rPr>
              <w:t>204</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80"/>
        </w:trPr>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209" w:name="page210"/>
    <w:bookmarkEnd w:id="20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3020" w:type="dxa"/>
            <w:vAlign w:val="bottom"/>
            <w:gridSpan w:val="2"/>
          </w:tcPr>
          <w:p>
            <w:pPr>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Table of Contents</w:t>
              </w:r>
            </w:hyperlink>
          </w:p>
        </w:tc>
        <w:tc>
          <w:tcPr>
            <w:tcW w:w="2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42"/>
        </w:trPr>
        <w:tc>
          <w:tcPr>
            <w:tcW w:w="3020" w:type="dxa"/>
            <w:vAlign w:val="bottom"/>
            <w:gridSpan w:val="2"/>
          </w:tcPr>
          <w:p>
            <w:pPr>
              <w:spacing w:after="0"/>
              <w:rPr>
                <w:rFonts w:ascii="Times New Roman" w:cs="Times New Roman" w:eastAsia="Times New Roman" w:hAnsi="Times New Roman"/>
                <w:sz w:val="13"/>
                <w:szCs w:val="13"/>
                <w:u w:val="single" w:color="auto"/>
                <w:color w:val="0563C1"/>
              </w:rPr>
            </w:pPr>
            <w:hyperlink w:anchor="page102">
              <w:r>
                <w:rPr>
                  <w:rFonts w:ascii="Times New Roman" w:cs="Times New Roman" w:eastAsia="Times New Roman" w:hAnsi="Times New Roman"/>
                  <w:sz w:val="13"/>
                  <w:szCs w:val="13"/>
                  <w:u w:val="single" w:color="auto"/>
                  <w:color w:val="0563C1"/>
                </w:rPr>
                <w:t>Index to Financial Statements</w:t>
              </w:r>
            </w:hyperlink>
          </w:p>
        </w:tc>
        <w:tc>
          <w:tcPr>
            <w:tcW w:w="2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13"/>
        </w:trPr>
        <w:tc>
          <w:tcPr>
            <w:tcW w:w="2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Signature</w:t>
            </w:r>
          </w:p>
        </w:tc>
        <w:tc>
          <w:tcPr>
            <w:tcW w:w="280" w:type="dxa"/>
            <w:vAlign w:val="bottom"/>
          </w:tcPr>
          <w:p>
            <w:pPr>
              <w:spacing w:after="0"/>
              <w:rPr>
                <w:sz w:val="24"/>
                <w:szCs w:val="24"/>
                <w:color w:val="auto"/>
              </w:rPr>
            </w:pPr>
          </w:p>
        </w:tc>
        <w:tc>
          <w:tcPr>
            <w:tcW w:w="36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80" w:type="dxa"/>
            <w:vAlign w:val="bottom"/>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r>
      <w:tr>
        <w:trPr>
          <w:trHeight w:val="246"/>
        </w:trPr>
        <w:tc>
          <w:tcPr>
            <w:tcW w:w="20" w:type="dxa"/>
            <w:vAlign w:val="bottom"/>
          </w:tcPr>
          <w:p>
            <w:pPr>
              <w:spacing w:after="0"/>
              <w:rPr>
                <w:sz w:val="21"/>
                <w:szCs w:val="21"/>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MICHAEL A. COKE</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Michael A. Coke</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VERALINN JAMIESON</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VeraLinn Jamieson</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KEVIN J. KENNEDY</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Kevin J. Kennedy</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WILLIAM G. LAPERCH</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William G. LaPerch</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JEAN F.H.P. MANDEVILLE</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Jean F.H.P. Mandeville</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89"/>
        </w:trPr>
        <w:tc>
          <w:tcPr>
            <w:tcW w:w="2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 AFSHIN MOHEBBI</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Afshin Mohebbi</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/s/ MARK R. PATTERSON</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Mark R. Patterson</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MARY HOGAN PREUSSE</w:t>
            </w:r>
          </w:p>
        </w:tc>
        <w:tc>
          <w:tcPr>
            <w:tcW w:w="418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1, 2021</w:t>
            </w:r>
          </w:p>
        </w:tc>
      </w:tr>
      <w:tr>
        <w:trPr>
          <w:trHeight w:val="156"/>
        </w:trPr>
        <w:tc>
          <w:tcPr>
            <w:tcW w:w="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Mary Hogan Preusse</w:t>
            </w:r>
          </w:p>
        </w:tc>
        <w:tc>
          <w:tcPr>
            <w:tcW w:w="2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250825</wp:posOffset>
            </wp:positionV>
            <wp:extent cx="5690235" cy="120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5">
                      <a:extLst>
                        <a:ext uri="{28A0092B-C50C-407E-A947-70E740481C1C}"/>
                      </a:extLst>
                    </a:blip>
                    <a:srcRect/>
                    <a:stretch>
                      <a:fillRect/>
                    </a:stretch>
                  </pic:blipFill>
                  <pic:spPr bwMode="auto">
                    <a:xfrm>
                      <a:off x="0" y="0"/>
                      <a:ext cx="5690235"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10" w:name="page211"/>
    <w:bookmarkEnd w:id="210"/>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Exhibit 4.29</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DESCRIPTION OF REGISTRANT’S SECURITIES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REGISTERED PURSUANT TO SECTION 12 OF</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55" w:lineRule="exact"/>
        <w:rPr>
          <w:sz w:val="20"/>
          <w:szCs w:val="20"/>
          <w:color w:val="auto"/>
        </w:rPr>
      </w:pPr>
    </w:p>
    <w:p>
      <w:pPr>
        <w:ind w:left="180" w:right="239"/>
        <w:spacing w:after="0"/>
        <w:rPr>
          <w:sz w:val="20"/>
          <w:szCs w:val="20"/>
          <w:color w:val="auto"/>
        </w:rPr>
      </w:pPr>
      <w:r>
        <w:rPr>
          <w:rFonts w:ascii="Times New Roman" w:cs="Times New Roman" w:eastAsia="Times New Roman" w:hAnsi="Times New Roman"/>
          <w:sz w:val="13"/>
          <w:szCs w:val="13"/>
          <w:color w:val="auto"/>
        </w:rPr>
        <w:t>The following description of the common stock of Digital Realty Trust, Inc.’s (“DLR”) sets forth certain general terms and provisions of the common stock. The description of DLR’s common stock set forth below does not purport to be complete and is subject to and qualified in its entirety by reference to the applicable provisions of DLR’s charter and bylaws.</w:t>
      </w:r>
    </w:p>
    <w:p>
      <w:pPr>
        <w:spacing w:after="0" w:line="131" w:lineRule="exact"/>
        <w:rPr>
          <w:sz w:val="20"/>
          <w:szCs w:val="20"/>
          <w:color w:val="auto"/>
        </w:rPr>
      </w:pPr>
    </w:p>
    <w:p>
      <w:pPr>
        <w:ind w:left="180" w:right="379"/>
        <w:spacing w:after="0" w:line="253" w:lineRule="auto"/>
        <w:rPr>
          <w:sz w:val="20"/>
          <w:szCs w:val="20"/>
          <w:color w:val="auto"/>
        </w:rPr>
      </w:pPr>
      <w:r>
        <w:rPr>
          <w:rFonts w:ascii="Times New Roman" w:cs="Times New Roman" w:eastAsia="Times New Roman" w:hAnsi="Times New Roman"/>
          <w:sz w:val="13"/>
          <w:szCs w:val="13"/>
          <w:color w:val="auto"/>
        </w:rPr>
        <w:t>As of February 26, 2021, the total number of shares of stock of all classes which DLR has authority to issue is 502,000,000 shares, consisting of 392,000,000 shares of common stock, $0.01 par value per share, and 110,000,000 shares of preferred stock, $0.01 par value per share.</w:t>
      </w:r>
    </w:p>
    <w:p>
      <w:pPr>
        <w:spacing w:after="0" w:line="119" w:lineRule="exact"/>
        <w:rPr>
          <w:sz w:val="20"/>
          <w:szCs w:val="20"/>
          <w:color w:val="auto"/>
        </w:rPr>
      </w:pPr>
    </w:p>
    <w:p>
      <w:pPr>
        <w:ind w:left="180" w:right="219"/>
        <w:spacing w:after="0" w:line="236" w:lineRule="auto"/>
        <w:rPr>
          <w:sz w:val="20"/>
          <w:szCs w:val="20"/>
          <w:color w:val="auto"/>
        </w:rPr>
      </w:pPr>
      <w:r>
        <w:rPr>
          <w:rFonts w:ascii="Times New Roman" w:cs="Times New Roman" w:eastAsia="Times New Roman" w:hAnsi="Times New Roman"/>
          <w:sz w:val="13"/>
          <w:szCs w:val="13"/>
          <w:i w:val="1"/>
          <w:iCs w:val="1"/>
          <w:color w:val="auto"/>
        </w:rPr>
        <w:t xml:space="preserve">General. </w:t>
      </w:r>
      <w:r>
        <w:rPr>
          <w:rFonts w:ascii="Times New Roman" w:cs="Times New Roman" w:eastAsia="Times New Roman" w:hAnsi="Times New Roman"/>
          <w:sz w:val="13"/>
          <w:szCs w:val="13"/>
          <w:color w:val="auto"/>
        </w:rPr>
        <w:t>All outstanding shares of the common stock are duly authorized, fully paid and nonassessable. Subject to the preferential rights of any other class or series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 and to the provisions of the company’s charter regarding the restrictions on transfer of stock, holders of shares of the common stock are entitled to receive dividends on such stock if, as and when authorized by the company’s board of directors out of assets legally available therefor and declared by the company and to share ratably in the assets of the company legally available for distribution to the company’s stockholders in the event of the company’s liquidation, dissolution or winding up after payment or establishment of reserves for all known debts and liabilities of the company.</w:t>
      </w:r>
    </w:p>
    <w:p>
      <w:pPr>
        <w:spacing w:after="0" w:line="1" w:lineRule="exact"/>
        <w:rPr>
          <w:sz w:val="20"/>
          <w:szCs w:val="20"/>
          <w:color w:val="auto"/>
        </w:rPr>
      </w:pPr>
    </w:p>
    <w:p>
      <w:pPr>
        <w:ind w:left="180" w:right="219"/>
        <w:spacing w:after="0" w:line="259" w:lineRule="auto"/>
        <w:rPr>
          <w:sz w:val="20"/>
          <w:szCs w:val="20"/>
          <w:color w:val="auto"/>
        </w:rPr>
      </w:pPr>
      <w:r>
        <w:rPr>
          <w:rFonts w:ascii="Times New Roman" w:cs="Times New Roman" w:eastAsia="Times New Roman" w:hAnsi="Times New Roman"/>
          <w:sz w:val="13"/>
          <w:szCs w:val="13"/>
          <w:color w:val="auto"/>
        </w:rPr>
        <w:t>Subject to the provisions of the company’s charter regarding the restrictions on transfer of stock and except as may be otherwise specified therein with respect to any class or series of common stock, each outstanding share of the common stock entitles the holder to one vote on all matters submitted to a vote of stockholders, including the election of directors and, except as provided with respect to any other class or series of stock, the holders of such shares will possess the exclusive voting power. There is no cumulative voting in the election of the company’s board of directors, which means that the holders of a majority of the outstanding shares of the common stock can elect all of the directors then standing for election and the holders of the remaining shares will not be able to elect any directors. Directors are elected by a majority of all the votes cast at a meeting of stockholders duly called and at which a quorum is present if the election is uncontested. Directors are elected by a plurality of the votes cast at a meeting of stockholders duly called and at which a quorum is present if the election is contested.</w:t>
      </w:r>
    </w:p>
    <w:p>
      <w:pPr>
        <w:spacing w:after="0" w:line="130" w:lineRule="exact"/>
        <w:rPr>
          <w:sz w:val="20"/>
          <w:szCs w:val="20"/>
          <w:color w:val="auto"/>
        </w:rPr>
      </w:pPr>
    </w:p>
    <w:p>
      <w:pPr>
        <w:ind w:left="180" w:right="259"/>
        <w:spacing w:after="0" w:line="235" w:lineRule="auto"/>
        <w:rPr>
          <w:sz w:val="20"/>
          <w:szCs w:val="20"/>
          <w:color w:val="auto"/>
        </w:rPr>
      </w:pPr>
      <w:r>
        <w:rPr>
          <w:rFonts w:ascii="Times New Roman" w:cs="Times New Roman" w:eastAsia="Times New Roman" w:hAnsi="Times New Roman"/>
          <w:sz w:val="13"/>
          <w:szCs w:val="13"/>
          <w:color w:val="auto"/>
        </w:rPr>
        <w:t>Holders of shares of the common stock have no preference, conversion, exchange, sinking fund or redemption rights, have no preemptive rights to subscribe for any securities of the company and generally have no appraisal rights unless the company’s board of directors determines that appraisal rights apply, with respect to all or any classes or series of stock, to one or more transactions occurring after the date of such determination in connection with which stockholders would otherwise be entitled to exercise appraisal rights. Subject to the provisions of the company’s charter regarding the restrictions on transfer of stock, shares of the common stock will have equal dividend, liquidation and other rights.</w:t>
      </w:r>
    </w:p>
    <w:p>
      <w:pPr>
        <w:spacing w:after="0" w:line="132" w:lineRule="exact"/>
        <w:rPr>
          <w:sz w:val="20"/>
          <w:szCs w:val="20"/>
          <w:color w:val="auto"/>
        </w:rPr>
      </w:pPr>
    </w:p>
    <w:p>
      <w:pPr>
        <w:ind w:left="180" w:right="239"/>
        <w:spacing w:after="0" w:line="253" w:lineRule="auto"/>
        <w:rPr>
          <w:sz w:val="20"/>
          <w:szCs w:val="20"/>
          <w:color w:val="auto"/>
        </w:rPr>
      </w:pPr>
      <w:r>
        <w:rPr>
          <w:rFonts w:ascii="Times New Roman" w:cs="Times New Roman" w:eastAsia="Times New Roman" w:hAnsi="Times New Roman"/>
          <w:sz w:val="12"/>
          <w:szCs w:val="12"/>
          <w:color w:val="auto"/>
        </w:rPr>
        <w:t>Under the Maryland General Corporation Law, or MGCL, a Maryland corporation generally cannot dissolve, amend its charter, merge, convert, sell all or substantially all of its assets, engage in a share exchange or engage in similar transactions outside the ordinary course of business unless the action is approved by the affirmative vote of stockholders entitled to cast at least two-thirds of the votes entitled to be cast on the matter unless a lesser percentage (but not less than a majority of all of the votes entitled to be cast on the matter) is set forth in the corporation’s charter. Except for certain charter amendments relating to the removal of directors and the vote required for certain amendments, the company’s charter provides that these actions may be taken if declared advisable by a majority of the company’s board of directors and approved by the vote of stockholders entitled to cast a majority of the votes entitled to be cast on the matter. However, Maryland law permits a corporation to transfer all or substantially all of its assets without the approval of the stockholders of the corporation to one or more persons if all of the equity interests of the person or persons are owned, directly or indirectly, by the corporation. In addition, operating assets may be held by a corporation’s subsidiaries, as in the company’s situation, and these subsidiaries may be able to transfer all or substantially all of such assets without a vote of the parent corporation’s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231775</wp:posOffset>
            </wp:positionV>
            <wp:extent cx="5485130" cy="177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6">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11" w:name="page212"/>
    <w:bookmarkEnd w:id="211"/>
    <w:p>
      <w:pPr>
        <w:ind w:left="180" w:right="459"/>
        <w:spacing w:after="0"/>
        <w:rPr>
          <w:sz w:val="20"/>
          <w:szCs w:val="20"/>
          <w:color w:val="auto"/>
        </w:rPr>
      </w:pPr>
      <w:r>
        <w:rPr>
          <w:rFonts w:ascii="Times New Roman" w:cs="Times New Roman" w:eastAsia="Times New Roman" w:hAnsi="Times New Roman"/>
          <w:sz w:val="13"/>
          <w:szCs w:val="13"/>
          <w:color w:val="auto"/>
        </w:rPr>
        <w:t>The company’s charter authorizes its board of directors to reclassify any unissued shares of the common stock into other classes or series of stock and to establish the number of shares in each class or series and to set the preferences, conversion and other rights, voting powers, restrictions, limitations as to dividends or other distributions, qualifications or terms or conditions of redemption for each such class or series.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i w:val="1"/>
          <w:iCs w:val="1"/>
          <w:color w:val="auto"/>
        </w:rPr>
        <w:t>Power to Increase Authorized Stock and Issue Additional Shares of the Common Stock</w:t>
      </w:r>
    </w:p>
    <w:p>
      <w:pPr>
        <w:spacing w:after="0" w:line="71" w:lineRule="exact"/>
        <w:rPr>
          <w:sz w:val="20"/>
          <w:szCs w:val="20"/>
          <w:color w:val="auto"/>
        </w:rPr>
      </w:pPr>
    </w:p>
    <w:p>
      <w:pPr>
        <w:ind w:left="180" w:right="219"/>
        <w:spacing w:after="0" w:line="252" w:lineRule="auto"/>
        <w:rPr>
          <w:sz w:val="20"/>
          <w:szCs w:val="20"/>
          <w:color w:val="auto"/>
        </w:rPr>
      </w:pPr>
      <w:r>
        <w:rPr>
          <w:rFonts w:ascii="Times New Roman" w:cs="Times New Roman" w:eastAsia="Times New Roman" w:hAnsi="Times New Roman"/>
          <w:sz w:val="12"/>
          <w:szCs w:val="12"/>
          <w:color w:val="auto"/>
        </w:rPr>
        <w:t>The company’s board of directors has the power to amend the company’s charter from time to time without stockholder approval to increase or decrease the number of authorized shares of common stock, to issue additional authorized but unissued shares of the common stock and to classify or reclassify unissued shares of the common stock into other classes or series of stock and thereafter to cause the company to issue such classified or reclassified shares of stock. The company believes these powers provide it with increased flexibility in structuring possible future financings and acquisitions and in meeting other needs which might arise. Subject to the limited rights of holders of the company’s series C preferred stock, series J preferred stock, series K preferred stock and series L preferred stock and each other parity class or series of preferred stock, voting together as a single class, to approve certain issuances of senior classes or series of stock, the additional classes or series, as well as the common stock, will be available for issuance without further action by the company’s stockholders, unless stockholder consent is required by applicable law or the rules of any stock exchange or automated quotation system on which the company’s securities may be listed or traded. Although the company’s board of directors does not intend to do so, it could authorize us to issue a class or series that could, depending upon the terms of the particular class or series, delay, defer or prevent a transaction or a change of control of the company that might involve a premium price for the company’s stockholders or otherwise be in their best interest.</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i w:val="1"/>
          <w:iCs w:val="1"/>
          <w:color w:val="auto"/>
        </w:rPr>
        <w:t>Restrictions on Ownership and Transfer</w:t>
      </w:r>
    </w:p>
    <w:p>
      <w:pPr>
        <w:spacing w:after="0" w:line="71" w:lineRule="exact"/>
        <w:rPr>
          <w:sz w:val="20"/>
          <w:szCs w:val="20"/>
          <w:color w:val="auto"/>
        </w:rPr>
      </w:pPr>
    </w:p>
    <w:p>
      <w:pPr>
        <w:ind w:left="180" w:right="359"/>
        <w:spacing w:after="0" w:line="253" w:lineRule="auto"/>
        <w:rPr>
          <w:sz w:val="20"/>
          <w:szCs w:val="20"/>
          <w:color w:val="auto"/>
        </w:rPr>
      </w:pPr>
      <w:r>
        <w:rPr>
          <w:rFonts w:ascii="Times New Roman" w:cs="Times New Roman" w:eastAsia="Times New Roman" w:hAnsi="Times New Roman"/>
          <w:sz w:val="13"/>
          <w:szCs w:val="13"/>
          <w:color w:val="auto"/>
        </w:rPr>
        <w:t>To assist us in complying with certain U.S. federal income tax requirements applicable to REITs, the company has adopted certain restrictions relating to the ownership and transfer of the common stock.</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i w:val="1"/>
          <w:iCs w:val="1"/>
          <w:color w:val="auto"/>
        </w:rPr>
        <w:t>Transfer Agent and Registrar</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The transfer agent and registrar for the common stock is American Stock Transfer &amp; Trust Company, LLC.</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PREFERRED STOCK</w:t>
      </w:r>
    </w:p>
    <w:p>
      <w:pPr>
        <w:spacing w:after="0" w:line="147" w:lineRule="exact"/>
        <w:rPr>
          <w:sz w:val="20"/>
          <w:szCs w:val="20"/>
          <w:color w:val="auto"/>
        </w:rPr>
      </w:pPr>
    </w:p>
    <w:p>
      <w:pPr>
        <w:ind w:left="180" w:right="299"/>
        <w:spacing w:after="0" w:line="253" w:lineRule="auto"/>
        <w:rPr>
          <w:sz w:val="20"/>
          <w:szCs w:val="20"/>
          <w:color w:val="auto"/>
        </w:rPr>
      </w:pPr>
      <w:r>
        <w:rPr>
          <w:rFonts w:ascii="Times New Roman" w:cs="Times New Roman" w:eastAsia="Times New Roman" w:hAnsi="Times New Roman"/>
          <w:sz w:val="13"/>
          <w:szCs w:val="13"/>
          <w:color w:val="auto"/>
        </w:rPr>
        <w:t>The description of preferred stock set forth below does not purport to be complete and is qualified in its entirety by reference to the articles supplementary relating to the applicable class or series.</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i w:val="1"/>
          <w:iCs w:val="1"/>
          <w:color w:val="auto"/>
        </w:rPr>
        <w:t>General</w:t>
      </w:r>
    </w:p>
    <w:p>
      <w:pPr>
        <w:spacing w:after="0" w:line="71" w:lineRule="exact"/>
        <w:rPr>
          <w:sz w:val="20"/>
          <w:szCs w:val="20"/>
          <w:color w:val="auto"/>
        </w:rPr>
      </w:pPr>
    </w:p>
    <w:p>
      <w:pPr>
        <w:ind w:left="180" w:right="279"/>
        <w:spacing w:after="0" w:line="235" w:lineRule="auto"/>
        <w:rPr>
          <w:sz w:val="20"/>
          <w:szCs w:val="20"/>
          <w:color w:val="auto"/>
        </w:rPr>
      </w:pPr>
      <w:r>
        <w:rPr>
          <w:rFonts w:ascii="Times New Roman" w:cs="Times New Roman" w:eastAsia="Times New Roman" w:hAnsi="Times New Roman"/>
          <w:sz w:val="13"/>
          <w:szCs w:val="13"/>
          <w:color w:val="auto"/>
        </w:rPr>
        <w:t>The company’s charter provides that it may issue up to 110 million shares of preferred stock, $0.01 par value per share, or preferred stock. The company’s charter authorizes its board of directors to amend its charter from time to time without stockholder approval to increase or decrease the number of authorized shares of preferred stock. As of February 26, 2021, 8,050,000 shares of the company’s series C preferred stock, 8,000,000 shares of the company’s series J preferred stock, 8,400,000 shares of the series K preferred stock and 13,800,000 shares of the series L preferred stock were issued and outstanding. No other shares of the company’s preferred stock are currently outstanding.</w:t>
      </w:r>
    </w:p>
    <w:p>
      <w:pPr>
        <w:spacing w:after="0" w:line="132" w:lineRule="exact"/>
        <w:rPr>
          <w:sz w:val="20"/>
          <w:szCs w:val="20"/>
          <w:color w:val="auto"/>
        </w:rPr>
      </w:pPr>
    </w:p>
    <w:p>
      <w:pPr>
        <w:ind w:left="180" w:right="219"/>
        <w:spacing w:after="0" w:line="235" w:lineRule="auto"/>
        <w:rPr>
          <w:sz w:val="20"/>
          <w:szCs w:val="20"/>
          <w:color w:val="auto"/>
        </w:rPr>
      </w:pPr>
      <w:r>
        <w:rPr>
          <w:rFonts w:ascii="Times New Roman" w:cs="Times New Roman" w:eastAsia="Times New Roman" w:hAnsi="Times New Roman"/>
          <w:sz w:val="13"/>
          <w:szCs w:val="13"/>
          <w:color w:val="auto"/>
        </w:rPr>
        <w:t>The company’s charter authorizes its board of directors to classify any unissued shares of preferred stock and to reclassify any previously classified but unissued shares of any series into other classes or series of stock. Prior to the issuance of shares of each class or series, the company’s board of directors is required by the MGCL and the company’s charter to set, subject to the provisions of the company’s charter regarding the restrictions on transfers of stock, the terms, preferences, conversion or other rights, voting powers, restrictions, limitations as to dividends or other distributions, qualifications and terms or conditions of redemption for each such class or series. Thus,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236855</wp:posOffset>
            </wp:positionV>
            <wp:extent cx="5485130" cy="177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7">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12" w:name="page213"/>
    <w:bookmarkEnd w:id="212"/>
    <w:p>
      <w:pPr>
        <w:ind w:left="180" w:right="279"/>
        <w:spacing w:after="0" w:line="294" w:lineRule="auto"/>
        <w:rPr>
          <w:sz w:val="20"/>
          <w:szCs w:val="20"/>
          <w:color w:val="auto"/>
        </w:rPr>
      </w:pPr>
      <w:r>
        <w:rPr>
          <w:rFonts w:ascii="Times New Roman" w:cs="Times New Roman" w:eastAsia="Times New Roman" w:hAnsi="Times New Roman"/>
          <w:sz w:val="12"/>
          <w:szCs w:val="12"/>
          <w:color w:val="auto"/>
        </w:rPr>
        <w:t>company’s board of directors could authorize the issuance of shares of preferred stock with terms and conditions which could have the effect of delaying, deferring or preventing a transaction or a change of control of the company that might involve a premium price for holders of the common stock or otherwise be in their best interest.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i w:val="1"/>
          <w:iCs w:val="1"/>
          <w:color w:val="auto"/>
        </w:rPr>
        <w:t>Power to Increase Authorized Stock and Issue Additional Shares of Preferred Stock</w:t>
      </w:r>
    </w:p>
    <w:p>
      <w:pPr>
        <w:spacing w:after="0" w:line="71" w:lineRule="exact"/>
        <w:rPr>
          <w:sz w:val="20"/>
          <w:szCs w:val="20"/>
          <w:color w:val="auto"/>
        </w:rPr>
      </w:pPr>
    </w:p>
    <w:p>
      <w:pPr>
        <w:ind w:left="180" w:right="199"/>
        <w:spacing w:after="0" w:line="232" w:lineRule="auto"/>
        <w:rPr>
          <w:sz w:val="20"/>
          <w:szCs w:val="20"/>
          <w:color w:val="auto"/>
        </w:rPr>
      </w:pPr>
      <w:r>
        <w:rPr>
          <w:rFonts w:ascii="Times New Roman" w:cs="Times New Roman" w:eastAsia="Times New Roman" w:hAnsi="Times New Roman"/>
          <w:sz w:val="13"/>
          <w:szCs w:val="13"/>
          <w:color w:val="auto"/>
        </w:rPr>
        <w:t>The company’s board of directors has the power to amend the company’s charter from time to time without stockholder approval to increase or decrease the number of authorized shares of preferred stock, to issue additional authorized but unissued shares of the company’s preferred stock and to classify or reclassify unissued shares of the company’s preferred stock into other classes or series of stock and thereafter to cause us to issue such classified or reclassified shares of stock. Subject to the limited rights of holders of the company’s series C preferred stock, series J preferred stock, series K preferred stock and series L preferred stock and each other parity class or series of preferred stock, voting together as a single class, to approve certain issuances of senior classes or series of stock, the additional classes or series will be available for issuance without further action by the company’s stockholders, unless stockholder consent is required by applicable law or the rules of any stock exchange or automated quotation system on which the company’s securities may be listed or traded. Although the company’s board of directors does not intend to do so, it could authorize the company to issue a class or series that could, depending upon the terms of the particular class or series, delay, defer or prevent a transaction or a change of control of the company that might involve a premium price for the company’s stockholders or otherwise be in their best interest.</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i w:val="1"/>
          <w:iCs w:val="1"/>
          <w:color w:val="auto"/>
        </w:rPr>
        <w:t>Restrictions on Ownership and Transfer</w:t>
      </w:r>
    </w:p>
    <w:p>
      <w:pPr>
        <w:spacing w:after="0" w:line="71" w:lineRule="exact"/>
        <w:rPr>
          <w:sz w:val="20"/>
          <w:szCs w:val="20"/>
          <w:color w:val="auto"/>
        </w:rPr>
      </w:pPr>
    </w:p>
    <w:p>
      <w:pPr>
        <w:ind w:left="180" w:right="379"/>
        <w:spacing w:after="0" w:line="253" w:lineRule="auto"/>
        <w:rPr>
          <w:sz w:val="20"/>
          <w:szCs w:val="20"/>
          <w:color w:val="auto"/>
        </w:rPr>
      </w:pPr>
      <w:r>
        <w:rPr>
          <w:rFonts w:ascii="Times New Roman" w:cs="Times New Roman" w:eastAsia="Times New Roman" w:hAnsi="Times New Roman"/>
          <w:sz w:val="13"/>
          <w:szCs w:val="13"/>
          <w:color w:val="auto"/>
        </w:rPr>
        <w:t>To assist the company in complying with certain U.S. federal income tax requirements applicable to REITs, the company has adopted certain restrictions relating to the ownership and transfer of the series C preferred stock, series J preferred stock, series K preferred stock and series L preferred stock.</w:t>
      </w:r>
    </w:p>
    <w:p>
      <w:pPr>
        <w:spacing w:after="0" w:line="3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6.625% Series C Cumulative Redeemable Perpetual Preferred Stock</w:t>
      </w:r>
    </w:p>
    <w:p>
      <w:pPr>
        <w:spacing w:after="0" w:line="69" w:lineRule="exact"/>
        <w:rPr>
          <w:sz w:val="20"/>
          <w:szCs w:val="20"/>
          <w:color w:val="auto"/>
        </w:rPr>
      </w:pPr>
    </w:p>
    <w:p>
      <w:pPr>
        <w:jc w:val="both"/>
        <w:ind w:left="180" w:right="519" w:firstLine="310"/>
        <w:spacing w:after="0" w:line="242" w:lineRule="auto"/>
        <w:rPr>
          <w:sz w:val="20"/>
          <w:szCs w:val="20"/>
          <w:color w:val="auto"/>
        </w:rPr>
      </w:pPr>
      <w:r>
        <w:rPr>
          <w:rFonts w:ascii="Times New Roman" w:cs="Times New Roman" w:eastAsia="Times New Roman" w:hAnsi="Times New Roman"/>
          <w:sz w:val="13"/>
          <w:szCs w:val="13"/>
          <w:i w:val="1"/>
          <w:iCs w:val="1"/>
          <w:color w:val="auto"/>
        </w:rPr>
        <w:t>General</w:t>
      </w:r>
      <w:r>
        <w:rPr>
          <w:rFonts w:ascii="Times New Roman" w:cs="Times New Roman" w:eastAsia="Times New Roman" w:hAnsi="Times New Roman"/>
          <w:sz w:val="13"/>
          <w:szCs w:val="13"/>
          <w:color w:val="auto"/>
        </w:rPr>
        <w:t>. The DLR board approved articles supplementary creating the series C preferred stock as a series of DLR’s preferred stock, designated as the 6.625%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Series C Cumulative Redeemable Perpetual Preferred Stock. The following description of the series C preferred stock is qualified in its entirety by reference to such articles supplementary and DLR’s charter. The series C preferred stock is validly issued, fully paid and nonassessable.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series C preferred stock is currently listed on the NYSE as “DLR Pr C”.</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i w:val="1"/>
          <w:iCs w:val="1"/>
          <w:color w:val="auto"/>
        </w:rPr>
        <w:t>Ranking</w:t>
      </w:r>
      <w:r>
        <w:rPr>
          <w:rFonts w:ascii="Times New Roman" w:cs="Times New Roman" w:eastAsia="Times New Roman" w:hAnsi="Times New Roman"/>
          <w:sz w:val="13"/>
          <w:szCs w:val="13"/>
          <w:color w:val="auto"/>
        </w:rPr>
        <w:t>. The series C preferred stock ranks, with respect to dividend rights and rights upon DLR’s liquidation, dissolution or winding-up:</w:t>
      </w:r>
    </w:p>
    <w:p>
      <w:pPr>
        <w:spacing w:after="0" w:line="80" w:lineRule="exact"/>
        <w:rPr>
          <w:sz w:val="20"/>
          <w:szCs w:val="20"/>
          <w:color w:val="auto"/>
        </w:rPr>
      </w:pPr>
    </w:p>
    <w:p>
      <w:pPr>
        <w:ind w:left="960" w:right="299" w:hanging="349"/>
        <w:spacing w:after="0" w:line="253" w:lineRule="auto"/>
        <w:tabs>
          <w:tab w:leader="none" w:pos="96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senior to all classes or series of the common stock and to any other class or series of stock expressly designated as ranking junior to the series C preferred stock;</w:t>
      </w:r>
    </w:p>
    <w:p>
      <w:pPr>
        <w:spacing w:after="0" w:line="55" w:lineRule="exact"/>
        <w:rPr>
          <w:rFonts w:ascii="Times New Roman" w:cs="Times New Roman" w:eastAsia="Times New Roman" w:hAnsi="Times New Roman"/>
          <w:sz w:val="13"/>
          <w:szCs w:val="13"/>
          <w:color w:val="auto"/>
        </w:rPr>
      </w:pPr>
    </w:p>
    <w:p>
      <w:pPr>
        <w:ind w:left="960" w:right="359" w:hanging="349"/>
        <w:spacing w:after="0" w:line="253" w:lineRule="auto"/>
        <w:tabs>
          <w:tab w:leader="none" w:pos="96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parity with any class or series of stock expressly designated as ranking on parity with the series C preferred stock, including the the series J preferred stock, the series K preferred stock and the series L preferred stock; and</w:t>
      </w:r>
    </w:p>
    <w:p>
      <w:pPr>
        <w:spacing w:after="0" w:line="55" w:lineRule="exact"/>
        <w:rPr>
          <w:rFonts w:ascii="Times New Roman" w:cs="Times New Roman" w:eastAsia="Times New Roman" w:hAnsi="Times New Roman"/>
          <w:sz w:val="13"/>
          <w:szCs w:val="13"/>
          <w:color w:val="auto"/>
        </w:rPr>
      </w:pPr>
    </w:p>
    <w:p>
      <w:pPr>
        <w:ind w:left="960" w:hanging="349"/>
        <w:spacing w:after="0"/>
        <w:tabs>
          <w:tab w:leader="none" w:pos="96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junior to any other class or series of stock expressly designated as ranking senior to the series C preferred stock.</w:t>
      </w:r>
    </w:p>
    <w:p>
      <w:pPr>
        <w:spacing w:after="0" w:line="143" w:lineRule="exact"/>
        <w:rPr>
          <w:sz w:val="20"/>
          <w:szCs w:val="20"/>
          <w:color w:val="auto"/>
        </w:rPr>
      </w:pPr>
    </w:p>
    <w:p>
      <w:pPr>
        <w:ind w:left="180" w:right="239" w:firstLine="310"/>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Dividend Rate and Payment Date. </w:t>
      </w:r>
      <w:r>
        <w:rPr>
          <w:rFonts w:ascii="Times New Roman" w:cs="Times New Roman" w:eastAsia="Times New Roman" w:hAnsi="Times New Roman"/>
          <w:sz w:val="12"/>
          <w:szCs w:val="12"/>
          <w:color w:val="auto"/>
        </w:rPr>
        <w:t>Holders of the series C preferred stock are entitled to receive cumulative cash dividends on the series C preferred stock from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including the date of original issue, payable quarterly in arrears on or about the last calendar day of March, June, September and December of each year, at the rate of</w:t>
      </w:r>
    </w:p>
    <w:p>
      <w:pPr>
        <w:spacing w:after="0" w:line="1" w:lineRule="exact"/>
        <w:rPr>
          <w:sz w:val="20"/>
          <w:szCs w:val="20"/>
          <w:color w:val="auto"/>
        </w:rPr>
      </w:pPr>
    </w:p>
    <w:p>
      <w:pPr>
        <w:ind w:left="180" w:right="319"/>
        <w:spacing w:after="0" w:line="233" w:lineRule="auto"/>
        <w:rPr>
          <w:sz w:val="20"/>
          <w:szCs w:val="20"/>
          <w:color w:val="auto"/>
        </w:rPr>
      </w:pPr>
      <w:r>
        <w:rPr>
          <w:rFonts w:ascii="Times New Roman" w:cs="Times New Roman" w:eastAsia="Times New Roman" w:hAnsi="Times New Roman"/>
          <w:sz w:val="13"/>
          <w:szCs w:val="13"/>
          <w:color w:val="auto"/>
        </w:rPr>
        <w:t>6.625% per annum of the $25.00 liquidation preference per share (equivalent to an annual amount of $1.65625 per share). Dividends on the series C preferred stock will accrue whether or not DLR has earnings, whether or not there are funds legally available for the payment of such dividends and whether or not such dividends are authorized or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234950</wp:posOffset>
            </wp:positionV>
            <wp:extent cx="5485130" cy="177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8">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13" w:name="page214"/>
    <w:bookmarkEnd w:id="213"/>
    <w:p>
      <w:pPr>
        <w:ind w:left="180" w:right="259" w:firstLine="310"/>
        <w:spacing w:after="0" w:line="236" w:lineRule="auto"/>
        <w:rPr>
          <w:sz w:val="20"/>
          <w:szCs w:val="20"/>
          <w:color w:val="auto"/>
        </w:rPr>
      </w:pPr>
      <w:r>
        <w:rPr>
          <w:rFonts w:ascii="Times New Roman" w:cs="Times New Roman" w:eastAsia="Times New Roman" w:hAnsi="Times New Roman"/>
          <w:sz w:val="13"/>
          <w:szCs w:val="13"/>
          <w:i w:val="1"/>
          <w:iCs w:val="1"/>
          <w:color w:val="auto"/>
        </w:rPr>
        <w:t xml:space="preserve">Liquidation Preference. </w:t>
      </w:r>
      <w:r>
        <w:rPr>
          <w:rFonts w:ascii="Times New Roman" w:cs="Times New Roman" w:eastAsia="Times New Roman" w:hAnsi="Times New Roman"/>
          <w:sz w:val="13"/>
          <w:szCs w:val="13"/>
          <w:color w:val="auto"/>
        </w:rPr>
        <w:t>In the event of a liquidation, dissolution or winding up, holders of the series C preferred stock will have the right to receive $25.00 per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 plus accrued and unpaid dividends (whether or not earned or declared) up to but excluding the date of payment, before any payment is made to holders of the common stock and any other class or series of stock ranking junior to the series C preferred stock as to liquidation rights. The rights of holders of series C preferred stock to receive their liquidation preference will be subject to the proportionate rights of any other class or series of stock ranking on parity with the series C preferred stock as to liquidation.</w:t>
      </w:r>
    </w:p>
    <w:p>
      <w:pPr>
        <w:spacing w:after="0" w:line="129" w:lineRule="exact"/>
        <w:rPr>
          <w:sz w:val="20"/>
          <w:szCs w:val="20"/>
          <w:color w:val="auto"/>
        </w:rPr>
      </w:pPr>
    </w:p>
    <w:p>
      <w:pPr>
        <w:ind w:left="180" w:right="199" w:firstLine="310"/>
        <w:spacing w:after="0" w:line="257" w:lineRule="auto"/>
        <w:rPr>
          <w:sz w:val="20"/>
          <w:szCs w:val="20"/>
          <w:color w:val="auto"/>
        </w:rPr>
      </w:pPr>
      <w:r>
        <w:rPr>
          <w:rFonts w:ascii="Times New Roman" w:cs="Times New Roman" w:eastAsia="Times New Roman" w:hAnsi="Times New Roman"/>
          <w:sz w:val="12"/>
          <w:szCs w:val="12"/>
          <w:i w:val="1"/>
          <w:iCs w:val="1"/>
          <w:color w:val="auto"/>
        </w:rPr>
        <w:t>Optional Redemption</w:t>
      </w:r>
      <w:r>
        <w:rPr>
          <w:rFonts w:ascii="Times New Roman" w:cs="Times New Roman" w:eastAsia="Times New Roman" w:hAnsi="Times New Roman"/>
          <w:sz w:val="12"/>
          <w:szCs w:val="12"/>
          <w:color w:val="auto"/>
        </w:rPr>
        <w:t>. The series C preferred stock may not be redeemed prior to May 15, 2021, except in limited circumstances to preserve DLR’s status as a REIT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pursuant to the special optional redemption right described below. On and after May 15, 2021, the series C preferred stock will be redeemable at DLR’s option, in whole or in part at any time or from time to time, for cash at a redemption price of $25.00 per share, plus accrued and unpaid dividends (whether or not authorized or declared) up to but excluding the redemption date. However, unless full cumulative dividends on the series C preferred stock for all past dividend periods have been, or contemporaneously are, paid or an amount in cash sufficient for the payment thereof is set apart, no shares of series C preferred stock may be redeemed; provided, that the foregoing restriction does not prevent DLR from taking action necessary to preserve its status as a REIT. Any partial redemption will be on a pro rata basis.</w:t>
      </w:r>
    </w:p>
    <w:p>
      <w:pPr>
        <w:spacing w:after="0" w:line="120" w:lineRule="exact"/>
        <w:rPr>
          <w:sz w:val="20"/>
          <w:szCs w:val="20"/>
          <w:color w:val="auto"/>
        </w:rPr>
      </w:pPr>
    </w:p>
    <w:p>
      <w:pPr>
        <w:ind w:left="180" w:right="299" w:firstLine="310"/>
        <w:spacing w:after="0" w:line="236" w:lineRule="auto"/>
        <w:rPr>
          <w:sz w:val="20"/>
          <w:szCs w:val="20"/>
          <w:color w:val="auto"/>
        </w:rPr>
      </w:pPr>
      <w:r>
        <w:rPr>
          <w:rFonts w:ascii="Times New Roman" w:cs="Times New Roman" w:eastAsia="Times New Roman" w:hAnsi="Times New Roman"/>
          <w:sz w:val="13"/>
          <w:szCs w:val="13"/>
          <w:i w:val="1"/>
          <w:iCs w:val="1"/>
          <w:color w:val="auto"/>
        </w:rPr>
        <w:t xml:space="preserve">Special Optional Redemption. </w:t>
      </w:r>
      <w:r>
        <w:rPr>
          <w:rFonts w:ascii="Times New Roman" w:cs="Times New Roman" w:eastAsia="Times New Roman" w:hAnsi="Times New Roman"/>
          <w:sz w:val="13"/>
          <w:szCs w:val="13"/>
          <w:color w:val="auto"/>
        </w:rPr>
        <w:t>Upon the occurrence of a Change of Control (as defined in the articles supplementary), DLR may, at its option, redeem the series 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preferred stock, in whole or in part within 120 days after the first date on which such Change of Control occurred, by paying $25.00 per share, plus any accrued and unpaid dividends to, but not including, the date of redemption. If, prior to the Change of Control Conversion Date (as defined below), DLR exercises any of its redemption rights relating to the series C preferred stock (whether its optional redemption right or its special optional redemption right), the holders of series C preferred stock will not have the conversion right described below.</w:t>
      </w:r>
    </w:p>
    <w:p>
      <w:pPr>
        <w:spacing w:after="0" w:line="129" w:lineRule="exact"/>
        <w:rPr>
          <w:sz w:val="20"/>
          <w:szCs w:val="20"/>
          <w:color w:val="auto"/>
        </w:rPr>
      </w:pPr>
    </w:p>
    <w:p>
      <w:pPr>
        <w:ind w:left="180" w:right="359" w:firstLine="310"/>
        <w:spacing w:after="0" w:line="238" w:lineRule="auto"/>
        <w:rPr>
          <w:sz w:val="20"/>
          <w:szCs w:val="20"/>
          <w:color w:val="auto"/>
        </w:rPr>
      </w:pPr>
      <w:r>
        <w:rPr>
          <w:rFonts w:ascii="Times New Roman" w:cs="Times New Roman" w:eastAsia="Times New Roman" w:hAnsi="Times New Roman"/>
          <w:sz w:val="13"/>
          <w:szCs w:val="13"/>
          <w:i w:val="1"/>
          <w:iCs w:val="1"/>
          <w:color w:val="auto"/>
        </w:rPr>
        <w:t xml:space="preserve">No Maturity, Sinking Fund or Mandatory Redemption. </w:t>
      </w:r>
      <w:r>
        <w:rPr>
          <w:rFonts w:ascii="Times New Roman" w:cs="Times New Roman" w:eastAsia="Times New Roman" w:hAnsi="Times New Roman"/>
          <w:sz w:val="13"/>
          <w:szCs w:val="13"/>
          <w:color w:val="auto"/>
        </w:rPr>
        <w:t>The series C preferred stock has no stated maturity date and DLR is not be required to redeem the series 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preferred stock at any time. Accordingly, the series C preferred stock will remain outstanding indefinitely, unless DLR decides, at its option, to exercise its redemption right or, under circumstances where the holders of the series C preferred stock have a conversion right, such holders decide to convert the series C preferred stock into common stock. The series C preferred stock is not subject to any sinking fund.</w:t>
      </w:r>
    </w:p>
    <w:p>
      <w:pPr>
        <w:spacing w:after="0" w:line="128" w:lineRule="exact"/>
        <w:rPr>
          <w:sz w:val="20"/>
          <w:szCs w:val="20"/>
          <w:color w:val="auto"/>
        </w:rPr>
      </w:pPr>
    </w:p>
    <w:p>
      <w:pPr>
        <w:ind w:left="180" w:right="219" w:firstLine="310"/>
        <w:spacing w:after="0" w:line="233" w:lineRule="auto"/>
        <w:rPr>
          <w:sz w:val="20"/>
          <w:szCs w:val="20"/>
          <w:color w:val="auto"/>
        </w:rPr>
      </w:pPr>
      <w:r>
        <w:rPr>
          <w:rFonts w:ascii="Times New Roman" w:cs="Times New Roman" w:eastAsia="Times New Roman" w:hAnsi="Times New Roman"/>
          <w:sz w:val="13"/>
          <w:szCs w:val="13"/>
          <w:i w:val="1"/>
          <w:iCs w:val="1"/>
          <w:color w:val="auto"/>
        </w:rPr>
        <w:t xml:space="preserve">Voting Rights. </w:t>
      </w:r>
      <w:r>
        <w:rPr>
          <w:rFonts w:ascii="Times New Roman" w:cs="Times New Roman" w:eastAsia="Times New Roman" w:hAnsi="Times New Roman"/>
          <w:sz w:val="13"/>
          <w:szCs w:val="13"/>
          <w:color w:val="auto"/>
        </w:rPr>
        <w:t>Holders of series C preferred stock generally have no voting rights. However, if DLR is in arrears on dividends on the series C preferred stock for six</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 more quarterly periods, whether or not consecutive, holders of the series C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next annual meeting of stockholders and each subsequent annual meeting of stockholders for the election of two additional directors to serve on the DLR board until all accumulated dividends with respect to the series C preferred stock and any other class or series of parity preferred stock have been fully paid. In addition, DLR may not make certain material and adverse changes to the terms of the series C preferred stock without the affirmative vote of the holders of at least two-thirds of the outstanding shares of series C preferred stock and all other shares of any class or series ranking on parity with the series C preferred stock that are entitled to similar voting rights (voting together as a single class).</w:t>
      </w:r>
    </w:p>
    <w:p>
      <w:pPr>
        <w:spacing w:after="0" w:line="130" w:lineRule="exact"/>
        <w:rPr>
          <w:sz w:val="20"/>
          <w:szCs w:val="20"/>
          <w:color w:val="auto"/>
        </w:rPr>
      </w:pPr>
    </w:p>
    <w:p>
      <w:pPr>
        <w:ind w:left="180" w:right="239" w:firstLine="310"/>
        <w:spacing w:after="0" w:line="238" w:lineRule="auto"/>
        <w:rPr>
          <w:sz w:val="20"/>
          <w:szCs w:val="20"/>
          <w:color w:val="auto"/>
        </w:rPr>
      </w:pPr>
      <w:r>
        <w:rPr>
          <w:rFonts w:ascii="Times New Roman" w:cs="Times New Roman" w:eastAsia="Times New Roman" w:hAnsi="Times New Roman"/>
          <w:sz w:val="13"/>
          <w:szCs w:val="13"/>
          <w:i w:val="1"/>
          <w:iCs w:val="1"/>
          <w:color w:val="auto"/>
        </w:rPr>
        <w:t>Conversion</w:t>
      </w:r>
      <w:r>
        <w:rPr>
          <w:rFonts w:ascii="Times New Roman" w:cs="Times New Roman" w:eastAsia="Times New Roman" w:hAnsi="Times New Roman"/>
          <w:sz w:val="13"/>
          <w:szCs w:val="13"/>
          <w:color w:val="auto"/>
        </w:rPr>
        <w:t>. Upon the occurrence of a Change of Control, each holder of series C preferred stock will have the right (unless, prior to the Change of Control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Conversion Date, DLR has provided or provides notice of its election to redeem the series C preferred stock) to convert some or all of the series C preferred stock held by such holder on the date the series C preferred stock is to be converted, which DLR refers to as the Change of Control Conversion Date, into a number of shares of common stock per share of series C preferred stock to be converted equal to the lesser of:</w:t>
      </w:r>
    </w:p>
    <w:p>
      <w:pPr>
        <w:spacing w:after="0" w:line="64" w:lineRule="exact"/>
        <w:rPr>
          <w:sz w:val="20"/>
          <w:szCs w:val="20"/>
          <w:color w:val="auto"/>
        </w:rPr>
      </w:pPr>
    </w:p>
    <w:p>
      <w:pPr>
        <w:ind w:left="960" w:right="519" w:hanging="349"/>
        <w:spacing w:after="0"/>
        <w:tabs>
          <w:tab w:leader="none" w:pos="96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quotient obtained by dividing (i) the sum of the $25.00 liquidation preference plus the amount of any accrued and unpaid dividends to, but not including, the Change of Control Conversion Date (unless the Change of Control Conversion Date is after a record date for a series C preferred stock dividend payment and prior to the corresponding series C preferred stock dividend payment date, in which case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235585</wp:posOffset>
            </wp:positionV>
            <wp:extent cx="5485130" cy="177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9">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4" w:name="page215"/>
    <w:bookmarkEnd w:id="214"/>
    <w:p>
      <w:pPr>
        <w:ind w:left="960"/>
        <w:spacing w:after="0"/>
        <w:rPr>
          <w:sz w:val="20"/>
          <w:szCs w:val="20"/>
          <w:color w:val="auto"/>
        </w:rPr>
      </w:pPr>
      <w:r>
        <w:rPr>
          <w:rFonts w:ascii="Times New Roman" w:cs="Times New Roman" w:eastAsia="Times New Roman" w:hAnsi="Times New Roman"/>
          <w:sz w:val="13"/>
          <w:szCs w:val="13"/>
          <w:color w:val="auto"/>
        </w:rPr>
        <w:t>additional amount for such accrued and unpaid dividends will be included in this sum) by (ii) the Common Stock Price (as defined below); and</w:t>
      </w:r>
    </w:p>
    <w:p>
      <w:pPr>
        <w:spacing w:after="0" w:line="78" w:lineRule="exact"/>
        <w:rPr>
          <w:sz w:val="20"/>
          <w:szCs w:val="20"/>
          <w:color w:val="auto"/>
        </w:rPr>
      </w:pPr>
    </w:p>
    <w:p>
      <w:pPr>
        <w:ind w:left="960" w:hanging="349"/>
        <w:spacing w:after="0"/>
        <w:tabs>
          <w:tab w:leader="none" w:pos="96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0.6389035 (i.e., the Share Cap), subject to certain adjustments;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subject, in each case, to provisions for the receipt of alternative consideration as described in the articles supplementary relating to the series C preferred stock.</w:t>
      </w:r>
    </w:p>
    <w:p>
      <w:pPr>
        <w:spacing w:after="0" w:line="145" w:lineRule="exact"/>
        <w:rPr>
          <w:sz w:val="20"/>
          <w:szCs w:val="20"/>
          <w:color w:val="auto"/>
        </w:rPr>
      </w:pPr>
    </w:p>
    <w:p>
      <w:pPr>
        <w:ind w:left="180" w:right="219" w:firstLine="310"/>
        <w:spacing w:after="0" w:line="235" w:lineRule="auto"/>
        <w:rPr>
          <w:sz w:val="20"/>
          <w:szCs w:val="20"/>
          <w:color w:val="auto"/>
        </w:rPr>
      </w:pPr>
      <w:r>
        <w:rPr>
          <w:rFonts w:ascii="Times New Roman" w:cs="Times New Roman" w:eastAsia="Times New Roman" w:hAnsi="Times New Roman"/>
          <w:sz w:val="13"/>
          <w:szCs w:val="13"/>
          <w:color w:val="auto"/>
        </w:rPr>
        <w:t>The “Common Stock Price” will be (i) if the consideration to be received in the Change of Control by the holders of common stock is solely cash, the amount of cash consideration per share of common stock, (ii) if the consideration to be received in the Change of Control by holders of common stock is other than solely cash, the average of the closing price per share of common stock on the ten consecutive trading days immediately preceding, but not including, the effective date of such Change of Control and (iii) if there is not a readily determinable closing price for the common stock, the fair market value of such other consideration received in the Change of Control per share of common stock as determined by the DLR board or a committee thereof.</w:t>
      </w:r>
    </w:p>
    <w:p>
      <w:pPr>
        <w:spacing w:after="0" w:line="132" w:lineRule="exact"/>
        <w:rPr>
          <w:sz w:val="20"/>
          <w:szCs w:val="20"/>
          <w:color w:val="auto"/>
        </w:rPr>
      </w:pPr>
    </w:p>
    <w:p>
      <w:pPr>
        <w:ind w:left="180" w:right="259" w:firstLine="310"/>
        <w:spacing w:after="0" w:line="237" w:lineRule="auto"/>
        <w:rPr>
          <w:sz w:val="20"/>
          <w:szCs w:val="20"/>
          <w:color w:val="auto"/>
        </w:rPr>
      </w:pPr>
      <w:r>
        <w:rPr>
          <w:rFonts w:ascii="Times New Roman" w:cs="Times New Roman" w:eastAsia="Times New Roman" w:hAnsi="Times New Roman"/>
          <w:sz w:val="13"/>
          <w:szCs w:val="13"/>
          <w:color w:val="auto"/>
        </w:rPr>
        <w:t>If, prior to the Change of Control Conversion Date, DLR has provided or provides a redemption notice, whether pursuant to its special optional redemption right in connection with a Change of Control or its optional redemption right, holders of series C preferred stock will not have any right to convert the series C preferred stock into shares of DLR’s common stock in connection with the Change of Control and any shares of series C preferred stock selected for redemption that have been tendered for conversion will be redeemed on the related date of redemption instead of converted on the Change of Control Conversion Date.</w:t>
      </w:r>
    </w:p>
    <w:p>
      <w:pPr>
        <w:spacing w:after="0" w:line="131" w:lineRule="exact"/>
        <w:rPr>
          <w:sz w:val="20"/>
          <w:szCs w:val="20"/>
          <w:color w:val="auto"/>
        </w:rPr>
      </w:pPr>
    </w:p>
    <w:p>
      <w:pPr>
        <w:ind w:left="180" w:right="279" w:firstLine="310"/>
        <w:spacing w:after="0" w:line="253" w:lineRule="auto"/>
        <w:rPr>
          <w:sz w:val="20"/>
          <w:szCs w:val="20"/>
          <w:color w:val="auto"/>
        </w:rPr>
      </w:pPr>
      <w:r>
        <w:rPr>
          <w:rFonts w:ascii="Times New Roman" w:cs="Times New Roman" w:eastAsia="Times New Roman" w:hAnsi="Times New Roman"/>
          <w:sz w:val="13"/>
          <w:szCs w:val="13"/>
          <w:color w:val="auto"/>
        </w:rPr>
        <w:t>Except as provided above in connection with a Change of Control, the series C preferred stock will not be convertible into or exchangeable for any other securities or property.</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i w:val="1"/>
          <w:iCs w:val="1"/>
          <w:color w:val="auto"/>
        </w:rPr>
        <w:t xml:space="preserve">Transfer Agent and Registrar. </w:t>
      </w:r>
      <w:r>
        <w:rPr>
          <w:rFonts w:ascii="Times New Roman" w:cs="Times New Roman" w:eastAsia="Times New Roman" w:hAnsi="Times New Roman"/>
          <w:sz w:val="13"/>
          <w:szCs w:val="13"/>
          <w:color w:val="auto"/>
        </w:rPr>
        <w:t>The transfer agent and registrar for the series C preferred stock is American Stock Transfer &amp; Trust Company, LLC.</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5.250% Series J Cumulative Redeemable Preferred Stock</w:t>
      </w:r>
    </w:p>
    <w:p>
      <w:pPr>
        <w:spacing w:after="0" w:line="69" w:lineRule="exact"/>
        <w:rPr>
          <w:sz w:val="20"/>
          <w:szCs w:val="20"/>
          <w:color w:val="auto"/>
        </w:rPr>
      </w:pPr>
    </w:p>
    <w:p>
      <w:pPr>
        <w:ind w:left="180" w:right="419" w:firstLine="310"/>
        <w:spacing w:after="0" w:line="242" w:lineRule="auto"/>
        <w:rPr>
          <w:sz w:val="20"/>
          <w:szCs w:val="20"/>
          <w:color w:val="auto"/>
        </w:rPr>
      </w:pPr>
      <w:r>
        <w:rPr>
          <w:rFonts w:ascii="Times New Roman" w:cs="Times New Roman" w:eastAsia="Times New Roman" w:hAnsi="Times New Roman"/>
          <w:sz w:val="13"/>
          <w:szCs w:val="13"/>
          <w:i w:val="1"/>
          <w:iCs w:val="1"/>
          <w:color w:val="auto"/>
        </w:rPr>
        <w:t xml:space="preserve">General. </w:t>
      </w:r>
      <w:r>
        <w:rPr>
          <w:rFonts w:ascii="Times New Roman" w:cs="Times New Roman" w:eastAsia="Times New Roman" w:hAnsi="Times New Roman"/>
          <w:sz w:val="13"/>
          <w:szCs w:val="13"/>
          <w:color w:val="auto"/>
        </w:rPr>
        <w:t>The DLR board and a duly authorized committee thereof approved articles supplementary creating the series J preferred stock as a series of DLR’s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preferred stock, designated as the 5.250% Series J Cumulative Redeemable Preferred Stock. The following description of the series J preferred stock is qualified in its entirety by reference to such articles supplementary and DLR’s charter. The series J preferred stock is validly issued, fully paid and nonassessable.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series J preferred stock is currently listed on the NYSE as “DLR Pr J”.</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i w:val="1"/>
          <w:iCs w:val="1"/>
          <w:color w:val="auto"/>
        </w:rPr>
        <w:t xml:space="preserve">Ranking. </w:t>
      </w:r>
      <w:r>
        <w:rPr>
          <w:rFonts w:ascii="Times New Roman" w:cs="Times New Roman" w:eastAsia="Times New Roman" w:hAnsi="Times New Roman"/>
          <w:sz w:val="13"/>
          <w:szCs w:val="13"/>
          <w:color w:val="auto"/>
        </w:rPr>
        <w:t>The series J preferred stock ranks, with respect to dividend rights and rights upon DLR’s liquidation, dissolution or winding-up:</w:t>
      </w:r>
    </w:p>
    <w:p>
      <w:pPr>
        <w:spacing w:after="0" w:line="80" w:lineRule="exact"/>
        <w:rPr>
          <w:sz w:val="20"/>
          <w:szCs w:val="20"/>
          <w:color w:val="auto"/>
        </w:rPr>
      </w:pPr>
    </w:p>
    <w:p>
      <w:pPr>
        <w:ind w:left="960" w:right="339" w:hanging="349"/>
        <w:spacing w:after="0" w:line="253" w:lineRule="auto"/>
        <w:tabs>
          <w:tab w:leader="none" w:pos="96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senior to all classes or series of the common stock and to any other class or series of stock expressly designated as ranking junior to the series J preferred stock;</w:t>
      </w:r>
    </w:p>
    <w:p>
      <w:pPr>
        <w:spacing w:after="0" w:line="55" w:lineRule="exact"/>
        <w:rPr>
          <w:rFonts w:ascii="Times New Roman" w:cs="Times New Roman" w:eastAsia="Times New Roman" w:hAnsi="Times New Roman"/>
          <w:sz w:val="13"/>
          <w:szCs w:val="13"/>
          <w:color w:val="auto"/>
        </w:rPr>
      </w:pPr>
    </w:p>
    <w:p>
      <w:pPr>
        <w:ind w:left="960" w:right="219" w:hanging="349"/>
        <w:spacing w:after="0" w:line="253" w:lineRule="auto"/>
        <w:tabs>
          <w:tab w:leader="none" w:pos="96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parity with any class or series of stock expressly designated as ranking on parity with the series J preferred stock, including the series C preferred stock, series K preferred stock and series L preferred stock; and</w:t>
      </w:r>
    </w:p>
    <w:p>
      <w:pPr>
        <w:spacing w:after="0" w:line="55" w:lineRule="exact"/>
        <w:rPr>
          <w:rFonts w:ascii="Times New Roman" w:cs="Times New Roman" w:eastAsia="Times New Roman" w:hAnsi="Times New Roman"/>
          <w:sz w:val="13"/>
          <w:szCs w:val="13"/>
          <w:color w:val="auto"/>
        </w:rPr>
      </w:pPr>
    </w:p>
    <w:p>
      <w:pPr>
        <w:ind w:left="960" w:hanging="349"/>
        <w:spacing w:after="0"/>
        <w:tabs>
          <w:tab w:leader="none" w:pos="96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junior to any other class or series of stock expressly designated as ranking senior to the series J preferred stock.</w:t>
      </w:r>
    </w:p>
    <w:p>
      <w:pPr>
        <w:spacing w:after="0" w:line="143" w:lineRule="exact"/>
        <w:rPr>
          <w:sz w:val="20"/>
          <w:szCs w:val="20"/>
          <w:color w:val="auto"/>
        </w:rPr>
      </w:pPr>
    </w:p>
    <w:p>
      <w:pPr>
        <w:ind w:left="180" w:right="259" w:firstLine="310"/>
        <w:spacing w:after="0" w:line="264" w:lineRule="auto"/>
        <w:rPr>
          <w:sz w:val="20"/>
          <w:szCs w:val="20"/>
          <w:color w:val="auto"/>
        </w:rPr>
      </w:pPr>
      <w:r>
        <w:rPr>
          <w:rFonts w:ascii="Times New Roman" w:cs="Times New Roman" w:eastAsia="Times New Roman" w:hAnsi="Times New Roman"/>
          <w:sz w:val="12"/>
          <w:szCs w:val="12"/>
          <w:i w:val="1"/>
          <w:iCs w:val="1"/>
          <w:color w:val="auto"/>
        </w:rPr>
        <w:t xml:space="preserve">Dividend Rate and Payment Date. </w:t>
      </w:r>
      <w:r>
        <w:rPr>
          <w:rFonts w:ascii="Times New Roman" w:cs="Times New Roman" w:eastAsia="Times New Roman" w:hAnsi="Times New Roman"/>
          <w:sz w:val="12"/>
          <w:szCs w:val="12"/>
          <w:color w:val="auto"/>
        </w:rPr>
        <w:t>Holders are entitled to receive cumulative cash dividends on the series J preferred stock from and including the date of original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issue, payable quarterly in arrears on or about the last calendar day of March, June, September and December of each year, at the rate of 5.250% per annum of the $25.00 liquidation preference per share (equivalent to an annual amount of $1.3125 per share). Dividends on the series J preferred stock will accrue whether or not DLR has earnings, whether or not there are funds legally available for the payment of such dividends and whether or not such dividends are authorized or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226695</wp:posOffset>
            </wp:positionV>
            <wp:extent cx="5485130" cy="177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20">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15" w:name="page216"/>
    <w:bookmarkEnd w:id="215"/>
    <w:p>
      <w:pPr>
        <w:ind w:left="180" w:right="319" w:firstLine="310"/>
        <w:spacing w:after="0" w:line="236" w:lineRule="auto"/>
        <w:rPr>
          <w:sz w:val="20"/>
          <w:szCs w:val="20"/>
          <w:color w:val="auto"/>
        </w:rPr>
      </w:pPr>
      <w:r>
        <w:rPr>
          <w:rFonts w:ascii="Times New Roman" w:cs="Times New Roman" w:eastAsia="Times New Roman" w:hAnsi="Times New Roman"/>
          <w:sz w:val="13"/>
          <w:szCs w:val="13"/>
          <w:i w:val="1"/>
          <w:iCs w:val="1"/>
          <w:color w:val="auto"/>
        </w:rPr>
        <w:t xml:space="preserve">Liquidation Preference. </w:t>
      </w:r>
      <w:r>
        <w:rPr>
          <w:rFonts w:ascii="Times New Roman" w:cs="Times New Roman" w:eastAsia="Times New Roman" w:hAnsi="Times New Roman"/>
          <w:sz w:val="13"/>
          <w:szCs w:val="13"/>
          <w:color w:val="auto"/>
        </w:rPr>
        <w:t>In the event of a liquidation, dissolution or winding up, holders of the series J preferred stock will have the right to receive $25.00 per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 plus accrued and unpaid dividends (whether or not earned or declared) up to but excluding the date of payment, before any payment is made to holders of the common stock and any other class or series of stock ranking junior to the series J preferred stock as to liquidation rights. The rights of holders of series J preferred stock to receive their liquidation preference will be subject to the proportionate rights of any other class or series of stock ranking on parity with the series J preferred stock as to liquidation.</w:t>
      </w:r>
    </w:p>
    <w:p>
      <w:pPr>
        <w:spacing w:after="0" w:line="129" w:lineRule="exact"/>
        <w:rPr>
          <w:sz w:val="20"/>
          <w:szCs w:val="20"/>
          <w:color w:val="auto"/>
        </w:rPr>
      </w:pPr>
    </w:p>
    <w:p>
      <w:pPr>
        <w:ind w:left="180" w:right="219" w:firstLine="310"/>
        <w:spacing w:after="0" w:line="234" w:lineRule="auto"/>
        <w:rPr>
          <w:sz w:val="20"/>
          <w:szCs w:val="20"/>
          <w:color w:val="auto"/>
        </w:rPr>
      </w:pPr>
      <w:r>
        <w:rPr>
          <w:rFonts w:ascii="Times New Roman" w:cs="Times New Roman" w:eastAsia="Times New Roman" w:hAnsi="Times New Roman"/>
          <w:sz w:val="13"/>
          <w:szCs w:val="13"/>
          <w:i w:val="1"/>
          <w:iCs w:val="1"/>
          <w:color w:val="auto"/>
        </w:rPr>
        <w:t xml:space="preserve">Optional Redemption. </w:t>
      </w:r>
      <w:r>
        <w:rPr>
          <w:rFonts w:ascii="Times New Roman" w:cs="Times New Roman" w:eastAsia="Times New Roman" w:hAnsi="Times New Roman"/>
          <w:sz w:val="13"/>
          <w:szCs w:val="13"/>
          <w:color w:val="auto"/>
        </w:rPr>
        <w:t>The series J preferred stock may not be redeemed prior to August 7, 2022, except in limited circumstances to preserve DLR’s status as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REIT and pursuant to the special optional redemption right described below. On and after August 7, 2022, the series J preferred stock will be redeemable at DLR’s option, in whole or in part at any time or from time to time, for cash at a redemption price of $25.00 per share, plus accrued and unpaid dividends (whether or not authorized or declared) up to but excluding the redemption date. However, unless full cumulative dividends on the series J preferred stock for all past dividend periods have been, or contemporaneously are, paid or an amount in cash sufficient for the payment thereof is set apart, no shares of series J preferred stock may be redeemed unless all outstanding shares of series J preferred stock are simultaneously redeemed; provided, that the foregoing restriction does not prevent DLR from taking action necessary to preserve its status as a REIT. Any partial redemption will be on a pro rata basis.</w:t>
      </w:r>
    </w:p>
    <w:p>
      <w:pPr>
        <w:spacing w:after="0" w:line="128" w:lineRule="exact"/>
        <w:rPr>
          <w:sz w:val="20"/>
          <w:szCs w:val="20"/>
          <w:color w:val="auto"/>
        </w:rPr>
      </w:pPr>
    </w:p>
    <w:p>
      <w:pPr>
        <w:ind w:left="180" w:right="359" w:firstLine="310"/>
        <w:spacing w:after="0" w:line="236" w:lineRule="auto"/>
        <w:rPr>
          <w:sz w:val="20"/>
          <w:szCs w:val="20"/>
          <w:color w:val="auto"/>
        </w:rPr>
      </w:pPr>
      <w:r>
        <w:rPr>
          <w:rFonts w:ascii="Times New Roman" w:cs="Times New Roman" w:eastAsia="Times New Roman" w:hAnsi="Times New Roman"/>
          <w:sz w:val="13"/>
          <w:szCs w:val="13"/>
          <w:i w:val="1"/>
          <w:iCs w:val="1"/>
          <w:color w:val="auto"/>
        </w:rPr>
        <w:t xml:space="preserve">Special Optional Redemption. </w:t>
      </w:r>
      <w:r>
        <w:rPr>
          <w:rFonts w:ascii="Times New Roman" w:cs="Times New Roman" w:eastAsia="Times New Roman" w:hAnsi="Times New Roman"/>
          <w:sz w:val="13"/>
          <w:szCs w:val="13"/>
          <w:color w:val="auto"/>
        </w:rPr>
        <w:t>Upon the occurrence of a Change of Control (as defined in the articles supplementary), DLR may, at its option, redeem the series J</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preferred stock, in whole or in part within 120 days after the first date on which such Change of Control occurred, by paying $25.00 per share, plus any accrued and unpaid dividends to, but not including, the date of redemption. If, prior to the Change of Control Conversion Date (as defined below), DLR exercises any of its redemption rights relating to the series J preferred stock (whether its optional redemption right or its special optional redemption right), the holders of series J preferred stock will not have the conversion right described below.</w:t>
      </w:r>
    </w:p>
    <w:p>
      <w:pPr>
        <w:spacing w:after="0" w:line="129" w:lineRule="exact"/>
        <w:rPr>
          <w:sz w:val="20"/>
          <w:szCs w:val="20"/>
          <w:color w:val="auto"/>
        </w:rPr>
      </w:pPr>
    </w:p>
    <w:p>
      <w:pPr>
        <w:ind w:left="180" w:right="439" w:firstLine="310"/>
        <w:spacing w:after="0" w:line="238" w:lineRule="auto"/>
        <w:rPr>
          <w:sz w:val="20"/>
          <w:szCs w:val="20"/>
          <w:color w:val="auto"/>
        </w:rPr>
      </w:pPr>
      <w:r>
        <w:rPr>
          <w:rFonts w:ascii="Times New Roman" w:cs="Times New Roman" w:eastAsia="Times New Roman" w:hAnsi="Times New Roman"/>
          <w:sz w:val="13"/>
          <w:szCs w:val="13"/>
          <w:i w:val="1"/>
          <w:iCs w:val="1"/>
          <w:color w:val="auto"/>
        </w:rPr>
        <w:t xml:space="preserve">No Maturity, Sinking Fund or Mandatory Redemption. </w:t>
      </w:r>
      <w:r>
        <w:rPr>
          <w:rFonts w:ascii="Times New Roman" w:cs="Times New Roman" w:eastAsia="Times New Roman" w:hAnsi="Times New Roman"/>
          <w:sz w:val="13"/>
          <w:szCs w:val="13"/>
          <w:color w:val="auto"/>
        </w:rPr>
        <w:t>The series J preferred stock has no stated maturity date and DLR is not required to redeem the series J</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preferred stock at any time. Accordingly, the series J preferred stock will remain outstanding indefinitely, unless DLR decides, at its option, to exercise its redemption right or, under circumstances where the holders of the series J preferred stock have a conversion right, such holders decide to convert the series J preferred stock into common stock. The series J preferred stock is not subject to any sinking fund.</w:t>
      </w:r>
    </w:p>
    <w:p>
      <w:pPr>
        <w:spacing w:after="0" w:line="128" w:lineRule="exact"/>
        <w:rPr>
          <w:sz w:val="20"/>
          <w:szCs w:val="20"/>
          <w:color w:val="auto"/>
        </w:rPr>
      </w:pPr>
    </w:p>
    <w:p>
      <w:pPr>
        <w:ind w:left="180" w:right="259" w:firstLine="310"/>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Voting Rights. </w:t>
      </w:r>
      <w:r>
        <w:rPr>
          <w:rFonts w:ascii="Times New Roman" w:cs="Times New Roman" w:eastAsia="Times New Roman" w:hAnsi="Times New Roman"/>
          <w:sz w:val="12"/>
          <w:szCs w:val="12"/>
          <w:color w:val="auto"/>
        </w:rPr>
        <w:t>Holders of series J preferred stock generally have no voting rights. However, if DLR is in arrears on dividends on the series J preferred stock for six</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more quarterly periods, whether or not consecutive, holders of the series J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next annual meeting of stockholders and each subsequent annual meeting of stockholders for the election of two additional directors to serve on the DLR board until all unpaid dividends with respect to the series J preferred stock and any other class or series of parity preferred stock have been paid or declared and a sum sufficient for the payment thereof set aside for payment. In addition, DLR may not make certain material and adverse changes to the terms of the series J preferred stock without the affirmative vote of the holders of at least two-thirds of the outstanding shares of series J preferred stock and all other shares of any class or series ranking on parity with the series J preferred stock that are entitled to similar voting rights (voting together as a single class).</w:t>
      </w:r>
    </w:p>
    <w:p>
      <w:pPr>
        <w:spacing w:after="0" w:line="123" w:lineRule="exact"/>
        <w:rPr>
          <w:sz w:val="20"/>
          <w:szCs w:val="20"/>
          <w:color w:val="auto"/>
        </w:rPr>
      </w:pPr>
    </w:p>
    <w:p>
      <w:pPr>
        <w:ind w:left="180" w:right="199" w:firstLine="310"/>
        <w:spacing w:after="0" w:line="238" w:lineRule="auto"/>
        <w:rPr>
          <w:sz w:val="20"/>
          <w:szCs w:val="20"/>
          <w:color w:val="auto"/>
        </w:rPr>
      </w:pPr>
      <w:r>
        <w:rPr>
          <w:rFonts w:ascii="Times New Roman" w:cs="Times New Roman" w:eastAsia="Times New Roman" w:hAnsi="Times New Roman"/>
          <w:sz w:val="13"/>
          <w:szCs w:val="13"/>
          <w:i w:val="1"/>
          <w:iCs w:val="1"/>
          <w:color w:val="auto"/>
        </w:rPr>
        <w:t xml:space="preserve">Conversion. </w:t>
      </w:r>
      <w:r>
        <w:rPr>
          <w:rFonts w:ascii="Times New Roman" w:cs="Times New Roman" w:eastAsia="Times New Roman" w:hAnsi="Times New Roman"/>
          <w:sz w:val="13"/>
          <w:szCs w:val="13"/>
          <w:color w:val="auto"/>
        </w:rPr>
        <w:t>Upon the occurrence of a Change of Control, each holder of series J preferred stock will have the right (unless, prior to the Change of Control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Conversion Date, DLR has provided or provides notice of its election to redeem the series J preferred stock) to convert some or all of the series J preferred stock held by such holder on the date the series J preferred stock is to be converted, which DLR refers to as the Change of Control Conversion Date, into a number of shares of common stock per share of series J preferred stock to be converted equal to the lesser of:</w:t>
      </w:r>
    </w:p>
    <w:p>
      <w:pPr>
        <w:spacing w:after="0" w:line="64" w:lineRule="exact"/>
        <w:rPr>
          <w:sz w:val="20"/>
          <w:szCs w:val="20"/>
          <w:color w:val="auto"/>
        </w:rPr>
      </w:pPr>
    </w:p>
    <w:p>
      <w:pPr>
        <w:ind w:left="960" w:right="559" w:hanging="349"/>
        <w:spacing w:after="0"/>
        <w:tabs>
          <w:tab w:leader="none" w:pos="96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quotient obtained by dividing (i) the sum of the $25.00 liquidation preference plus the amount of any accrued and unpaid dividends to, but not including, the Change of Control Conversion Date (unless the Change of Control Conversion Date is after a record date for a series J preferred stock dividend payment and prior to the corresponding series J preferred stock dividend payment date, in which case no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235585</wp:posOffset>
            </wp:positionV>
            <wp:extent cx="5485130" cy="177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21">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6" w:name="page217"/>
    <w:bookmarkEnd w:id="216"/>
    <w:p>
      <w:pPr>
        <w:ind w:left="960"/>
        <w:spacing w:after="0"/>
        <w:rPr>
          <w:sz w:val="20"/>
          <w:szCs w:val="20"/>
          <w:color w:val="auto"/>
        </w:rPr>
      </w:pPr>
      <w:r>
        <w:rPr>
          <w:rFonts w:ascii="Times New Roman" w:cs="Times New Roman" w:eastAsia="Times New Roman" w:hAnsi="Times New Roman"/>
          <w:sz w:val="13"/>
          <w:szCs w:val="13"/>
          <w:color w:val="auto"/>
        </w:rPr>
        <w:t>amount for such accrued and unpaid dividends will be included in this sum) by (ii) the Common Stock Price (as defined below); and</w:t>
      </w:r>
    </w:p>
    <w:p>
      <w:pPr>
        <w:spacing w:after="0" w:line="78" w:lineRule="exact"/>
        <w:rPr>
          <w:sz w:val="20"/>
          <w:szCs w:val="20"/>
          <w:color w:val="auto"/>
        </w:rPr>
      </w:pPr>
    </w:p>
    <w:p>
      <w:pPr>
        <w:ind w:left="960" w:hanging="349"/>
        <w:spacing w:after="0"/>
        <w:tabs>
          <w:tab w:leader="none" w:pos="96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0.42521 (i.e., the Share Cap), subject to certain adjustments;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subject, in each case, to provisions for the receipt of alternative consideration as described in the articles supplementary relating to the Series J preferred stock.</w:t>
      </w:r>
    </w:p>
    <w:p>
      <w:pPr>
        <w:spacing w:after="0" w:line="145" w:lineRule="exact"/>
        <w:rPr>
          <w:sz w:val="20"/>
          <w:szCs w:val="20"/>
          <w:color w:val="auto"/>
        </w:rPr>
      </w:pPr>
    </w:p>
    <w:p>
      <w:pPr>
        <w:ind w:left="180" w:right="399" w:firstLine="310"/>
        <w:spacing w:after="0" w:line="259" w:lineRule="auto"/>
        <w:rPr>
          <w:sz w:val="20"/>
          <w:szCs w:val="20"/>
          <w:color w:val="auto"/>
        </w:rPr>
      </w:pPr>
      <w:r>
        <w:rPr>
          <w:rFonts w:ascii="Times New Roman" w:cs="Times New Roman" w:eastAsia="Times New Roman" w:hAnsi="Times New Roman"/>
          <w:sz w:val="12"/>
          <w:szCs w:val="12"/>
          <w:color w:val="auto"/>
        </w:rPr>
        <w:t>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w:t>
      </w:r>
    </w:p>
    <w:p>
      <w:pPr>
        <w:spacing w:after="0" w:line="1" w:lineRule="exact"/>
        <w:rPr>
          <w:sz w:val="20"/>
          <w:szCs w:val="20"/>
          <w:color w:val="auto"/>
        </w:rPr>
      </w:pPr>
    </w:p>
    <w:p>
      <w:pPr>
        <w:ind w:left="180" w:right="199" w:firstLine="4"/>
        <w:spacing w:after="0" w:line="230" w:lineRule="auto"/>
        <w:tabs>
          <w:tab w:leader="none" w:pos="359"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DLR’s common stock in 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33" w:lineRule="exact"/>
        <w:rPr>
          <w:sz w:val="20"/>
          <w:szCs w:val="20"/>
          <w:color w:val="auto"/>
        </w:rPr>
      </w:pPr>
    </w:p>
    <w:p>
      <w:pPr>
        <w:ind w:left="180" w:right="259" w:firstLine="310"/>
        <w:spacing w:after="0" w:line="237" w:lineRule="auto"/>
        <w:rPr>
          <w:sz w:val="20"/>
          <w:szCs w:val="20"/>
          <w:color w:val="auto"/>
        </w:rPr>
      </w:pPr>
      <w:r>
        <w:rPr>
          <w:rFonts w:ascii="Times New Roman" w:cs="Times New Roman" w:eastAsia="Times New Roman" w:hAnsi="Times New Roman"/>
          <w:sz w:val="13"/>
          <w:szCs w:val="13"/>
          <w:color w:val="auto"/>
        </w:rPr>
        <w:t>If, prior to the Change of Control Conversion Date, DLR has provided or provides a redemption notice, whether pursuant to its special optional redemption right in connection with a Change of Control or its optional redemption right, holders of series J preferred stock will not have any right to convert the series J preferred stock into shares of DLR’s common stock in connection with the Change of Control and any shares of series J preferred stock selected for redemption that have been tendered for conversion will be redeemed on the related date of redemption instead of converted on the Change of Control Conversion Date.</w:t>
      </w:r>
    </w:p>
    <w:p>
      <w:pPr>
        <w:spacing w:after="0" w:line="131" w:lineRule="exact"/>
        <w:rPr>
          <w:sz w:val="20"/>
          <w:szCs w:val="20"/>
          <w:color w:val="auto"/>
        </w:rPr>
      </w:pPr>
    </w:p>
    <w:p>
      <w:pPr>
        <w:ind w:left="180" w:right="439" w:firstLine="310"/>
        <w:spacing w:after="0" w:line="253" w:lineRule="auto"/>
        <w:rPr>
          <w:sz w:val="20"/>
          <w:szCs w:val="20"/>
          <w:color w:val="auto"/>
        </w:rPr>
      </w:pPr>
      <w:r>
        <w:rPr>
          <w:rFonts w:ascii="Times New Roman" w:cs="Times New Roman" w:eastAsia="Times New Roman" w:hAnsi="Times New Roman"/>
          <w:sz w:val="13"/>
          <w:szCs w:val="13"/>
          <w:color w:val="auto"/>
        </w:rPr>
        <w:t>Except as provided above in connection with a Change of Control, the series J preferred stock is not convertible into or exchangeable for any other securities or property.</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i w:val="1"/>
          <w:iCs w:val="1"/>
          <w:color w:val="auto"/>
        </w:rPr>
        <w:t xml:space="preserve">Transfer Agent and Registrar. </w:t>
      </w:r>
      <w:r>
        <w:rPr>
          <w:rFonts w:ascii="Times New Roman" w:cs="Times New Roman" w:eastAsia="Times New Roman" w:hAnsi="Times New Roman"/>
          <w:sz w:val="13"/>
          <w:szCs w:val="13"/>
          <w:color w:val="auto"/>
        </w:rPr>
        <w:t>The transfer agent and registrar for the series J preferred stock is American Stock Transfer &amp; Trust Company, LLC.</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5.850% Series K Cumulative Redeemable Preferred Stock</w:t>
      </w:r>
    </w:p>
    <w:p>
      <w:pPr>
        <w:spacing w:after="0" w:line="69" w:lineRule="exact"/>
        <w:rPr>
          <w:sz w:val="20"/>
          <w:szCs w:val="20"/>
          <w:color w:val="auto"/>
        </w:rPr>
      </w:pPr>
    </w:p>
    <w:p>
      <w:pPr>
        <w:ind w:left="180" w:right="339" w:firstLine="310"/>
        <w:spacing w:after="0" w:line="242" w:lineRule="auto"/>
        <w:rPr>
          <w:sz w:val="20"/>
          <w:szCs w:val="20"/>
          <w:color w:val="auto"/>
        </w:rPr>
      </w:pPr>
      <w:r>
        <w:rPr>
          <w:rFonts w:ascii="Times New Roman" w:cs="Times New Roman" w:eastAsia="Times New Roman" w:hAnsi="Times New Roman"/>
          <w:sz w:val="13"/>
          <w:szCs w:val="13"/>
          <w:i w:val="1"/>
          <w:iCs w:val="1"/>
          <w:color w:val="auto"/>
        </w:rPr>
        <w:t xml:space="preserve">General. </w:t>
      </w:r>
      <w:r>
        <w:rPr>
          <w:rFonts w:ascii="Times New Roman" w:cs="Times New Roman" w:eastAsia="Times New Roman" w:hAnsi="Times New Roman"/>
          <w:sz w:val="13"/>
          <w:szCs w:val="13"/>
          <w:color w:val="auto"/>
        </w:rPr>
        <w:t>The DLR board and a duly authorized committee thereof approved articles supplementary creating the series K preferred stock as a series of DLR’s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preferred stock, designated as the 5.850% Series K Cumulative Redeemable Preferred Stock. The following description of the series K preferred stock is qualified in its entirety by reference to such articles supplementary and DLR’s charter. The series K preferred stock is validly issued, fully paid and nonassessable.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series K preferred stock is currently listed on the NYSE as “DLR Pr K”.</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i w:val="1"/>
          <w:iCs w:val="1"/>
          <w:color w:val="auto"/>
        </w:rPr>
        <w:t xml:space="preserve">Ranking. </w:t>
      </w:r>
      <w:r>
        <w:rPr>
          <w:rFonts w:ascii="Times New Roman" w:cs="Times New Roman" w:eastAsia="Times New Roman" w:hAnsi="Times New Roman"/>
          <w:sz w:val="13"/>
          <w:szCs w:val="13"/>
          <w:color w:val="auto"/>
        </w:rPr>
        <w:t>The series K preferred stock ranks, with respect to dividend rights and rights upon DLR’s liquidation, dissolution or winding-up:</w:t>
      </w:r>
    </w:p>
    <w:p>
      <w:pPr>
        <w:spacing w:after="0" w:line="80" w:lineRule="exact"/>
        <w:rPr>
          <w:sz w:val="20"/>
          <w:szCs w:val="20"/>
          <w:color w:val="auto"/>
        </w:rPr>
      </w:pPr>
    </w:p>
    <w:p>
      <w:pPr>
        <w:ind w:left="960" w:right="279" w:hanging="349"/>
        <w:spacing w:after="0" w:line="253" w:lineRule="auto"/>
        <w:tabs>
          <w:tab w:leader="none" w:pos="96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senior to all classes or series of the common stock and to any other class or series of stock expressly designated as ranking junior to the series K preferred stock;</w:t>
      </w:r>
    </w:p>
    <w:p>
      <w:pPr>
        <w:spacing w:after="0" w:line="55" w:lineRule="exact"/>
        <w:rPr>
          <w:rFonts w:ascii="Times New Roman" w:cs="Times New Roman" w:eastAsia="Times New Roman" w:hAnsi="Times New Roman"/>
          <w:sz w:val="13"/>
          <w:szCs w:val="13"/>
          <w:color w:val="auto"/>
        </w:rPr>
      </w:pPr>
    </w:p>
    <w:p>
      <w:pPr>
        <w:ind w:left="960" w:right="519" w:hanging="349"/>
        <w:spacing w:after="0" w:line="253" w:lineRule="auto"/>
        <w:tabs>
          <w:tab w:leader="none" w:pos="96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parity with any class or series of stock expressly designated as ranking on parity with the series K preferred stock, including the series C preferred stock, series J preferred stock and series L preferred stock; and</w:t>
      </w:r>
    </w:p>
    <w:p>
      <w:pPr>
        <w:spacing w:after="0" w:line="55" w:lineRule="exact"/>
        <w:rPr>
          <w:rFonts w:ascii="Times New Roman" w:cs="Times New Roman" w:eastAsia="Times New Roman" w:hAnsi="Times New Roman"/>
          <w:sz w:val="13"/>
          <w:szCs w:val="13"/>
          <w:color w:val="auto"/>
        </w:rPr>
      </w:pPr>
    </w:p>
    <w:p>
      <w:pPr>
        <w:ind w:left="960" w:hanging="349"/>
        <w:spacing w:after="0"/>
        <w:tabs>
          <w:tab w:leader="none" w:pos="96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junior to any other class or series of stock expressly designated as ranking senior to the series K preferred stock.</w:t>
      </w:r>
    </w:p>
    <w:p>
      <w:pPr>
        <w:spacing w:after="0" w:line="143" w:lineRule="exact"/>
        <w:rPr>
          <w:sz w:val="20"/>
          <w:szCs w:val="20"/>
          <w:color w:val="auto"/>
        </w:rPr>
      </w:pPr>
    </w:p>
    <w:p>
      <w:pPr>
        <w:ind w:left="180" w:right="299" w:firstLine="310"/>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Dividend Rate and Payment Date. </w:t>
      </w:r>
      <w:r>
        <w:rPr>
          <w:rFonts w:ascii="Times New Roman" w:cs="Times New Roman" w:eastAsia="Times New Roman" w:hAnsi="Times New Roman"/>
          <w:sz w:val="13"/>
          <w:szCs w:val="13"/>
          <w:color w:val="auto"/>
        </w:rPr>
        <w:t>Holders are entitled to receive cumulative cash dividends on the series K preferred stock from and including the date of original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issue, payable quarterly in arrears on or about the 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228600</wp:posOffset>
            </wp:positionV>
            <wp:extent cx="5485130" cy="177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2">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17" w:name="page218"/>
    <w:bookmarkEnd w:id="217"/>
    <w:p>
      <w:pPr>
        <w:ind w:left="180" w:right="479"/>
        <w:spacing w:after="0"/>
        <w:rPr>
          <w:sz w:val="20"/>
          <w:szCs w:val="20"/>
          <w:color w:val="auto"/>
        </w:rPr>
      </w:pPr>
      <w:r>
        <w:rPr>
          <w:rFonts w:ascii="Times New Roman" w:cs="Times New Roman" w:eastAsia="Times New Roman" w:hAnsi="Times New Roman"/>
          <w:sz w:val="13"/>
          <w:szCs w:val="13"/>
          <w:color w:val="auto"/>
        </w:rPr>
        <w:t>calendar day of March, June, September and December of each year, at the rate of 5.850% per annum of the $25.00 liquidation preference per share (equivalent to an annual amount of $1.4625 per share). Dividends on the series K preferred stock will accrue whether or not DLR has earnings, whether or not there are funds legally available for the payment of such dividends and whether or not such dividends are authorized or declared.</w:t>
      </w:r>
    </w:p>
    <w:p>
      <w:pPr>
        <w:spacing w:after="0" w:line="91" w:lineRule="exact"/>
        <w:rPr>
          <w:sz w:val="20"/>
          <w:szCs w:val="20"/>
          <w:color w:val="auto"/>
        </w:rPr>
      </w:pPr>
    </w:p>
    <w:p>
      <w:pPr>
        <w:ind w:left="180" w:right="239" w:firstLine="310"/>
        <w:spacing w:after="0" w:line="236" w:lineRule="auto"/>
        <w:rPr>
          <w:sz w:val="20"/>
          <w:szCs w:val="20"/>
          <w:color w:val="auto"/>
        </w:rPr>
      </w:pPr>
      <w:r>
        <w:rPr>
          <w:rFonts w:ascii="Times New Roman" w:cs="Times New Roman" w:eastAsia="Times New Roman" w:hAnsi="Times New Roman"/>
          <w:sz w:val="13"/>
          <w:szCs w:val="13"/>
          <w:i w:val="1"/>
          <w:iCs w:val="1"/>
          <w:color w:val="auto"/>
        </w:rPr>
        <w:t xml:space="preserve">Liquidation Preference. </w:t>
      </w:r>
      <w:r>
        <w:rPr>
          <w:rFonts w:ascii="Times New Roman" w:cs="Times New Roman" w:eastAsia="Times New Roman" w:hAnsi="Times New Roman"/>
          <w:sz w:val="13"/>
          <w:szCs w:val="13"/>
          <w:color w:val="auto"/>
        </w:rPr>
        <w:t>In the event of a liquidation, dissolution or winding up, holders of the series K preferred stock will have the right to receive $25.00 per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 plus accrued and unpaid dividends (whether or not earned or declared) up to but excluding the date of payment, before any payment is made to holders of the common stock and any other class or series of stock ranking junior to the series K preferred stock as to liquidation rights. The rights of holders of series K preferred stock to receive their liquidation preference will be subject to the proportionate rights of any other class or series of stock ranking on parity with the series K preferred stock as to liquidation.</w:t>
      </w:r>
    </w:p>
    <w:p>
      <w:pPr>
        <w:spacing w:after="0" w:line="129" w:lineRule="exact"/>
        <w:rPr>
          <w:sz w:val="20"/>
          <w:szCs w:val="20"/>
          <w:color w:val="auto"/>
        </w:rPr>
      </w:pPr>
    </w:p>
    <w:p>
      <w:pPr>
        <w:ind w:left="180" w:right="359" w:firstLine="310"/>
        <w:spacing w:after="0" w:line="234" w:lineRule="auto"/>
        <w:rPr>
          <w:sz w:val="20"/>
          <w:szCs w:val="20"/>
          <w:color w:val="auto"/>
        </w:rPr>
      </w:pPr>
      <w:r>
        <w:rPr>
          <w:rFonts w:ascii="Times New Roman" w:cs="Times New Roman" w:eastAsia="Times New Roman" w:hAnsi="Times New Roman"/>
          <w:sz w:val="13"/>
          <w:szCs w:val="13"/>
          <w:i w:val="1"/>
          <w:iCs w:val="1"/>
          <w:color w:val="auto"/>
        </w:rPr>
        <w:t xml:space="preserve">Optional Redemption. </w:t>
      </w:r>
      <w:r>
        <w:rPr>
          <w:rFonts w:ascii="Times New Roman" w:cs="Times New Roman" w:eastAsia="Times New Roman" w:hAnsi="Times New Roman"/>
          <w:sz w:val="13"/>
          <w:szCs w:val="13"/>
          <w:color w:val="auto"/>
        </w:rPr>
        <w:t>The series K preferred stock may not be redeemed prior to March 13, 2024, except in limited circumstances to preserve DLR’s status as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REIT and pursuant to the special optional redemption right described below. On and after March 13, 2024, the series K preferred stock will be redeemable at DLR’s option, in whole or in part at any time or from time to time, for cash at a redemption price of $25.00 per share, plus accrued and unpaid dividends (whether or not authorized or declared) up to but excluding the redemption date. However, unless full cumulative dividends on the series K preferred stock for all past dividend periods have been, or contemporaneously are, paid or an amount in cash sufficient for the payment thereof is set apart, no shares of series K preferred stock may be redeemed unless all outstanding shares of series K preferred stock are simultaneously redeemed; provided, that the foregoing restriction does not prevent DLR from taking action necessary to preserve its status as a REIT. Any partial redemption will be on a pro rata basis.</w:t>
      </w:r>
    </w:p>
    <w:p>
      <w:pPr>
        <w:spacing w:after="0" w:line="128" w:lineRule="exact"/>
        <w:rPr>
          <w:sz w:val="20"/>
          <w:szCs w:val="20"/>
          <w:color w:val="auto"/>
        </w:rPr>
      </w:pPr>
    </w:p>
    <w:p>
      <w:pPr>
        <w:ind w:left="180" w:right="279" w:firstLine="310"/>
        <w:spacing w:after="0" w:line="236" w:lineRule="auto"/>
        <w:rPr>
          <w:sz w:val="20"/>
          <w:szCs w:val="20"/>
          <w:color w:val="auto"/>
        </w:rPr>
      </w:pPr>
      <w:r>
        <w:rPr>
          <w:rFonts w:ascii="Times New Roman" w:cs="Times New Roman" w:eastAsia="Times New Roman" w:hAnsi="Times New Roman"/>
          <w:sz w:val="13"/>
          <w:szCs w:val="13"/>
          <w:i w:val="1"/>
          <w:iCs w:val="1"/>
          <w:color w:val="auto"/>
        </w:rPr>
        <w:t xml:space="preserve">Special Optional Redemption. </w:t>
      </w:r>
      <w:r>
        <w:rPr>
          <w:rFonts w:ascii="Times New Roman" w:cs="Times New Roman" w:eastAsia="Times New Roman" w:hAnsi="Times New Roman"/>
          <w:sz w:val="13"/>
          <w:szCs w:val="13"/>
          <w:color w:val="auto"/>
        </w:rPr>
        <w:t>Upon the occurrence of a Change of Control (as defined in the articles supplementary), DLR may, at its option, redeem the series 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preferred stock, in whole or in part within 120 days after the first date on which such Change of Control occurred, by paying $25.00 per share, plus any accrued and unpaid dividends to, but not including, the date of redemption. If, prior to the Change of Control Conversion Date (as defined below), DLR exercises any of its redemption rights relating to the series K preferred stock (whether its optional redemption right or its special optional redemption right), the holders of series K preferred stock will not have the conversion right described below.</w:t>
      </w:r>
    </w:p>
    <w:p>
      <w:pPr>
        <w:spacing w:after="0" w:line="129" w:lineRule="exact"/>
        <w:rPr>
          <w:sz w:val="20"/>
          <w:szCs w:val="20"/>
          <w:color w:val="auto"/>
        </w:rPr>
      </w:pPr>
    </w:p>
    <w:p>
      <w:pPr>
        <w:ind w:left="180" w:right="399" w:firstLine="310"/>
        <w:spacing w:after="0" w:line="238" w:lineRule="auto"/>
        <w:rPr>
          <w:sz w:val="20"/>
          <w:szCs w:val="20"/>
          <w:color w:val="auto"/>
        </w:rPr>
      </w:pPr>
      <w:r>
        <w:rPr>
          <w:rFonts w:ascii="Times New Roman" w:cs="Times New Roman" w:eastAsia="Times New Roman" w:hAnsi="Times New Roman"/>
          <w:sz w:val="13"/>
          <w:szCs w:val="13"/>
          <w:i w:val="1"/>
          <w:iCs w:val="1"/>
          <w:color w:val="auto"/>
        </w:rPr>
        <w:t xml:space="preserve">No Maturity, Sinking Fund or Mandatory Redemption. </w:t>
      </w:r>
      <w:r>
        <w:rPr>
          <w:rFonts w:ascii="Times New Roman" w:cs="Times New Roman" w:eastAsia="Times New Roman" w:hAnsi="Times New Roman"/>
          <w:sz w:val="13"/>
          <w:szCs w:val="13"/>
          <w:color w:val="auto"/>
        </w:rPr>
        <w:t>The series K preferred stock has no stated maturity date and DLR is not required to redeem the series 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preferred stock at any time. Accordingly, the series K preferred stock will remain outstanding indefinitely, unless DLR decides, at its option, to exercise its redemption right or, under circumstances where the holders of the series K preferred stock have a conversion right, such holders decide to convert the series K preferred stock into common stock. The series K preferred stock is not subject to any sinking fund.</w:t>
      </w:r>
    </w:p>
    <w:p>
      <w:pPr>
        <w:spacing w:after="0" w:line="128" w:lineRule="exact"/>
        <w:rPr>
          <w:sz w:val="20"/>
          <w:szCs w:val="20"/>
          <w:color w:val="auto"/>
        </w:rPr>
      </w:pPr>
    </w:p>
    <w:p>
      <w:pPr>
        <w:ind w:left="180" w:right="219" w:firstLine="310"/>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Voting Rights. </w:t>
      </w:r>
      <w:r>
        <w:rPr>
          <w:rFonts w:ascii="Times New Roman" w:cs="Times New Roman" w:eastAsia="Times New Roman" w:hAnsi="Times New Roman"/>
          <w:sz w:val="12"/>
          <w:szCs w:val="12"/>
          <w:color w:val="auto"/>
        </w:rPr>
        <w:t>Holders of series K preferred stock generally have no voting rights. However, if DLR is in arrears on dividends on the series K preferred stock for six</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more quarterly periods, whether or not consecutive, holders of the series K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next annual meeting of stockholders and each subsequent annual meeting of stockholders for the election of two additional directors to serve on the DLR board until all unpaid dividends with respect to the series K preferred stock and any other class or series of parity preferred stock have been paid or declared and a sum sufficient for the payment thereof set aside for payment. In addition, DLR may not make certain material and adverse changes to the terms of the series K preferred stock without the affirmative vote of the holders of at least two-thirds of the outstanding shares of series K preferred stock and all other shares of any class or series ranking on parity with the series K preferred stock that are entitled to similar voting rights (voting together as a single class).</w:t>
      </w:r>
    </w:p>
    <w:p>
      <w:pPr>
        <w:spacing w:after="0" w:line="123" w:lineRule="exact"/>
        <w:rPr>
          <w:sz w:val="20"/>
          <w:szCs w:val="20"/>
          <w:color w:val="auto"/>
        </w:rPr>
      </w:pPr>
    </w:p>
    <w:p>
      <w:pPr>
        <w:ind w:left="180" w:right="219" w:firstLine="310"/>
        <w:spacing w:after="0" w:line="242" w:lineRule="auto"/>
        <w:rPr>
          <w:sz w:val="20"/>
          <w:szCs w:val="20"/>
          <w:color w:val="auto"/>
        </w:rPr>
      </w:pPr>
      <w:r>
        <w:rPr>
          <w:rFonts w:ascii="Times New Roman" w:cs="Times New Roman" w:eastAsia="Times New Roman" w:hAnsi="Times New Roman"/>
          <w:sz w:val="13"/>
          <w:szCs w:val="13"/>
          <w:i w:val="1"/>
          <w:iCs w:val="1"/>
          <w:color w:val="auto"/>
        </w:rPr>
        <w:t xml:space="preserve">Conversion. </w:t>
      </w:r>
      <w:r>
        <w:rPr>
          <w:rFonts w:ascii="Times New Roman" w:cs="Times New Roman" w:eastAsia="Times New Roman" w:hAnsi="Times New Roman"/>
          <w:sz w:val="13"/>
          <w:szCs w:val="13"/>
          <w:color w:val="auto"/>
        </w:rPr>
        <w:t>Upon the occurrence of a Change of Control, each holder of series K preferred stock will have the right (unless, prior to the Change of Control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Conversion Date, DLR has provided or provides notice of its election to redeem the series K preferred stock) to convert some or all of the series K preferred stock held by such holder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234950</wp:posOffset>
            </wp:positionV>
            <wp:extent cx="5485130" cy="177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23">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18" w:name="page219"/>
    <w:bookmarkEnd w:id="218"/>
    <w:p>
      <w:pPr>
        <w:ind w:left="180" w:right="199"/>
        <w:spacing w:after="0" w:line="253" w:lineRule="auto"/>
        <w:rPr>
          <w:sz w:val="20"/>
          <w:szCs w:val="20"/>
          <w:color w:val="auto"/>
        </w:rPr>
      </w:pPr>
      <w:r>
        <w:rPr>
          <w:rFonts w:ascii="Times New Roman" w:cs="Times New Roman" w:eastAsia="Times New Roman" w:hAnsi="Times New Roman"/>
          <w:sz w:val="13"/>
          <w:szCs w:val="13"/>
          <w:color w:val="auto"/>
        </w:rPr>
        <w:t>date the series K preferred stock is to be converted, which DLR refers to as the Change of Control Conversion Date, into a number of shares of common stock per share of series K preferred stock to be converted equal to the lesser of:</w:t>
      </w:r>
    </w:p>
    <w:p>
      <w:pPr>
        <w:spacing w:after="0" w:line="55" w:lineRule="exact"/>
        <w:rPr>
          <w:sz w:val="20"/>
          <w:szCs w:val="20"/>
          <w:color w:val="auto"/>
        </w:rPr>
      </w:pPr>
    </w:p>
    <w:p>
      <w:pPr>
        <w:ind w:left="960" w:right="239" w:hanging="349"/>
        <w:spacing w:after="0" w:line="237" w:lineRule="auto"/>
        <w:tabs>
          <w:tab w:leader="none" w:pos="96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quotient obtained by dividing (i) the sum of the $25.00 liquidation preference plus the amount of any accrued and unpaid dividends to, but not including, the Change of Control Conversion Date (unless the Change of Control Conversion Date is after a record date for a series K preferred stock dividend payment and prior to the corresponding series K preferred stock dividend payment date, in which case no additional amount for such accrued and unpaid dividends will be included in this sum) by (ii) the Common Stock Price (as defined below); and</w:t>
      </w:r>
    </w:p>
    <w:p>
      <w:pPr>
        <w:spacing w:after="0" w:line="64" w:lineRule="exact"/>
        <w:rPr>
          <w:rFonts w:ascii="Times New Roman" w:cs="Times New Roman" w:eastAsia="Times New Roman" w:hAnsi="Times New Roman"/>
          <w:sz w:val="13"/>
          <w:szCs w:val="13"/>
          <w:color w:val="auto"/>
        </w:rPr>
      </w:pPr>
    </w:p>
    <w:p>
      <w:pPr>
        <w:ind w:left="960" w:hanging="349"/>
        <w:spacing w:after="0"/>
        <w:tabs>
          <w:tab w:leader="none" w:pos="96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0.43611 (i.e., the Share Cap), subject to certain adjustments;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subject, in each case, to provisions for the receipt of alternative consideration as described in the articles supplementary relating to the Series K preferred stock.</w:t>
      </w:r>
    </w:p>
    <w:p>
      <w:pPr>
        <w:spacing w:after="0" w:line="145" w:lineRule="exact"/>
        <w:rPr>
          <w:sz w:val="20"/>
          <w:szCs w:val="20"/>
          <w:color w:val="auto"/>
        </w:rPr>
      </w:pPr>
    </w:p>
    <w:p>
      <w:pPr>
        <w:ind w:left="180" w:right="399" w:firstLine="310"/>
        <w:spacing w:after="0" w:line="259" w:lineRule="auto"/>
        <w:rPr>
          <w:sz w:val="20"/>
          <w:szCs w:val="20"/>
          <w:color w:val="auto"/>
        </w:rPr>
      </w:pPr>
      <w:r>
        <w:rPr>
          <w:rFonts w:ascii="Times New Roman" w:cs="Times New Roman" w:eastAsia="Times New Roman" w:hAnsi="Times New Roman"/>
          <w:sz w:val="12"/>
          <w:szCs w:val="12"/>
          <w:color w:val="auto"/>
        </w:rPr>
        <w:t>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w:t>
      </w:r>
    </w:p>
    <w:p>
      <w:pPr>
        <w:spacing w:after="0" w:line="1" w:lineRule="exact"/>
        <w:rPr>
          <w:sz w:val="20"/>
          <w:szCs w:val="20"/>
          <w:color w:val="auto"/>
        </w:rPr>
      </w:pPr>
    </w:p>
    <w:p>
      <w:pPr>
        <w:ind w:left="180" w:right="199" w:firstLine="4"/>
        <w:spacing w:after="0" w:line="230" w:lineRule="auto"/>
        <w:tabs>
          <w:tab w:leader="none" w:pos="359"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DLR’s common stock in 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33" w:lineRule="exact"/>
        <w:rPr>
          <w:sz w:val="20"/>
          <w:szCs w:val="20"/>
          <w:color w:val="auto"/>
        </w:rPr>
      </w:pPr>
    </w:p>
    <w:p>
      <w:pPr>
        <w:ind w:left="180" w:right="259" w:firstLine="310"/>
        <w:spacing w:after="0" w:line="237" w:lineRule="auto"/>
        <w:rPr>
          <w:sz w:val="20"/>
          <w:szCs w:val="20"/>
          <w:color w:val="auto"/>
        </w:rPr>
      </w:pPr>
      <w:r>
        <w:rPr>
          <w:rFonts w:ascii="Times New Roman" w:cs="Times New Roman" w:eastAsia="Times New Roman" w:hAnsi="Times New Roman"/>
          <w:sz w:val="13"/>
          <w:szCs w:val="13"/>
          <w:color w:val="auto"/>
        </w:rPr>
        <w:t>If, prior to the Change of Control Conversion Date, DLR has provided or provides a redemption notice, whether pursuant to its special optional redemption right in connection with a Change of Control or its optional redemption right, holders of series K preferred stock will not have any right to convert the series K preferred stock into shares of DLR’s common stock in connection with the Change of Control and any shares of series K preferred stock selected for redemption that have been tendered for conversion will be redeemed on the related date of redemption instead of converted on the Change of Control Conversion Date.</w:t>
      </w:r>
    </w:p>
    <w:p>
      <w:pPr>
        <w:spacing w:after="0" w:line="131" w:lineRule="exact"/>
        <w:rPr>
          <w:sz w:val="20"/>
          <w:szCs w:val="20"/>
          <w:color w:val="auto"/>
        </w:rPr>
      </w:pPr>
    </w:p>
    <w:p>
      <w:pPr>
        <w:ind w:left="180" w:right="399" w:firstLine="310"/>
        <w:spacing w:after="0" w:line="253" w:lineRule="auto"/>
        <w:rPr>
          <w:sz w:val="20"/>
          <w:szCs w:val="20"/>
          <w:color w:val="auto"/>
        </w:rPr>
      </w:pPr>
      <w:r>
        <w:rPr>
          <w:rFonts w:ascii="Times New Roman" w:cs="Times New Roman" w:eastAsia="Times New Roman" w:hAnsi="Times New Roman"/>
          <w:sz w:val="13"/>
          <w:szCs w:val="13"/>
          <w:color w:val="auto"/>
        </w:rPr>
        <w:t>Except as provided above in connection with a Change of Control, the series K preferred stock is not convertible into or exchangeable for any other securities or property.</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i w:val="1"/>
          <w:iCs w:val="1"/>
          <w:color w:val="auto"/>
        </w:rPr>
        <w:t xml:space="preserve">Transfer Agent and Registrar. </w:t>
      </w:r>
      <w:r>
        <w:rPr>
          <w:rFonts w:ascii="Times New Roman" w:cs="Times New Roman" w:eastAsia="Times New Roman" w:hAnsi="Times New Roman"/>
          <w:sz w:val="13"/>
          <w:szCs w:val="13"/>
          <w:color w:val="auto"/>
        </w:rPr>
        <w:t>The transfer agent and registrar for the series K preferred stock is American Stock Transfer &amp; Trust Company, LLC.</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5.200% Series L Cumulative Redeemable Preferred Stock</w:t>
      </w:r>
    </w:p>
    <w:p>
      <w:pPr>
        <w:spacing w:after="0" w:line="69" w:lineRule="exact"/>
        <w:rPr>
          <w:sz w:val="20"/>
          <w:szCs w:val="20"/>
          <w:color w:val="auto"/>
        </w:rPr>
      </w:pPr>
    </w:p>
    <w:p>
      <w:pPr>
        <w:ind w:left="180" w:right="379" w:firstLine="310"/>
        <w:spacing w:after="0" w:line="242" w:lineRule="auto"/>
        <w:rPr>
          <w:sz w:val="20"/>
          <w:szCs w:val="20"/>
          <w:color w:val="auto"/>
        </w:rPr>
      </w:pPr>
      <w:r>
        <w:rPr>
          <w:rFonts w:ascii="Times New Roman" w:cs="Times New Roman" w:eastAsia="Times New Roman" w:hAnsi="Times New Roman"/>
          <w:sz w:val="13"/>
          <w:szCs w:val="13"/>
          <w:i w:val="1"/>
          <w:iCs w:val="1"/>
          <w:color w:val="auto"/>
        </w:rPr>
        <w:t xml:space="preserve">General. </w:t>
      </w:r>
      <w:r>
        <w:rPr>
          <w:rFonts w:ascii="Times New Roman" w:cs="Times New Roman" w:eastAsia="Times New Roman" w:hAnsi="Times New Roman"/>
          <w:sz w:val="13"/>
          <w:szCs w:val="13"/>
          <w:color w:val="auto"/>
        </w:rPr>
        <w:t>The DLR board and a duly authorized committee thereof approved articles supplementary creating the series L preferred stock as a series of DLR’s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preferred stock, designated as the 5.200% Series L Cumulative Redeemable Preferred Stock. The following description of the series L preferred stock is qualified in its entirety by reference to such articles supplementary and DLR’s charter. The series L preferred stock is validly issued, fully paid and nonassessable.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series L preferred stock is currently listed on the NYSE as “DLR Pr L”.</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i w:val="1"/>
          <w:iCs w:val="1"/>
          <w:color w:val="auto"/>
        </w:rPr>
        <w:t xml:space="preserve">Ranking. </w:t>
      </w:r>
      <w:r>
        <w:rPr>
          <w:rFonts w:ascii="Times New Roman" w:cs="Times New Roman" w:eastAsia="Times New Roman" w:hAnsi="Times New Roman"/>
          <w:sz w:val="13"/>
          <w:szCs w:val="13"/>
          <w:color w:val="auto"/>
        </w:rPr>
        <w:t>The series L preferred stock ranks, with respect to dividend rights and rights upon DLR’s liquidation, dissolution or winding-up:</w:t>
      </w:r>
    </w:p>
    <w:p>
      <w:pPr>
        <w:spacing w:after="0" w:line="80" w:lineRule="exact"/>
        <w:rPr>
          <w:sz w:val="20"/>
          <w:szCs w:val="20"/>
          <w:color w:val="auto"/>
        </w:rPr>
      </w:pPr>
    </w:p>
    <w:p>
      <w:pPr>
        <w:ind w:left="960" w:right="299" w:hanging="349"/>
        <w:spacing w:after="0" w:line="253" w:lineRule="auto"/>
        <w:tabs>
          <w:tab w:leader="none" w:pos="96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senior to all classes or series of the common stock and to any other class or series of stock expressly designated as ranking junior to the series L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229870</wp:posOffset>
            </wp:positionV>
            <wp:extent cx="5485130" cy="177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24">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19" w:name="page220"/>
    <w:bookmarkEnd w:id="219"/>
    <w:p>
      <w:pPr>
        <w:ind w:left="960" w:right="519" w:hanging="349"/>
        <w:spacing w:after="0" w:line="253" w:lineRule="auto"/>
        <w:tabs>
          <w:tab w:leader="none" w:pos="96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parity with any class or series of stock expressly designated as ranking on parity with the series L preferred stock, including the series C preferred stock, series J preferred stock and series K preferred stock; and</w:t>
      </w:r>
    </w:p>
    <w:p>
      <w:pPr>
        <w:spacing w:after="0" w:line="55" w:lineRule="exact"/>
        <w:rPr>
          <w:rFonts w:ascii="Times New Roman" w:cs="Times New Roman" w:eastAsia="Times New Roman" w:hAnsi="Times New Roman"/>
          <w:sz w:val="13"/>
          <w:szCs w:val="13"/>
          <w:color w:val="auto"/>
        </w:rPr>
      </w:pPr>
    </w:p>
    <w:p>
      <w:pPr>
        <w:ind w:left="960" w:hanging="349"/>
        <w:spacing w:after="0"/>
        <w:tabs>
          <w:tab w:leader="none" w:pos="96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junior to any other class or series of stock expressly designated as ranking senior to the series L preferred stock.</w:t>
      </w:r>
    </w:p>
    <w:p>
      <w:pPr>
        <w:spacing w:after="0" w:line="143" w:lineRule="exact"/>
        <w:rPr>
          <w:sz w:val="20"/>
          <w:szCs w:val="20"/>
          <w:color w:val="auto"/>
        </w:rPr>
      </w:pPr>
    </w:p>
    <w:p>
      <w:pPr>
        <w:ind w:left="180" w:right="219" w:firstLine="310"/>
        <w:spacing w:after="0" w:line="264" w:lineRule="auto"/>
        <w:rPr>
          <w:sz w:val="20"/>
          <w:szCs w:val="20"/>
          <w:color w:val="auto"/>
        </w:rPr>
      </w:pPr>
      <w:r>
        <w:rPr>
          <w:rFonts w:ascii="Times New Roman" w:cs="Times New Roman" w:eastAsia="Times New Roman" w:hAnsi="Times New Roman"/>
          <w:sz w:val="12"/>
          <w:szCs w:val="12"/>
          <w:i w:val="1"/>
          <w:iCs w:val="1"/>
          <w:color w:val="auto"/>
        </w:rPr>
        <w:t xml:space="preserve">Dividend Rate and Payment Date. </w:t>
      </w:r>
      <w:r>
        <w:rPr>
          <w:rFonts w:ascii="Times New Roman" w:cs="Times New Roman" w:eastAsia="Times New Roman" w:hAnsi="Times New Roman"/>
          <w:sz w:val="12"/>
          <w:szCs w:val="12"/>
          <w:color w:val="auto"/>
        </w:rPr>
        <w:t>Holders are entitled to receive cumulative cash dividends on the series L preferred stock from and including the date of original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issue, payable quarterly in arrears on or about the last calendar day of March, June, September and December of each year, at the rate of 5.200% per annum of the $25.00 liquidation preference per share (equivalent to an annual amount of $1.30 per share). Dividends on the series L preferred stock will accrue whether or not DLR has earnings, whether or not there are funds legally available for the payment of such dividends and whether or not such dividends are authorized or declared.</w:t>
      </w:r>
    </w:p>
    <w:p>
      <w:pPr>
        <w:spacing w:after="0" w:line="114" w:lineRule="exact"/>
        <w:rPr>
          <w:sz w:val="20"/>
          <w:szCs w:val="20"/>
          <w:color w:val="auto"/>
        </w:rPr>
      </w:pPr>
    </w:p>
    <w:p>
      <w:pPr>
        <w:ind w:left="180" w:right="259" w:firstLine="310"/>
        <w:spacing w:after="0" w:line="236" w:lineRule="auto"/>
        <w:rPr>
          <w:sz w:val="20"/>
          <w:szCs w:val="20"/>
          <w:color w:val="auto"/>
        </w:rPr>
      </w:pPr>
      <w:r>
        <w:rPr>
          <w:rFonts w:ascii="Times New Roman" w:cs="Times New Roman" w:eastAsia="Times New Roman" w:hAnsi="Times New Roman"/>
          <w:sz w:val="13"/>
          <w:szCs w:val="13"/>
          <w:i w:val="1"/>
          <w:iCs w:val="1"/>
          <w:color w:val="auto"/>
        </w:rPr>
        <w:t xml:space="preserve">Liquidation Preference. </w:t>
      </w:r>
      <w:r>
        <w:rPr>
          <w:rFonts w:ascii="Times New Roman" w:cs="Times New Roman" w:eastAsia="Times New Roman" w:hAnsi="Times New Roman"/>
          <w:sz w:val="13"/>
          <w:szCs w:val="13"/>
          <w:color w:val="auto"/>
        </w:rPr>
        <w:t>In the event of a liquidation, dissolution or winding up, holders of the series L preferred stock will have the right to receive $25.00 per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 plus accrued and unpaid dividends (whether or not earned or declared) up to but excluding the date of payment, before any payment is made to holders of the common stock and any other class or series of stock ranking junior to the series L preferred stock as to liquidation rights. The rights of holders of series L preferred stock to receive their liquidation preference will be subject to the proportionate rights of any other class or series of stock ranking on parity with the series L preferred stock as to liquidation.</w:t>
      </w:r>
    </w:p>
    <w:p>
      <w:pPr>
        <w:spacing w:after="0" w:line="129" w:lineRule="exact"/>
        <w:rPr>
          <w:sz w:val="20"/>
          <w:szCs w:val="20"/>
          <w:color w:val="auto"/>
        </w:rPr>
      </w:pPr>
    </w:p>
    <w:p>
      <w:pPr>
        <w:ind w:left="180" w:right="359" w:firstLine="310"/>
        <w:spacing w:after="0" w:line="234" w:lineRule="auto"/>
        <w:rPr>
          <w:sz w:val="20"/>
          <w:szCs w:val="20"/>
          <w:color w:val="auto"/>
        </w:rPr>
      </w:pPr>
      <w:r>
        <w:rPr>
          <w:rFonts w:ascii="Times New Roman" w:cs="Times New Roman" w:eastAsia="Times New Roman" w:hAnsi="Times New Roman"/>
          <w:sz w:val="13"/>
          <w:szCs w:val="13"/>
          <w:i w:val="1"/>
          <w:iCs w:val="1"/>
          <w:color w:val="auto"/>
        </w:rPr>
        <w:t xml:space="preserve">Optional Redemption. </w:t>
      </w:r>
      <w:r>
        <w:rPr>
          <w:rFonts w:ascii="Times New Roman" w:cs="Times New Roman" w:eastAsia="Times New Roman" w:hAnsi="Times New Roman"/>
          <w:sz w:val="13"/>
          <w:szCs w:val="13"/>
          <w:color w:val="auto"/>
        </w:rPr>
        <w:t>The series L preferred stock may not be redeemed prior to October 10, 2024, except in limited circumstances to preserve DLR’s status as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REIT and pursuant to the special optional redemption right described below. On and after October 10, 2024, the series L preferred stock will be redeemable at DLR’s option, in whole or in part at any time or from time to time, for cash at a redemption price of $25.00 per share, plus accrued and unpaid dividends (whether or not authorized or declared) up to but excluding the redemption date. However, unless full cumulative dividends on the series L preferred stock for all past dividend periods have been, or contemporaneously are, paid or an amount in cash sufficient for the payment thereof is set apart, no shares of series L preferred stock may be redeemed unless all outstanding shares of series L preferred stock are simultaneously redeemed; provided, that the foregoing restriction does not prevent DLR from taking action necessary to preserve its status as a REIT. Any partial redemption will be on a pro rata basis.</w:t>
      </w:r>
    </w:p>
    <w:p>
      <w:pPr>
        <w:spacing w:after="0" w:line="128" w:lineRule="exact"/>
        <w:rPr>
          <w:sz w:val="20"/>
          <w:szCs w:val="20"/>
          <w:color w:val="auto"/>
        </w:rPr>
      </w:pPr>
    </w:p>
    <w:p>
      <w:pPr>
        <w:ind w:left="180" w:right="299" w:firstLine="310"/>
        <w:spacing w:after="0" w:line="236" w:lineRule="auto"/>
        <w:rPr>
          <w:sz w:val="20"/>
          <w:szCs w:val="20"/>
          <w:color w:val="auto"/>
        </w:rPr>
      </w:pPr>
      <w:r>
        <w:rPr>
          <w:rFonts w:ascii="Times New Roman" w:cs="Times New Roman" w:eastAsia="Times New Roman" w:hAnsi="Times New Roman"/>
          <w:sz w:val="13"/>
          <w:szCs w:val="13"/>
          <w:i w:val="1"/>
          <w:iCs w:val="1"/>
          <w:color w:val="auto"/>
        </w:rPr>
        <w:t xml:space="preserve">Special Optional Redemption. </w:t>
      </w:r>
      <w:r>
        <w:rPr>
          <w:rFonts w:ascii="Times New Roman" w:cs="Times New Roman" w:eastAsia="Times New Roman" w:hAnsi="Times New Roman"/>
          <w:sz w:val="13"/>
          <w:szCs w:val="13"/>
          <w:color w:val="auto"/>
        </w:rPr>
        <w:t>Upon the occurrence of a Change of Control, (as defined in the articles supplementary) DLR may, at its option, redeem the series 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preferred stock, in whole or in part within 120 days after the first date on which such Change of Control occurred, by paying $25.00 per share, plus any accrued and unpaid dividends to, but not including, the date of redemption. If, prior to the Change of Control Conversion Date (as defined below), DLR exercises any of its redemption rights relating to the series L preferred stock (whether its optional redemption right or its special optional redemption right), the holders of series L preferred stock will not have the conversion right described below.</w:t>
      </w:r>
    </w:p>
    <w:p>
      <w:pPr>
        <w:spacing w:after="0" w:line="129" w:lineRule="exact"/>
        <w:rPr>
          <w:sz w:val="20"/>
          <w:szCs w:val="20"/>
          <w:color w:val="auto"/>
        </w:rPr>
      </w:pPr>
    </w:p>
    <w:p>
      <w:pPr>
        <w:ind w:left="180" w:right="399" w:firstLine="310"/>
        <w:spacing w:after="0" w:line="238" w:lineRule="auto"/>
        <w:rPr>
          <w:sz w:val="20"/>
          <w:szCs w:val="20"/>
          <w:color w:val="auto"/>
        </w:rPr>
      </w:pPr>
      <w:r>
        <w:rPr>
          <w:rFonts w:ascii="Times New Roman" w:cs="Times New Roman" w:eastAsia="Times New Roman" w:hAnsi="Times New Roman"/>
          <w:sz w:val="13"/>
          <w:szCs w:val="13"/>
          <w:i w:val="1"/>
          <w:iCs w:val="1"/>
          <w:color w:val="auto"/>
        </w:rPr>
        <w:t xml:space="preserve">No Maturity, Sinking Fund or Mandatory Redemption. </w:t>
      </w:r>
      <w:r>
        <w:rPr>
          <w:rFonts w:ascii="Times New Roman" w:cs="Times New Roman" w:eastAsia="Times New Roman" w:hAnsi="Times New Roman"/>
          <w:sz w:val="13"/>
          <w:szCs w:val="13"/>
          <w:color w:val="auto"/>
        </w:rPr>
        <w:t>The series L preferred stock has no stated maturity date and DLR is not required to redeem the series 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preferred stock at any time. Accordingly, the series L preferred stock will remain outstanding indefinitely, unless DLR decides, at its option, to exercise its redemption right or, under circumstances where the holders of the series L preferred stock have a conversion right, such holders decide to convert the series L preferred stock into common stock. The series L preferred stock is not subject to any sinking fund.</w:t>
      </w:r>
    </w:p>
    <w:p>
      <w:pPr>
        <w:spacing w:after="0" w:line="128" w:lineRule="exact"/>
        <w:rPr>
          <w:sz w:val="20"/>
          <w:szCs w:val="20"/>
          <w:color w:val="auto"/>
        </w:rPr>
      </w:pPr>
    </w:p>
    <w:p>
      <w:pPr>
        <w:ind w:left="180" w:right="239" w:firstLine="310"/>
        <w:spacing w:after="0" w:line="235" w:lineRule="auto"/>
        <w:rPr>
          <w:sz w:val="20"/>
          <w:szCs w:val="20"/>
          <w:color w:val="auto"/>
        </w:rPr>
      </w:pPr>
      <w:r>
        <w:rPr>
          <w:rFonts w:ascii="Times New Roman" w:cs="Times New Roman" w:eastAsia="Times New Roman" w:hAnsi="Times New Roman"/>
          <w:sz w:val="13"/>
          <w:szCs w:val="13"/>
          <w:i w:val="1"/>
          <w:iCs w:val="1"/>
          <w:color w:val="auto"/>
        </w:rPr>
        <w:t xml:space="preserve">Voting Rights. </w:t>
      </w:r>
      <w:r>
        <w:rPr>
          <w:rFonts w:ascii="Times New Roman" w:cs="Times New Roman" w:eastAsia="Times New Roman" w:hAnsi="Times New Roman"/>
          <w:sz w:val="13"/>
          <w:szCs w:val="13"/>
          <w:color w:val="auto"/>
        </w:rPr>
        <w:t>Holders of series L preferred stock generally have no voting rights. However, if DLR is in arrears on dividends on the series L preferred stock for six</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 more quarterly periods, whether or not consecutive, holders of the series L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next annual meeting of stockholders and each subsequent annual meeting of stockholders for the election of two additional directors to serve on the DLR board until all unpaid dividends with respect to the series L preferred stock and any other class or series of parity preferred stock have been paid or declared and a sum sufficient for the payment thereof set aside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235585</wp:posOffset>
            </wp:positionV>
            <wp:extent cx="5485130" cy="177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5">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20" w:name="page221"/>
    <w:bookmarkEnd w:id="220"/>
    <w:p>
      <w:pPr>
        <w:ind w:left="180" w:right="219"/>
        <w:spacing w:after="0"/>
        <w:rPr>
          <w:sz w:val="20"/>
          <w:szCs w:val="20"/>
          <w:color w:val="auto"/>
        </w:rPr>
      </w:pPr>
      <w:r>
        <w:rPr>
          <w:rFonts w:ascii="Times New Roman" w:cs="Times New Roman" w:eastAsia="Times New Roman" w:hAnsi="Times New Roman"/>
          <w:sz w:val="13"/>
          <w:szCs w:val="13"/>
          <w:color w:val="auto"/>
        </w:rPr>
        <w:t>payment. In addition, DLR may not make certain material and adverse changes to the terms of the series L preferred stock without the affirmative vote of the holders of at least two-thirds of the outstanding shares of series L preferred stock and all other shares of any class or series ranking on parity with the series L preferred stock that are entitled to similar voting rights (voting together as a single class).</w:t>
      </w:r>
    </w:p>
    <w:p>
      <w:pPr>
        <w:spacing w:after="0" w:line="129" w:lineRule="exact"/>
        <w:rPr>
          <w:sz w:val="20"/>
          <w:szCs w:val="20"/>
          <w:color w:val="auto"/>
        </w:rPr>
      </w:pPr>
    </w:p>
    <w:p>
      <w:pPr>
        <w:ind w:left="180" w:right="239" w:firstLine="310"/>
        <w:spacing w:after="0" w:line="238" w:lineRule="auto"/>
        <w:rPr>
          <w:sz w:val="20"/>
          <w:szCs w:val="20"/>
          <w:color w:val="auto"/>
        </w:rPr>
      </w:pPr>
      <w:r>
        <w:rPr>
          <w:rFonts w:ascii="Times New Roman" w:cs="Times New Roman" w:eastAsia="Times New Roman" w:hAnsi="Times New Roman"/>
          <w:sz w:val="13"/>
          <w:szCs w:val="13"/>
          <w:i w:val="1"/>
          <w:iCs w:val="1"/>
          <w:color w:val="auto"/>
        </w:rPr>
        <w:t xml:space="preserve">Conversion. </w:t>
      </w:r>
      <w:r>
        <w:rPr>
          <w:rFonts w:ascii="Times New Roman" w:cs="Times New Roman" w:eastAsia="Times New Roman" w:hAnsi="Times New Roman"/>
          <w:sz w:val="13"/>
          <w:szCs w:val="13"/>
          <w:color w:val="auto"/>
        </w:rPr>
        <w:t>Upon the occurrence of a Change of Control, each holder of series L preferred stock will have the right (unless, prior to the Change of Control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Conversion Date, DLR has provided or provides notice of its election to redeem the series L preferred stock) to convert some or all of the series L preferred stock held by such holder on the date the series L preferred stock is to be converted, which DLR refers to as the Change of Control Conversion Date, into a number of shares of common stock per share of series L preferred stock to be converted equal to the lesser of:</w:t>
      </w:r>
    </w:p>
    <w:p>
      <w:pPr>
        <w:spacing w:after="0" w:line="64" w:lineRule="exact"/>
        <w:rPr>
          <w:sz w:val="20"/>
          <w:szCs w:val="20"/>
          <w:color w:val="auto"/>
        </w:rPr>
      </w:pPr>
    </w:p>
    <w:p>
      <w:pPr>
        <w:ind w:left="960" w:right="239" w:hanging="349"/>
        <w:spacing w:after="0" w:line="237" w:lineRule="auto"/>
        <w:tabs>
          <w:tab w:leader="none" w:pos="96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quotient obtained by dividing (i) the sum of the $25.00 liquidation preference plus the amount of any accrued and unpaid dividends to, but not including, the Change of Control Conversion Date (unless the Change of Control Conversion Date is after a record date for a series L preferred stock dividend payment and prior to the corresponding series L preferred stock dividend payment date, in which case no additional amount for such accrued and unpaid dividends will be included in this sum) by (ii) the Common Stock Price (as defined below); and</w:t>
      </w:r>
    </w:p>
    <w:p>
      <w:pPr>
        <w:spacing w:after="0" w:line="64" w:lineRule="exact"/>
        <w:rPr>
          <w:rFonts w:ascii="Times New Roman" w:cs="Times New Roman" w:eastAsia="Times New Roman" w:hAnsi="Times New Roman"/>
          <w:sz w:val="13"/>
          <w:szCs w:val="13"/>
          <w:color w:val="auto"/>
        </w:rPr>
      </w:pPr>
    </w:p>
    <w:p>
      <w:pPr>
        <w:ind w:left="960" w:hanging="349"/>
        <w:spacing w:after="0"/>
        <w:tabs>
          <w:tab w:leader="none" w:pos="96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0.38518 (i.e., the Share Cap), subject to certain adjustments;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subject, in each case, to provisions for the receipt of alternative consideration as described in the articles supplementary relating to the Series L preferred stock.</w:t>
      </w:r>
    </w:p>
    <w:p>
      <w:pPr>
        <w:spacing w:after="0" w:line="145" w:lineRule="exact"/>
        <w:rPr>
          <w:sz w:val="20"/>
          <w:szCs w:val="20"/>
          <w:color w:val="auto"/>
        </w:rPr>
      </w:pPr>
    </w:p>
    <w:p>
      <w:pPr>
        <w:ind w:left="180" w:right="399" w:firstLine="310"/>
        <w:spacing w:after="0" w:line="259" w:lineRule="auto"/>
        <w:rPr>
          <w:sz w:val="20"/>
          <w:szCs w:val="20"/>
          <w:color w:val="auto"/>
        </w:rPr>
      </w:pPr>
      <w:r>
        <w:rPr>
          <w:rFonts w:ascii="Times New Roman" w:cs="Times New Roman" w:eastAsia="Times New Roman" w:hAnsi="Times New Roman"/>
          <w:sz w:val="12"/>
          <w:szCs w:val="12"/>
          <w:color w:val="auto"/>
        </w:rPr>
        <w:t>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w:t>
      </w:r>
    </w:p>
    <w:p>
      <w:pPr>
        <w:spacing w:after="0" w:line="1" w:lineRule="exact"/>
        <w:rPr>
          <w:sz w:val="20"/>
          <w:szCs w:val="20"/>
          <w:color w:val="auto"/>
        </w:rPr>
      </w:pPr>
    </w:p>
    <w:p>
      <w:pPr>
        <w:ind w:left="180" w:right="199" w:firstLine="4"/>
        <w:spacing w:after="0" w:line="230" w:lineRule="auto"/>
        <w:tabs>
          <w:tab w:leader="none" w:pos="359"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DLR’s common stock in 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33" w:lineRule="exact"/>
        <w:rPr>
          <w:sz w:val="20"/>
          <w:szCs w:val="20"/>
          <w:color w:val="auto"/>
        </w:rPr>
      </w:pPr>
    </w:p>
    <w:p>
      <w:pPr>
        <w:ind w:left="180" w:right="199" w:firstLine="310"/>
        <w:spacing w:after="0" w:line="237" w:lineRule="auto"/>
        <w:rPr>
          <w:sz w:val="20"/>
          <w:szCs w:val="20"/>
          <w:color w:val="auto"/>
        </w:rPr>
      </w:pPr>
      <w:r>
        <w:rPr>
          <w:rFonts w:ascii="Times New Roman" w:cs="Times New Roman" w:eastAsia="Times New Roman" w:hAnsi="Times New Roman"/>
          <w:sz w:val="13"/>
          <w:szCs w:val="13"/>
          <w:color w:val="auto"/>
        </w:rPr>
        <w:t>If, prior to the Change of Control Conversion Date, DLR has provided or provides a redemption notice, whether pursuant to its special optional redemption right in connection with a Change of Control or its optional redemption right, holders of series L preferred stock will not have any right to convert the series L preferred stock into shares of DLR’s common stock in connection with the Change of Control and any shares of series L preferred stock selected for redemption that have been tendered for conversion will be redeemed on the related date of redemption instead of converted on the Change of Control Conversion Date.</w:t>
      </w:r>
    </w:p>
    <w:p>
      <w:pPr>
        <w:spacing w:after="0" w:line="131" w:lineRule="exact"/>
        <w:rPr>
          <w:sz w:val="20"/>
          <w:szCs w:val="20"/>
          <w:color w:val="auto"/>
        </w:rPr>
      </w:pPr>
    </w:p>
    <w:p>
      <w:pPr>
        <w:ind w:left="180" w:right="419" w:firstLine="310"/>
        <w:spacing w:after="0" w:line="253" w:lineRule="auto"/>
        <w:rPr>
          <w:sz w:val="20"/>
          <w:szCs w:val="20"/>
          <w:color w:val="auto"/>
        </w:rPr>
      </w:pPr>
      <w:r>
        <w:rPr>
          <w:rFonts w:ascii="Times New Roman" w:cs="Times New Roman" w:eastAsia="Times New Roman" w:hAnsi="Times New Roman"/>
          <w:sz w:val="13"/>
          <w:szCs w:val="13"/>
          <w:color w:val="auto"/>
        </w:rPr>
        <w:t>Except as provided above in connection with a Change of Control, the series L preferred stock is not convertible into or exchangeable for any other securities or property.</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i w:val="1"/>
          <w:iCs w:val="1"/>
          <w:color w:val="auto"/>
        </w:rPr>
        <w:t xml:space="preserve">Transfer Agent and Registrar. </w:t>
      </w:r>
      <w:r>
        <w:rPr>
          <w:rFonts w:ascii="Times New Roman" w:cs="Times New Roman" w:eastAsia="Times New Roman" w:hAnsi="Times New Roman"/>
          <w:sz w:val="13"/>
          <w:szCs w:val="13"/>
          <w:color w:val="auto"/>
        </w:rPr>
        <w:t>The transfer agent and registrar for the series L preferred stock is American Stock Transfer &amp;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245745</wp:posOffset>
            </wp:positionV>
            <wp:extent cx="5485130" cy="177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6">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21" w:name="page222"/>
    <w:bookmarkEnd w:id="221"/>
    <w:p>
      <w:pPr>
        <w:ind w:left="5200"/>
        <w:spacing w:after="0"/>
        <w:rPr>
          <w:sz w:val="20"/>
          <w:szCs w:val="20"/>
          <w:color w:val="auto"/>
        </w:rPr>
      </w:pPr>
      <w:r>
        <w:rPr>
          <w:rFonts w:ascii="Times New Roman" w:cs="Times New Roman" w:eastAsia="Times New Roman" w:hAnsi="Times New Roman"/>
          <w:sz w:val="14"/>
          <w:szCs w:val="14"/>
          <w:b w:val="1"/>
          <w:bCs w:val="1"/>
          <w:color w:val="auto"/>
        </w:rPr>
        <w:t>Exhibit 10.14</w:t>
      </w: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Director Compensation Program</w:t>
      </w:r>
    </w:p>
    <w:p>
      <w:pPr>
        <w:spacing w:after="0" w:line="173" w:lineRule="exact"/>
        <w:rPr>
          <w:sz w:val="20"/>
          <w:szCs w:val="20"/>
          <w:color w:val="auto"/>
        </w:rPr>
      </w:pPr>
    </w:p>
    <w:p>
      <w:pPr>
        <w:jc w:val="both"/>
        <w:ind w:left="180" w:right="199" w:firstLine="456"/>
        <w:spacing w:after="0" w:line="271" w:lineRule="auto"/>
        <w:rPr>
          <w:sz w:val="20"/>
          <w:szCs w:val="20"/>
          <w:color w:val="auto"/>
        </w:rPr>
      </w:pPr>
      <w:r>
        <w:rPr>
          <w:rFonts w:ascii="Times New Roman" w:cs="Times New Roman" w:eastAsia="Times New Roman" w:hAnsi="Times New Roman"/>
          <w:sz w:val="14"/>
          <w:szCs w:val="14"/>
          <w:color w:val="auto"/>
        </w:rPr>
        <w:t>On November 11, 2020, the Board of Directors (the “Board”) of Digital Realty Trust, Inc. (the “Company”) approved revisions to the Company’s director compensation program. The material terms of the revised program are as follows:</w:t>
      </w:r>
    </w:p>
    <w:p>
      <w:pPr>
        <w:spacing w:after="0" w:line="130" w:lineRule="exact"/>
        <w:rPr>
          <w:sz w:val="20"/>
          <w:szCs w:val="20"/>
          <w:color w:val="auto"/>
        </w:rPr>
      </w:pPr>
    </w:p>
    <w:p>
      <w:pPr>
        <w:jc w:val="both"/>
        <w:ind w:left="180" w:right="199" w:firstLine="456"/>
        <w:spacing w:after="0" w:line="245" w:lineRule="auto"/>
        <w:rPr>
          <w:sz w:val="20"/>
          <w:szCs w:val="20"/>
          <w:color w:val="auto"/>
        </w:rPr>
      </w:pPr>
      <w:r>
        <w:rPr>
          <w:rFonts w:ascii="Times New Roman" w:cs="Times New Roman" w:eastAsia="Times New Roman" w:hAnsi="Times New Roman"/>
          <w:sz w:val="14"/>
          <w:szCs w:val="14"/>
          <w:color w:val="auto"/>
        </w:rPr>
        <w:t>Under the revised program, effective as of January 1, 2021, each of the Company’s non-employee directors receives an annual cash retainer of $85,000 for services as a director. In addition, any non-employee director who serves as Chairman of the Board receives an annual cash retainer of $50,000 and any non-employee director who serves as Vice Chairman of the Board receives an annual cash retainer of $25,000 (in each case, in addition to the annual cash base retainer of $85,000). Directors receive annual fees for service as members (excluding chairs) on the following committees, in addition to the foregoing retainers, as follows: $20,000 for the Audit Committee; $15,000 for the Compensation Committee; and $15,000 for the Nominating and Corporate Governance Committee. The director who serves as the chair of the Audit Committee receives an annual retainer of $35,000; the director who serves as the chair of the Compensation Committee receives an annual retainer of $30,000; and the director who serves as the chair of the Nominating and Corporate Governance Committee receives an annual retainer of $25,000.</w:t>
      </w:r>
    </w:p>
    <w:p>
      <w:pPr>
        <w:spacing w:after="0" w:line="147" w:lineRule="exact"/>
        <w:rPr>
          <w:sz w:val="20"/>
          <w:szCs w:val="20"/>
          <w:color w:val="auto"/>
        </w:rPr>
      </w:pPr>
    </w:p>
    <w:p>
      <w:pPr>
        <w:jc w:val="both"/>
        <w:ind w:left="180" w:right="199" w:firstLine="456"/>
        <w:spacing w:after="0" w:line="251" w:lineRule="auto"/>
        <w:rPr>
          <w:sz w:val="20"/>
          <w:szCs w:val="20"/>
          <w:color w:val="auto"/>
        </w:rPr>
      </w:pPr>
      <w:r>
        <w:rPr>
          <w:rFonts w:ascii="Times New Roman" w:cs="Times New Roman" w:eastAsia="Times New Roman" w:hAnsi="Times New Roman"/>
          <w:sz w:val="14"/>
          <w:szCs w:val="14"/>
          <w:color w:val="auto"/>
        </w:rPr>
        <w:t>In connection with the revisions to the director compensation program, the Digital Realty Trust, Inc., Digital Services, Inc. and Digital Realty Trust, L.P. 2014 Incentive Award Plan, as amended, was further amended on November 11, 2020 to provide for revised formula grants of profits interest units of Digital Realty Trust, L.P. (or, at the election of the director, shares of the Company’s common stock (“Common Stock”)) to non-employee directors as follows:</w:t>
      </w:r>
    </w:p>
    <w:p>
      <w:pPr>
        <w:spacing w:after="0" w:line="264" w:lineRule="exact"/>
        <w:rPr>
          <w:sz w:val="20"/>
          <w:szCs w:val="20"/>
          <w:color w:val="auto"/>
        </w:rPr>
      </w:pPr>
    </w:p>
    <w:p>
      <w:pPr>
        <w:jc w:val="both"/>
        <w:ind w:left="840" w:right="199" w:hanging="656"/>
        <w:spacing w:after="0" w:line="249" w:lineRule="auto"/>
        <w:tabs>
          <w:tab w:leader="none" w:pos="8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 Rata Grant</w:t>
      </w:r>
      <w:r>
        <w:rPr>
          <w:rFonts w:ascii="Times New Roman" w:cs="Times New Roman" w:eastAsia="Times New Roman" w:hAnsi="Times New Roman"/>
          <w:sz w:val="14"/>
          <w:szCs w:val="14"/>
          <w:color w:val="auto"/>
        </w:rPr>
        <w:t>. Commencing as of the first annual meeting of stockholders to occur after November 11, 2020: (i) each person who first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becomes a non-employee director on a date other than the date of an annual meeting of stockholders will, on the date of such person first becoming a non-employee director, be granted a number of profits interest units equal to the product of (A) the quotient obtained by dividing</w:t>
      </w:r>
    </w:p>
    <w:p>
      <w:pPr>
        <w:spacing w:after="0" w:line="1" w:lineRule="exact"/>
        <w:rPr>
          <w:rFonts w:ascii="Times New Roman" w:cs="Times New Roman" w:eastAsia="Times New Roman" w:hAnsi="Times New Roman"/>
          <w:sz w:val="14"/>
          <w:szCs w:val="14"/>
          <w:color w:val="auto"/>
        </w:rPr>
      </w:pPr>
    </w:p>
    <w:p>
      <w:pPr>
        <w:jc w:val="both"/>
        <w:ind w:left="840" w:right="199"/>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$190,000 by (y) the fair market value of a share of Common Stock on such date, multiplied by (B) the quotient obtained by dividing (x) 12 minus the number of months that have elapsed since the immediately preceding annual meeting of stockholders, by (y) 12; and (ii) in addition to the foregoing pro-rata grant, if applicable, each person who first becomes the Chairman of the Board on a date other than the date of an annual meeting of stockholders will, on the date of such person first becoming the Chairman of the Board, be granted a number of profits interest units equal to the product of (A) the quotient obtained by dividing (x) $100,000 by (y) the fair market value of a share of Common Stock on such date, multiplied by (B) the quotient obtained by dividing (x) 12 minus the number of whole months that have elapsed since the immediately preceding annual meeting of stockholders, by (y) 12.</w:t>
      </w:r>
    </w:p>
    <w:p>
      <w:pPr>
        <w:spacing w:after="0" w:line="226" w:lineRule="exact"/>
        <w:rPr>
          <w:rFonts w:ascii="Times New Roman" w:cs="Times New Roman" w:eastAsia="Times New Roman" w:hAnsi="Times New Roman"/>
          <w:sz w:val="14"/>
          <w:szCs w:val="14"/>
          <w:color w:val="auto"/>
        </w:rPr>
      </w:pPr>
    </w:p>
    <w:p>
      <w:pPr>
        <w:jc w:val="both"/>
        <w:ind w:left="840" w:right="199" w:hanging="656"/>
        <w:spacing w:after="0" w:line="257" w:lineRule="auto"/>
        <w:tabs>
          <w:tab w:leader="none" w:pos="8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Annual Grant</w:t>
      </w:r>
      <w:r>
        <w:rPr>
          <w:rFonts w:ascii="Times New Roman" w:cs="Times New Roman" w:eastAsia="Times New Roman" w:hAnsi="Times New Roman"/>
          <w:sz w:val="14"/>
          <w:szCs w:val="14"/>
          <w:color w:val="auto"/>
        </w:rPr>
        <w:t>. Commencing as of the first annual meeting of stockholders to occur after November 11, 2020: (i) each person who first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becomes a non-employee director at an annual meeting of stockholders and each person who otherwise continues to be a non-employee director immediately following such annual meeting will, on the date of such annual meeting, be granted a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310515</wp:posOffset>
            </wp:positionV>
            <wp:extent cx="5485130" cy="177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7">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406" w:right="1440" w:bottom="1440" w:gutter="0" w:footer="0" w:header="0"/>
        </w:sectPr>
      </w:pPr>
    </w:p>
    <w:bookmarkStart w:id="222" w:name="page223"/>
    <w:bookmarkEnd w:id="222"/>
    <w:p>
      <w:pPr>
        <w:jc w:val="both"/>
        <w:ind w:left="840" w:right="199"/>
        <w:spacing w:after="0" w:line="245" w:lineRule="auto"/>
        <w:rPr>
          <w:sz w:val="20"/>
          <w:szCs w:val="20"/>
          <w:color w:val="auto"/>
        </w:rPr>
      </w:pPr>
      <w:r>
        <w:rPr>
          <w:rFonts w:ascii="Times New Roman" w:cs="Times New Roman" w:eastAsia="Times New Roman" w:hAnsi="Times New Roman"/>
          <w:sz w:val="14"/>
          <w:szCs w:val="14"/>
          <w:color w:val="auto"/>
        </w:rPr>
        <w:t>profits interest units equal to the quotient obtained by dividing (x) $190,000 by (y) the fair market value of a share of Common Stock on the date of such annual meeting; and (ii) in addition to the foregoing annual grant, each person who first becomes the Chairman of the Board at an annual meeting of stockholders or such person who otherwise continues to be the Chairman of the Board immediately following such annual meeting, as applicable, will, on the date of such annual meeting, be granted a number of profits interest units equal to the quotient obtained by dividing (x) $100,000 by (y) the fair market value of a share of Common Stock on the date of such annual meeting. A director who is also an employee who subsequently incurs a termination of employment and remains on the Board will not receive a pro-rata grant, but, to the extent such director is otherwise eligible, will receive annual grants after such termination of his status as an employee.</w:t>
      </w:r>
    </w:p>
    <w:p>
      <w:pPr>
        <w:spacing w:after="0" w:line="273" w:lineRule="exact"/>
        <w:rPr>
          <w:sz w:val="20"/>
          <w:szCs w:val="20"/>
          <w:color w:val="auto"/>
        </w:rPr>
      </w:pPr>
    </w:p>
    <w:p>
      <w:pPr>
        <w:jc w:val="both"/>
        <w:ind w:left="180" w:right="199" w:firstLine="456"/>
        <w:spacing w:after="0" w:line="256" w:lineRule="auto"/>
        <w:rPr>
          <w:sz w:val="20"/>
          <w:szCs w:val="20"/>
          <w:color w:val="auto"/>
        </w:rPr>
      </w:pPr>
      <w:r>
        <w:rPr>
          <w:rFonts w:ascii="Times New Roman" w:cs="Times New Roman" w:eastAsia="Times New Roman" w:hAnsi="Times New Roman"/>
          <w:sz w:val="14"/>
          <w:szCs w:val="14"/>
          <w:color w:val="auto"/>
        </w:rPr>
        <w:t>Each annual grant and pro-rata grant will vest in full on the earlier to occur of (i) the first anniversary of the applicable date of grant, or (ii) the day before the date of the next annual meeting of stockholders following the date of grant, subject to the director’s continued service with the Company until the applicable vesting date.</w:t>
      </w:r>
    </w:p>
    <w:p>
      <w:pPr>
        <w:spacing w:after="0" w:line="1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Director Election Program</w:t>
      </w:r>
    </w:p>
    <w:p>
      <w:pPr>
        <w:spacing w:after="0" w:line="173" w:lineRule="exact"/>
        <w:rPr>
          <w:sz w:val="20"/>
          <w:szCs w:val="20"/>
          <w:color w:val="auto"/>
        </w:rPr>
      </w:pPr>
    </w:p>
    <w:p>
      <w:pPr>
        <w:jc w:val="both"/>
        <w:ind w:left="180" w:right="199" w:firstLine="456"/>
        <w:spacing w:after="0" w:line="252" w:lineRule="auto"/>
        <w:rPr>
          <w:sz w:val="20"/>
          <w:szCs w:val="20"/>
          <w:color w:val="auto"/>
        </w:rPr>
      </w:pPr>
      <w:r>
        <w:rPr>
          <w:rFonts w:ascii="Times New Roman" w:cs="Times New Roman" w:eastAsia="Times New Roman" w:hAnsi="Times New Roman"/>
          <w:sz w:val="14"/>
          <w:szCs w:val="14"/>
          <w:color w:val="auto"/>
        </w:rPr>
        <w:t>Non-employee directors may elect to receive all or a portion of their cash retainers and director fees otherwise payable in cash in any combination of the following:</w:t>
      </w:r>
    </w:p>
    <w:p>
      <w:pPr>
        <w:spacing w:after="0" w:line="1" w:lineRule="exact"/>
        <w:rPr>
          <w:sz w:val="20"/>
          <w:szCs w:val="20"/>
          <w:color w:val="auto"/>
        </w:rPr>
      </w:pPr>
    </w:p>
    <w:p>
      <w:pPr>
        <w:ind w:left="940" w:hanging="300"/>
        <w:spacing w:after="0"/>
        <w:tabs>
          <w:tab w:leader="none" w:pos="9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w:t>
      </w:r>
    </w:p>
    <w:p>
      <w:pPr>
        <w:ind w:left="940" w:right="199" w:hanging="300"/>
        <w:spacing w:after="0" w:line="248" w:lineRule="auto"/>
        <w:tabs>
          <w:tab w:leader="none" w:pos="9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Fully-vested profits interest units of Digital Realty Trust, L.P., having a value (based on the Company’s closing share price on the date of grant) equal to 100% of the cash retainer and director fee amounts subject to the election.</w:t>
      </w:r>
    </w:p>
    <w:p>
      <w:pPr>
        <w:spacing w:after="0" w:line="126" w:lineRule="exact"/>
        <w:rPr>
          <w:sz w:val="20"/>
          <w:szCs w:val="20"/>
          <w:color w:val="auto"/>
        </w:rPr>
      </w:pPr>
    </w:p>
    <w:p>
      <w:pPr>
        <w:ind w:left="180" w:right="199" w:firstLine="456"/>
        <w:spacing w:after="0" w:line="271" w:lineRule="auto"/>
        <w:rPr>
          <w:sz w:val="20"/>
          <w:szCs w:val="20"/>
          <w:color w:val="auto"/>
        </w:rPr>
      </w:pPr>
      <w:r>
        <w:rPr>
          <w:rFonts w:ascii="Times New Roman" w:cs="Times New Roman" w:eastAsia="Times New Roman" w:hAnsi="Times New Roman"/>
          <w:sz w:val="14"/>
          <w:szCs w:val="14"/>
          <w:color w:val="auto"/>
        </w:rPr>
        <w:t>Directors must make their elections by a specified date in the year preceding the year in which his or her cash retainers and director fees would otherwise be paid. Profits interest units awarded pursuant to elections are expected to be granted at each regularly scheduled quarterly Board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225425</wp:posOffset>
            </wp:positionV>
            <wp:extent cx="5485130" cy="177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8">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223" w:name="page224"/>
    <w:bookmarkEnd w:id="223"/>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Exhibit 10.33</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SIXTH AMENDMENT TO</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DIGITAL REALTY TRUST, INC., DIGITAL SERVICES, INC. AND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DIGITAL REALTY TRUST, L.P. 2014 INCENTIVE AWARD PLAN</w:t>
      </w:r>
    </w:p>
    <w:p>
      <w:pPr>
        <w:spacing w:after="0" w:line="153" w:lineRule="exact"/>
        <w:rPr>
          <w:sz w:val="20"/>
          <w:szCs w:val="20"/>
          <w:color w:val="auto"/>
        </w:rPr>
      </w:pPr>
    </w:p>
    <w:p>
      <w:pPr>
        <w:jc w:val="both"/>
        <w:ind w:left="180" w:right="199" w:firstLine="456"/>
        <w:spacing w:after="0" w:line="246" w:lineRule="auto"/>
        <w:rPr>
          <w:sz w:val="20"/>
          <w:szCs w:val="20"/>
          <w:color w:val="auto"/>
        </w:rPr>
      </w:pPr>
      <w:r>
        <w:rPr>
          <w:rFonts w:ascii="Times New Roman" w:cs="Times New Roman" w:eastAsia="Times New Roman" w:hAnsi="Times New Roman"/>
          <w:sz w:val="15"/>
          <w:szCs w:val="15"/>
          <w:color w:val="auto"/>
        </w:rPr>
        <w:t>THIS SIXTH AMENDMENT TO DIGITAL REALTY TRUST, INC., DIGITAL SERVICES, INC. AND DIGITAL REALTY TRUST, L.P. 2014 INCENTIVE AWARD PLAN (this “</w:t>
      </w:r>
      <w:r>
        <w:rPr>
          <w:rFonts w:ascii="Times New Roman" w:cs="Times New Roman" w:eastAsia="Times New Roman" w:hAnsi="Times New Roman"/>
          <w:sz w:val="15"/>
          <w:szCs w:val="15"/>
          <w:u w:val="single" w:color="auto"/>
          <w:color w:val="auto"/>
        </w:rPr>
        <w:t>Sixth Amendment</w:t>
      </w:r>
      <w:r>
        <w:rPr>
          <w:rFonts w:ascii="Times New Roman" w:cs="Times New Roman" w:eastAsia="Times New Roman" w:hAnsi="Times New Roman"/>
          <w:sz w:val="15"/>
          <w:szCs w:val="15"/>
          <w:color w:val="auto"/>
        </w:rPr>
        <w:t>”) is made and adopted by the Board of Directors (the “</w:t>
      </w:r>
      <w:r>
        <w:rPr>
          <w:rFonts w:ascii="Times New Roman" w:cs="Times New Roman" w:eastAsia="Times New Roman" w:hAnsi="Times New Roman"/>
          <w:sz w:val="15"/>
          <w:szCs w:val="15"/>
          <w:u w:val="single" w:color="auto"/>
          <w:color w:val="auto"/>
        </w:rPr>
        <w:t>Board</w:t>
      </w:r>
      <w:r>
        <w:rPr>
          <w:rFonts w:ascii="Times New Roman" w:cs="Times New Roman" w:eastAsia="Times New Roman" w:hAnsi="Times New Roman"/>
          <w:sz w:val="15"/>
          <w:szCs w:val="15"/>
          <w:color w:val="auto"/>
        </w:rPr>
        <w:t>”) of Digital Realty Trust, Inc., a Maryland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on November 11, 2020 and effective as of the date of the first annual meeting of stockholders of the Company to occur after November 11, 2020 (such date, the “</w:t>
      </w:r>
      <w:r>
        <w:rPr>
          <w:rFonts w:ascii="Times New Roman" w:cs="Times New Roman" w:eastAsia="Times New Roman" w:hAnsi="Times New Roman"/>
          <w:sz w:val="15"/>
          <w:szCs w:val="15"/>
          <w:u w:val="single" w:color="auto"/>
          <w:color w:val="auto"/>
        </w:rPr>
        <w:t>Effective Date</w:t>
      </w:r>
      <w:r>
        <w:rPr>
          <w:rFonts w:ascii="Times New Roman" w:cs="Times New Roman" w:eastAsia="Times New Roman" w:hAnsi="Times New Roman"/>
          <w:sz w:val="15"/>
          <w:szCs w:val="15"/>
          <w:color w:val="auto"/>
        </w:rPr>
        <w:t>”). Capitalized terms used but not otherwise defined herein shall have the respective meanings ascribed to them in the Plan (as defined below).</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73" w:lineRule="exact"/>
        <w:rPr>
          <w:sz w:val="20"/>
          <w:szCs w:val="20"/>
          <w:color w:val="auto"/>
        </w:rPr>
      </w:pPr>
    </w:p>
    <w:p>
      <w:pPr>
        <w:jc w:val="both"/>
        <w:ind w:left="180" w:right="199" w:firstLine="456"/>
        <w:spacing w:after="0" w:line="272" w:lineRule="auto"/>
        <w:rPr>
          <w:sz w:val="20"/>
          <w:szCs w:val="20"/>
          <w:color w:val="auto"/>
        </w:rPr>
      </w:pPr>
      <w:r>
        <w:rPr>
          <w:rFonts w:ascii="Times New Roman" w:cs="Times New Roman" w:eastAsia="Times New Roman" w:hAnsi="Times New Roman"/>
          <w:sz w:val="15"/>
          <w:szCs w:val="15"/>
          <w:color w:val="auto"/>
        </w:rPr>
        <w:t>WHEREAS, the Company maintains the Digital Realty Trust, Inc., Digital Services, Inc. and Digital Realty Trust, L.P. 2014 Incentive Award Plan (as amended, the “</w:t>
      </w:r>
      <w:r>
        <w:rPr>
          <w:rFonts w:ascii="Times New Roman" w:cs="Times New Roman" w:eastAsia="Times New Roman" w:hAnsi="Times New Roman"/>
          <w:sz w:val="15"/>
          <w:szCs w:val="15"/>
          <w:u w:val="single" w:color="auto"/>
          <w:color w:val="auto"/>
        </w:rPr>
        <w:t>Plan</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WHEREAS, pursuant to Section 13.1 of the Plan, the Plan may be amended or modified from time to time by the Board; and</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WHEREAS, the Board desires to amend the Plan as set forth herein.</w:t>
      </w:r>
    </w:p>
    <w:p>
      <w:pPr>
        <w:spacing w:after="0" w:line="16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NOW, THEREFORE, BE IT RESOLVED, that the Plan is hereby amended as set forth herein, effective as of the Effective Date.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AMENDMENT</w:t>
      </w:r>
    </w:p>
    <w:p>
      <w:pPr>
        <w:spacing w:after="0" w:line="173" w:lineRule="exact"/>
        <w:rPr>
          <w:sz w:val="20"/>
          <w:szCs w:val="20"/>
          <w:color w:val="auto"/>
        </w:rPr>
      </w:pPr>
    </w:p>
    <w:p>
      <w:pPr>
        <w:ind w:left="1100" w:hanging="460"/>
        <w:spacing w:after="0"/>
        <w:tabs>
          <w:tab w:leader="none" w:pos="110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9.8(a) of the Plan is hereby amended and restated in its entirety as follows:</w:t>
      </w:r>
    </w:p>
    <w:p>
      <w:pPr>
        <w:spacing w:after="0" w:line="169" w:lineRule="exact"/>
        <w:rPr>
          <w:sz w:val="20"/>
          <w:szCs w:val="20"/>
          <w:color w:val="auto"/>
        </w:rPr>
      </w:pPr>
    </w:p>
    <w:p>
      <w:pPr>
        <w:jc w:val="both"/>
        <w:ind w:left="1100" w:right="419" w:firstLine="456"/>
        <w:spacing w:after="0" w:line="241" w:lineRule="auto"/>
        <w:rPr>
          <w:sz w:val="20"/>
          <w:szCs w:val="20"/>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u w:val="single" w:color="auto"/>
          <w:color w:val="auto"/>
        </w:rPr>
        <w:t>Pro-Rata Grants</w:t>
      </w:r>
      <w:r>
        <w:rPr>
          <w:rFonts w:ascii="Times New Roman" w:cs="Times New Roman" w:eastAsia="Times New Roman" w:hAnsi="Times New Roman"/>
          <w:sz w:val="15"/>
          <w:szCs w:val="15"/>
          <w:color w:val="auto"/>
        </w:rPr>
        <w:t>. During the term of the Plan: (i) each person who first becomes a Non-Employee Director of the Company on a date other than the date of an annual meeting of the Company’s stockholders shall, on the date of such person first becoming a Non-Employee Director of the Company, be granted a number of Profits Interest Units equal to the product of (A) the quotient obtained by dividing (x) $190,000 by (y) the Fair Market Value of a Share on such date, multiplied by (B) the quotient obtained by dividing (x) twelve (12) minus the number of whole months that have elapsed since the immediately preceding annual meeting of the Company’s stockholders, by (y) twelve (12) (the “</w:t>
      </w:r>
      <w:r>
        <w:rPr>
          <w:rFonts w:ascii="Times New Roman" w:cs="Times New Roman" w:eastAsia="Times New Roman" w:hAnsi="Times New Roman"/>
          <w:sz w:val="15"/>
          <w:szCs w:val="15"/>
          <w:u w:val="single" w:color="auto"/>
          <w:color w:val="auto"/>
        </w:rPr>
        <w:t>Non-Employee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Director Pro-Rata Grant</w:t>
      </w:r>
      <w:r>
        <w:rPr>
          <w:rFonts w:ascii="Times New Roman" w:cs="Times New Roman" w:eastAsia="Times New Roman" w:hAnsi="Times New Roman"/>
          <w:sz w:val="15"/>
          <w:szCs w:val="15"/>
          <w:color w:val="auto"/>
        </w:rPr>
        <w:t>”); and (ii) in addition to the Non-Employee Director Pro-Rata Grant (if applicable), each person who first becomes the Chairman of the Board (the “</w:t>
      </w:r>
      <w:r>
        <w:rPr>
          <w:rFonts w:ascii="Times New Roman" w:cs="Times New Roman" w:eastAsia="Times New Roman" w:hAnsi="Times New Roman"/>
          <w:sz w:val="15"/>
          <w:szCs w:val="15"/>
          <w:u w:val="single" w:color="auto"/>
          <w:color w:val="auto"/>
        </w:rPr>
        <w:t>Chairman</w:t>
      </w:r>
      <w:r>
        <w:rPr>
          <w:rFonts w:ascii="Times New Roman" w:cs="Times New Roman" w:eastAsia="Times New Roman" w:hAnsi="Times New Roman"/>
          <w:sz w:val="15"/>
          <w:szCs w:val="15"/>
          <w:color w:val="auto"/>
        </w:rPr>
        <w:t>”) on a date other than the date of an annual meeting of the Company’s stockholders shall, on the date of such person first becoming the Chairman, be granted a number of Profits Interest Units equal to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316230</wp:posOffset>
            </wp:positionV>
            <wp:extent cx="5485130" cy="177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9">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4" w:name="page225"/>
    <w:bookmarkEnd w:id="224"/>
    <w:p>
      <w:pPr>
        <w:ind w:left="1100"/>
        <w:spacing w:after="0"/>
        <w:rPr>
          <w:sz w:val="20"/>
          <w:szCs w:val="20"/>
          <w:color w:val="auto"/>
        </w:rPr>
      </w:pPr>
      <w:r>
        <w:rPr>
          <w:rFonts w:ascii="Times New Roman" w:cs="Times New Roman" w:eastAsia="Times New Roman" w:hAnsi="Times New Roman"/>
          <w:sz w:val="15"/>
          <w:szCs w:val="15"/>
          <w:color w:val="auto"/>
        </w:rPr>
        <w:t>of (A) the quotient obtained by dividing (x) $100,000 by (y) the Fair Market Value of a Share on such date, multiplied by</w:t>
      </w:r>
    </w:p>
    <w:p>
      <w:pPr>
        <w:spacing w:after="0" w:line="16" w:lineRule="exact"/>
        <w:rPr>
          <w:sz w:val="20"/>
          <w:szCs w:val="20"/>
          <w:color w:val="auto"/>
        </w:rPr>
      </w:pPr>
    </w:p>
    <w:p>
      <w:pPr>
        <w:jc w:val="both"/>
        <w:ind w:left="1100" w:right="439" w:hanging="4"/>
        <w:spacing w:after="0" w:line="243" w:lineRule="auto"/>
        <w:tabs>
          <w:tab w:leader="none" w:pos="1363" w:val="left"/>
        </w:tabs>
        <w:numPr>
          <w:ilvl w:val="1"/>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quotient obtained by dividing (x) twelve (12) minus the number of whole months that have elapsed since the immediately preceding annual meeting of the Company’s stockholders, by (y) twelve (12) (the “</w:t>
      </w:r>
      <w:r>
        <w:rPr>
          <w:rFonts w:ascii="Times New Roman" w:cs="Times New Roman" w:eastAsia="Times New Roman" w:hAnsi="Times New Roman"/>
          <w:sz w:val="15"/>
          <w:szCs w:val="15"/>
          <w:u w:val="single" w:color="auto"/>
          <w:color w:val="auto"/>
        </w:rPr>
        <w:t>Chairman Pro-Rata Grant</w:t>
      </w:r>
      <w:r>
        <w:rPr>
          <w:rFonts w:ascii="Times New Roman" w:cs="Times New Roman" w:eastAsia="Times New Roman" w:hAnsi="Times New Roman"/>
          <w:sz w:val="15"/>
          <w:szCs w:val="15"/>
          <w:color w:val="auto"/>
        </w:rPr>
        <w:t>” and, together with the Non-Employee Director Pro-Rata Grant, the “</w:t>
      </w:r>
      <w:r>
        <w:rPr>
          <w:rFonts w:ascii="Times New Roman" w:cs="Times New Roman" w:eastAsia="Times New Roman" w:hAnsi="Times New Roman"/>
          <w:sz w:val="15"/>
          <w:szCs w:val="15"/>
          <w:u w:val="single" w:color="auto"/>
          <w:color w:val="auto"/>
        </w:rPr>
        <w:t>Pro-Rata Grants</w:t>
      </w:r>
      <w:r>
        <w:rPr>
          <w:rFonts w:ascii="Times New Roman" w:cs="Times New Roman" w:eastAsia="Times New Roman" w:hAnsi="Times New Roman"/>
          <w:sz w:val="15"/>
          <w:szCs w:val="15"/>
          <w:color w:val="auto"/>
        </w:rPr>
        <w:t>”).”</w:t>
      </w:r>
    </w:p>
    <w:p>
      <w:pPr>
        <w:spacing w:after="0" w:line="143" w:lineRule="exact"/>
        <w:rPr>
          <w:rFonts w:ascii="Times New Roman" w:cs="Times New Roman" w:eastAsia="Times New Roman" w:hAnsi="Times New Roman"/>
          <w:sz w:val="15"/>
          <w:szCs w:val="15"/>
          <w:color w:val="auto"/>
        </w:rPr>
      </w:pPr>
    </w:p>
    <w:p>
      <w:pPr>
        <w:ind w:left="1100" w:hanging="460"/>
        <w:spacing w:after="0"/>
        <w:tabs>
          <w:tab w:leader="none" w:pos="110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9.8(b) of the Plan is hereby amended and restated in its entirety as follows:</w:t>
      </w:r>
    </w:p>
    <w:p>
      <w:pPr>
        <w:spacing w:after="0" w:line="169" w:lineRule="exact"/>
        <w:rPr>
          <w:sz w:val="20"/>
          <w:szCs w:val="20"/>
          <w:color w:val="auto"/>
        </w:rPr>
      </w:pPr>
    </w:p>
    <w:p>
      <w:pPr>
        <w:jc w:val="both"/>
        <w:ind w:left="1100" w:right="419" w:firstLine="456"/>
        <w:spacing w:after="0"/>
        <w:rPr>
          <w:sz w:val="20"/>
          <w:szCs w:val="20"/>
          <w:color w:val="auto"/>
        </w:rPr>
      </w:pPr>
      <w:r>
        <w:rPr>
          <w:rFonts w:ascii="Times New Roman" w:cs="Times New Roman" w:eastAsia="Times New Roman" w:hAnsi="Times New Roman"/>
          <w:sz w:val="15"/>
          <w:szCs w:val="15"/>
          <w:color w:val="auto"/>
        </w:rPr>
        <w:t xml:space="preserve">“(b) </w:t>
      </w:r>
      <w:r>
        <w:rPr>
          <w:rFonts w:ascii="Times New Roman" w:cs="Times New Roman" w:eastAsia="Times New Roman" w:hAnsi="Times New Roman"/>
          <w:sz w:val="15"/>
          <w:szCs w:val="15"/>
          <w:u w:val="single" w:color="auto"/>
          <w:color w:val="auto"/>
        </w:rPr>
        <w:t>Annual Grants</w:t>
      </w:r>
      <w:r>
        <w:rPr>
          <w:rFonts w:ascii="Times New Roman" w:cs="Times New Roman" w:eastAsia="Times New Roman" w:hAnsi="Times New Roman"/>
          <w:sz w:val="15"/>
          <w:szCs w:val="15"/>
          <w:color w:val="auto"/>
        </w:rPr>
        <w:t>. During the term of the Plan: (i) each person who first becomes a Non-Employee Director of the Company at an annual meeting of stockholders of the Company and each person who otherwise continues to be a Non-Employee Director of the Company immediately following such annual meeting shall, on the date of such annual meeting, be granted a number of Profits Interest Units equal to the quotient obtained by dividing (x) $190,000 by (y) the Fair Market Value of a Share on the date of such annual meeting (the “</w:t>
      </w:r>
      <w:r>
        <w:rPr>
          <w:rFonts w:ascii="Times New Roman" w:cs="Times New Roman" w:eastAsia="Times New Roman" w:hAnsi="Times New Roman"/>
          <w:sz w:val="15"/>
          <w:szCs w:val="15"/>
          <w:u w:val="single" w:color="auto"/>
          <w:color w:val="auto"/>
        </w:rPr>
        <w:t>Non-Employee Director Annual Grant</w:t>
      </w:r>
      <w:r>
        <w:rPr>
          <w:rFonts w:ascii="Times New Roman" w:cs="Times New Roman" w:eastAsia="Times New Roman" w:hAnsi="Times New Roman"/>
          <w:sz w:val="15"/>
          <w:szCs w:val="15"/>
          <w:color w:val="auto"/>
        </w:rPr>
        <w:t>”); and (ii) in addition to the Non-Employee Director Annual Grant, each person who first becomes the Chairman at an annual meeting of stockholders of the Company or such person who otherwise continues to be the Chairman immediately following such annual meeting, as applicable, shall, on the date of such annual meeting, be granted a number of Profits Interest Units equal to the quotient obtained by dividing (x) $100,000 by (y) the Fair Market Value of a Share on the date of such annual meeting (the “</w:t>
      </w:r>
      <w:r>
        <w:rPr>
          <w:rFonts w:ascii="Times New Roman" w:cs="Times New Roman" w:eastAsia="Times New Roman" w:hAnsi="Times New Roman"/>
          <w:sz w:val="15"/>
          <w:szCs w:val="15"/>
          <w:u w:val="single" w:color="auto"/>
          <w:color w:val="auto"/>
        </w:rPr>
        <w:t>Chairman Annual Grant</w:t>
      </w:r>
      <w:r>
        <w:rPr>
          <w:rFonts w:ascii="Times New Roman" w:cs="Times New Roman" w:eastAsia="Times New Roman" w:hAnsi="Times New Roman"/>
          <w:sz w:val="15"/>
          <w:szCs w:val="15"/>
          <w:color w:val="auto"/>
        </w:rPr>
        <w:t>” and, together with the Non-Employee Director Annual Grant, the “</w:t>
      </w:r>
      <w:r>
        <w:rPr>
          <w:rFonts w:ascii="Times New Roman" w:cs="Times New Roman" w:eastAsia="Times New Roman" w:hAnsi="Times New Roman"/>
          <w:sz w:val="15"/>
          <w:szCs w:val="15"/>
          <w:u w:val="single" w:color="auto"/>
          <w:color w:val="auto"/>
        </w:rPr>
        <w:t>Annual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Grants</w:t>
      </w:r>
      <w:r>
        <w:rPr>
          <w:rFonts w:ascii="Times New Roman" w:cs="Times New Roman" w:eastAsia="Times New Roman" w:hAnsi="Times New Roman"/>
          <w:sz w:val="15"/>
          <w:szCs w:val="15"/>
          <w:color w:val="auto"/>
        </w:rPr>
        <w:t xml:space="preserve"> ”). A Director who is also an Employee who subsequently incurs a termination of employment and remains on the Board will not receive a Pro-Rata Grant, but, to the extent such Director is otherwise eligible, will receive Annual Grants after such termination of his status as an Employee.”</w:t>
      </w:r>
    </w:p>
    <w:p>
      <w:pPr>
        <w:spacing w:after="0" w:line="150" w:lineRule="exact"/>
        <w:rPr>
          <w:sz w:val="20"/>
          <w:szCs w:val="20"/>
          <w:color w:val="auto"/>
        </w:rPr>
      </w:pPr>
    </w:p>
    <w:p>
      <w:pPr>
        <w:ind w:left="1100" w:hanging="460"/>
        <w:spacing w:after="0"/>
        <w:tabs>
          <w:tab w:leader="none" w:pos="110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Sixth Amendment shall be and is hereby incorporated in and forms a part of the Plan.</w:t>
      </w:r>
    </w:p>
    <w:p>
      <w:pPr>
        <w:spacing w:after="0" w:line="169" w:lineRule="exact"/>
        <w:rPr>
          <w:rFonts w:ascii="Times New Roman" w:cs="Times New Roman" w:eastAsia="Times New Roman" w:hAnsi="Times New Roman"/>
          <w:sz w:val="15"/>
          <w:szCs w:val="15"/>
          <w:color w:val="auto"/>
        </w:rPr>
      </w:pPr>
    </w:p>
    <w:p>
      <w:pPr>
        <w:jc w:val="center"/>
        <w:ind w:left="3720" w:right="1279" w:hanging="3080"/>
        <w:spacing w:after="0" w:line="510" w:lineRule="auto"/>
        <w:tabs>
          <w:tab w:leader="none" w:pos="1093"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expressly provided herein, all terms and provisions of the Plan shall remain in full force and effect. [</w:t>
      </w:r>
      <w:r>
        <w:rPr>
          <w:rFonts w:ascii="Times New Roman" w:cs="Times New Roman" w:eastAsia="Times New Roman" w:hAnsi="Times New Roman"/>
          <w:sz w:val="15"/>
          <w:szCs w:val="15"/>
          <w:i w:val="1"/>
          <w:iCs w:val="1"/>
          <w:color w:val="auto"/>
        </w:rPr>
        <w:t>Signature Page Follows</w:t>
      </w:r>
      <w:r>
        <w:rPr>
          <w:rFonts w:ascii="Times New Roman" w:cs="Times New Roman" w:eastAsia="Times New Roman" w:hAnsi="Times New Roman"/>
          <w:sz w:val="15"/>
          <w:szCs w:val="15"/>
          <w:color w:val="auto"/>
        </w:rPr>
        <w:t>]</w:t>
      </w:r>
    </w:p>
    <w:p>
      <w:pPr>
        <w:spacing w:after="0" w:line="26" w:lineRule="exact"/>
        <w:rPr>
          <w:rFonts w:ascii="Times New Roman" w:cs="Times New Roman" w:eastAsia="Times New Roman" w:hAnsi="Times New Roman"/>
          <w:sz w:val="15"/>
          <w:szCs w:val="15"/>
          <w:color w:val="auto"/>
        </w:rPr>
      </w:pPr>
    </w:p>
    <w:p>
      <w:pPr>
        <w:ind w:left="44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252095</wp:posOffset>
            </wp:positionV>
            <wp:extent cx="5485130" cy="177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30">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25" w:name="page226"/>
    <w:bookmarkEnd w:id="225"/>
    <w:p>
      <w:pPr>
        <w:ind w:left="180" w:right="199" w:firstLine="456"/>
        <w:spacing w:after="0" w:line="274" w:lineRule="auto"/>
        <w:rPr>
          <w:sz w:val="20"/>
          <w:szCs w:val="20"/>
          <w:color w:val="auto"/>
        </w:rPr>
      </w:pPr>
      <w:r>
        <w:rPr>
          <w:rFonts w:ascii="Times New Roman" w:cs="Times New Roman" w:eastAsia="Times New Roman" w:hAnsi="Times New Roman"/>
          <w:sz w:val="15"/>
          <w:szCs w:val="15"/>
          <w:color w:val="auto"/>
        </w:rPr>
        <w:t>I hereby certify that the foregoing Sixth Amendment was duly adopted by the Board of Directors of Digital Realty Trust, Inc. on November 11, 2020.</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Executed on this 11th day of November, 2020.</w:t>
      </w:r>
    </w:p>
    <w:p>
      <w:pPr>
        <w:spacing w:after="0" w:line="34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5"/>
          <w:szCs w:val="15"/>
          <w:color w:val="auto"/>
        </w:rPr>
        <w:t>/s/ Joshua A.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-6985</wp:posOffset>
            </wp:positionV>
            <wp:extent cx="173609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31">
                      <a:extLst>
                        <a:ext uri="{28A0092B-C50C-407E-A947-70E740481C1C}"/>
                      </a:extLst>
                    </a:blip>
                    <a:srcRect/>
                    <a:stretch>
                      <a:fillRect/>
                    </a:stretch>
                  </pic:blipFill>
                  <pic:spPr bwMode="auto">
                    <a:xfrm>
                      <a:off x="0" y="0"/>
                      <a:ext cx="1736090" cy="571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15"/>
          <w:szCs w:val="15"/>
          <w:color w:val="auto"/>
        </w:rPr>
        <w:t>Joshua A. Mills</w:t>
      </w:r>
    </w:p>
    <w:p>
      <w:pPr>
        <w:ind w:left="3380"/>
        <w:spacing w:after="0"/>
        <w:rPr>
          <w:sz w:val="20"/>
          <w:szCs w:val="20"/>
          <w:color w:val="auto"/>
        </w:rPr>
      </w:pPr>
      <w:r>
        <w:rPr>
          <w:rFonts w:ascii="Times New Roman" w:cs="Times New Roman" w:eastAsia="Times New Roman" w:hAnsi="Times New Roman"/>
          <w:sz w:val="15"/>
          <w:szCs w:val="15"/>
          <w:color w:val="auto"/>
        </w:rPr>
        <w:t>Executive Vice President, General Counsel and Secretary</w:t>
      </w:r>
    </w:p>
    <w:p>
      <w:pPr>
        <w:spacing w:after="0" w:line="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252095</wp:posOffset>
            </wp:positionV>
            <wp:extent cx="5485130" cy="177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2">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26" w:name="page227"/>
    <w:bookmarkEnd w:id="226"/>
    <w:p>
      <w:pPr>
        <w:ind w:left="5200"/>
        <w:spacing w:after="0"/>
        <w:rPr>
          <w:sz w:val="20"/>
          <w:szCs w:val="20"/>
          <w:color w:val="auto"/>
        </w:rPr>
      </w:pPr>
      <w:r>
        <w:rPr>
          <w:rFonts w:ascii="Times New Roman" w:cs="Times New Roman" w:eastAsia="Times New Roman" w:hAnsi="Times New Roman"/>
          <w:sz w:val="15"/>
          <w:szCs w:val="15"/>
          <w:b w:val="1"/>
          <w:bCs w:val="1"/>
          <w:color w:val="auto"/>
        </w:rPr>
        <w:t>Exhibit 10.59</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INDEMNIFICATION AGREEMENT</w:t>
      </w:r>
    </w:p>
    <w:p>
      <w:pPr>
        <w:spacing w:after="0" w:line="3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THIS INDEMNIFICATION AGREEMENT (“Agreement”) is made and entered into as of the _____ day of _______________, 2021</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(the “Effective Date”), by and between Digital Realty Trust, Inc., a Maryland corporation (the “Company”), and</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_________________________ (“Indemnitee”).</w:t>
      </w:r>
    </w:p>
    <w:p>
      <w:pPr>
        <w:spacing w:after="0" w:line="144" w:lineRule="exact"/>
        <w:rPr>
          <w:sz w:val="20"/>
          <w:szCs w:val="20"/>
          <w:color w:val="auto"/>
        </w:rPr>
      </w:pPr>
    </w:p>
    <w:p>
      <w:pPr>
        <w:ind w:left="640" w:right="299"/>
        <w:spacing w:after="0" w:line="462" w:lineRule="auto"/>
        <w:rPr>
          <w:sz w:val="20"/>
          <w:szCs w:val="20"/>
          <w:color w:val="auto"/>
        </w:rPr>
      </w:pPr>
      <w:r>
        <w:rPr>
          <w:rFonts w:ascii="Times New Roman" w:cs="Times New Roman" w:eastAsia="Times New Roman" w:hAnsi="Times New Roman"/>
          <w:sz w:val="15"/>
          <w:szCs w:val="15"/>
          <w:color w:val="auto"/>
        </w:rPr>
        <w:t>WHEREAS, it is essential that the Company be able to retain and attract as directors and officers the most capable persons available; WHEREAS, the Company’s Bylaws (the “Bylaws”) permit it to enter into indemnification arrangements and agreements;</w:t>
      </w:r>
    </w:p>
    <w:p>
      <w:pPr>
        <w:ind w:left="180" w:right="199" w:firstLine="456"/>
        <w:spacing w:after="0" w:line="268" w:lineRule="auto"/>
        <w:rPr>
          <w:sz w:val="20"/>
          <w:szCs w:val="20"/>
          <w:color w:val="auto"/>
        </w:rPr>
      </w:pPr>
      <w:r>
        <w:rPr>
          <w:rFonts w:ascii="Times New Roman" w:cs="Times New Roman" w:eastAsia="Times New Roman" w:hAnsi="Times New Roman"/>
          <w:sz w:val="15"/>
          <w:szCs w:val="15"/>
          <w:color w:val="auto"/>
        </w:rPr>
        <w:t>WHEREAS, at the request of the Company, Indemnitee currently serves as a director, officer, employee or agent of the Company or as a director, trustee, officer, partner, manager, managing member, fiduciary, employee or agent of another Entity (as defined herein) and may, therefore, be subjected to claims, suits or proceedings arising as a result of such service;</w:t>
      </w:r>
    </w:p>
    <w:p>
      <w:pPr>
        <w:spacing w:after="0" w:line="115" w:lineRule="exact"/>
        <w:rPr>
          <w:sz w:val="20"/>
          <w:szCs w:val="20"/>
          <w:color w:val="auto"/>
        </w:rPr>
      </w:pPr>
    </w:p>
    <w:p>
      <w:pPr>
        <w:ind w:left="180" w:right="359" w:firstLine="456"/>
        <w:spacing w:after="0" w:line="259" w:lineRule="auto"/>
        <w:rPr>
          <w:sz w:val="20"/>
          <w:szCs w:val="20"/>
          <w:color w:val="auto"/>
        </w:rPr>
      </w:pPr>
      <w:r>
        <w:rPr>
          <w:rFonts w:ascii="Times New Roman" w:cs="Times New Roman" w:eastAsia="Times New Roman" w:hAnsi="Times New Roman"/>
          <w:sz w:val="15"/>
          <w:szCs w:val="15"/>
          <w:color w:val="auto"/>
        </w:rPr>
        <w:t>WHEREAS, as an inducement to Indemnitee to serve or continue to serve in such capacity, the Company desires to provide Indemnitee with specific contractual assurances of Indemnitee’s rights to indemnification and advance of expenses and costs incurred by Indemnitee in connection with any such claims, suits or proceedings (regardless, among other things, of any amendment to or revocation of the Bylaws or any change in the ownership of the Company or the composition of its Board of Directors) and, to the extent insurance is available, the coverage of Indemnitee under the Company’s directors and officers liability insurance policies;</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WHEREAS, the parties by this Agreement desire to set forth their agreement regarding indemnification and advance of expenses; and</w:t>
      </w:r>
    </w:p>
    <w:p>
      <w:pPr>
        <w:spacing w:after="0" w:line="160" w:lineRule="exact"/>
        <w:rPr>
          <w:sz w:val="20"/>
          <w:szCs w:val="20"/>
          <w:color w:val="auto"/>
        </w:rPr>
      </w:pPr>
    </w:p>
    <w:p>
      <w:pPr>
        <w:ind w:left="180" w:right="419" w:firstLine="456"/>
        <w:spacing w:after="0" w:line="285" w:lineRule="auto"/>
        <w:rPr>
          <w:sz w:val="20"/>
          <w:szCs w:val="20"/>
          <w:color w:val="auto"/>
        </w:rPr>
      </w:pPr>
      <w:r>
        <w:rPr>
          <w:rFonts w:ascii="Times New Roman" w:cs="Times New Roman" w:eastAsia="Times New Roman" w:hAnsi="Times New Roman"/>
          <w:sz w:val="15"/>
          <w:szCs w:val="15"/>
          <w:color w:val="auto"/>
        </w:rPr>
        <w:t>WHEREAS, Indemnitee is relying upon the rights afforded under this Agreement in serving or continuing to serve in the foregoing capacity;</w:t>
      </w:r>
    </w:p>
    <w:p>
      <w:pPr>
        <w:spacing w:after="0" w:line="103" w:lineRule="exact"/>
        <w:rPr>
          <w:sz w:val="20"/>
          <w:szCs w:val="20"/>
          <w:color w:val="auto"/>
        </w:rPr>
      </w:pPr>
    </w:p>
    <w:p>
      <w:pPr>
        <w:ind w:left="180" w:right="379" w:firstLine="456"/>
        <w:spacing w:after="0" w:line="285" w:lineRule="auto"/>
        <w:rPr>
          <w:sz w:val="20"/>
          <w:szCs w:val="20"/>
          <w:color w:val="auto"/>
        </w:rPr>
      </w:pPr>
      <w:r>
        <w:rPr>
          <w:rFonts w:ascii="Times New Roman" w:cs="Times New Roman" w:eastAsia="Times New Roman" w:hAnsi="Times New Roman"/>
          <w:sz w:val="15"/>
          <w:szCs w:val="15"/>
          <w:color w:val="auto"/>
        </w:rPr>
        <w:t>NOW, THEREFORE, in consideration of the premises and the covenants contained herein, the Company and Indemnitee do hereby covenant and agree as follows:</w:t>
      </w:r>
    </w:p>
    <w:p>
      <w:pPr>
        <w:spacing w:after="0" w:line="103"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15"/>
          <w:szCs w:val="15"/>
          <w:color w:val="auto"/>
        </w:rPr>
        <w:t>Section 1.</w:t>
      </w:r>
      <w:r>
        <w:rPr>
          <w:sz w:val="20"/>
          <w:szCs w:val="20"/>
          <w:color w:val="auto"/>
        </w:rPr>
        <w:tab/>
      </w: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For purposes of this Agreement:</w:t>
      </w:r>
    </w:p>
    <w:p>
      <w:pPr>
        <w:spacing w:after="0" w:line="160" w:lineRule="exact"/>
        <w:rPr>
          <w:sz w:val="20"/>
          <w:szCs w:val="20"/>
          <w:color w:val="auto"/>
        </w:rPr>
      </w:pPr>
    </w:p>
    <w:p>
      <w:pPr>
        <w:ind w:left="180" w:right="519" w:firstLine="916"/>
        <w:spacing w:after="0" w:line="259" w:lineRule="auto"/>
        <w:tabs>
          <w:tab w:leader="none" w:pos="1547"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in Control” means a change in control of the Company occurring after the Effective Date of a nature that would be required to be reported in response to Item 6(e) of Schedule 14A of Regulation 14A (or in response to any similar item on any similar schedule or form) promulgated under the Securities Exchange Act of 1934, as amended (the “Exchange Act”), whether or not the Company is then subject to such reporting requirement; provided, however, that, without limitation, such a Change in Control shall be deemed to have occurred if, after the Effective Date, (i) any “person” (as such term is used in Sections 13(d)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228600</wp:posOffset>
            </wp:positionV>
            <wp:extent cx="5485130" cy="177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33">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27" w:name="page228"/>
    <w:bookmarkEnd w:id="227"/>
    <w:p>
      <w:pPr>
        <w:ind w:left="180" w:right="219"/>
        <w:spacing w:after="0" w:line="254" w:lineRule="auto"/>
        <w:rPr>
          <w:sz w:val="20"/>
          <w:szCs w:val="20"/>
          <w:color w:val="auto"/>
        </w:rPr>
      </w:pPr>
      <w:r>
        <w:rPr>
          <w:rFonts w:ascii="Times New Roman" w:cs="Times New Roman" w:eastAsia="Times New Roman" w:hAnsi="Times New Roman"/>
          <w:sz w:val="15"/>
          <w:szCs w:val="15"/>
          <w:color w:val="auto"/>
        </w:rPr>
        <w:t>14(d) of the Exchange Act) is or becomes the “beneficial owner” (as defined in Rule 13d-3 under the Exchange Act), directly or indirectly, of securities of the Company representing 15% or more of the combined voting power of all of the Company’s then-outstanding securities entitled to vote generally in the election of directors without the prior approval of at least two-thirds of the members of the Board of Directors in office immediately prior to such person’s attaining such percentage interest; (ii) the Company is a party to a merger, consolidation, sale of assets, plan of liquidation or other reorganization not approved by at least two-thirds of the members of the Board of Directors then in office, as a consequence of which members of the Board of Directors in office immediately prior to such transaction or event constitute less than a majority of the Board of Directors thereafter; or (iii) at any time, a majority of the members of the Board of Directors are not individuals (A) who were directors as of the Effective Date or (B) whose election by the Board of Directors or nomination for election by the Company’s stockholders was approved by the affirmative vote of at least two-thirds of the directors then in office who were directors as of the Effective Date or whose election or nomination for election was previously so approved.</w:t>
      </w:r>
    </w:p>
    <w:p>
      <w:pPr>
        <w:spacing w:after="0" w:line="130" w:lineRule="exact"/>
        <w:rPr>
          <w:sz w:val="20"/>
          <w:szCs w:val="20"/>
          <w:color w:val="auto"/>
        </w:rPr>
      </w:pPr>
    </w:p>
    <w:p>
      <w:pPr>
        <w:ind w:left="180" w:right="199" w:firstLine="916"/>
        <w:spacing w:after="0" w:line="255" w:lineRule="auto"/>
        <w:tabs>
          <w:tab w:leader="none" w:pos="1547"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 Status” means the status of a person as a present or former director, officer, employee or agent of the Company or as a director, trustee, officer, partner, manager, managing member, fiduciary, employee or agent of any other foreign or domestic Entity that such person is or was serving in such capacity at the request of the Company. As a clarification and without limiting the circumstances in which Indemnitee may be serving at the request of the Company, service by Indemnitee shall be deemed to be at the request of the Company: (i) if Indemnitee serves or served as a director, trustee, officer, partner, manager, managing member, fiduciary, employee or agent of any Entity (1) of which a majority of the voting power or equity interest is or was owned directly or indirectly by the Company or (2) the management of which is controlled directly or indirectly by the Company or (ii) if, as a result of Indemnitee’s service to the Company or any of its affiliated Entities, Indemnitee is subject to duties by, or required to perform services for, an employee benefit plan or its participants or beneficiaries, including as a deemed fiduciary thereof.</w:t>
      </w:r>
    </w:p>
    <w:p>
      <w:pPr>
        <w:spacing w:after="0" w:line="125" w:lineRule="exact"/>
        <w:rPr>
          <w:rFonts w:ascii="Times New Roman" w:cs="Times New Roman" w:eastAsia="Times New Roman" w:hAnsi="Times New Roman"/>
          <w:sz w:val="15"/>
          <w:szCs w:val="15"/>
          <w:color w:val="auto"/>
        </w:rPr>
      </w:pPr>
    </w:p>
    <w:p>
      <w:pPr>
        <w:ind w:left="180" w:right="319" w:firstLine="916"/>
        <w:spacing w:after="0" w:line="285" w:lineRule="auto"/>
        <w:tabs>
          <w:tab w:leader="none" w:pos="1547"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“Disinterested Director” means a director of the Company who is not and was not a party to the Proceeding in respect of which indemnification and/or advance of Expenses is sought by Indemnitee.</w:t>
      </w:r>
    </w:p>
    <w:p>
      <w:pPr>
        <w:spacing w:after="0" w:line="102" w:lineRule="exact"/>
        <w:rPr>
          <w:rFonts w:ascii="Times New Roman" w:cs="Times New Roman" w:eastAsia="Times New Roman" w:hAnsi="Times New Roman"/>
          <w:sz w:val="15"/>
          <w:szCs w:val="15"/>
          <w:color w:val="auto"/>
        </w:rPr>
      </w:pPr>
    </w:p>
    <w:p>
      <w:pPr>
        <w:ind w:left="180" w:right="419" w:firstLine="916"/>
        <w:spacing w:after="0" w:line="285" w:lineRule="auto"/>
        <w:tabs>
          <w:tab w:leader="none" w:pos="1585"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“Entity” means any corporation, partnership, limited liability company, joint venture, trust, foundation, association, organization, employee benefit plan or other enterprise and any group or division of the Company or any of its subsidiaries.</w:t>
      </w:r>
    </w:p>
    <w:p>
      <w:pPr>
        <w:spacing w:after="0" w:line="102" w:lineRule="exact"/>
        <w:rPr>
          <w:rFonts w:ascii="Times New Roman" w:cs="Times New Roman" w:eastAsia="Times New Roman" w:hAnsi="Times New Roman"/>
          <w:sz w:val="15"/>
          <w:szCs w:val="15"/>
          <w:color w:val="auto"/>
        </w:rPr>
      </w:pPr>
    </w:p>
    <w:p>
      <w:pPr>
        <w:ind w:left="180" w:right="259" w:firstLine="916"/>
        <w:spacing w:after="0" w:line="257" w:lineRule="auto"/>
        <w:tabs>
          <w:tab w:leader="none" w:pos="1547"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means any and all reasonable and out-of-pocket attorneys’ fees and costs, retainers, court costs, arbitration and mediation costs, transcript costs, fees of experts, witness fees, travel expenses, duplicating costs, printing and binding costs, telephone charges, postage, delivery service fees, federal, state, local or foreign taxes imposed on Indemnitee as a result of the actual or deemed receipt of any payments under this Agreement, ERISA excise taxes and penalties and any other disbursements or expenses incurred in connection with prosecuting, defending, preparing to prosecute or defend, investigating, being or preparing to be a witness in or otherwise participating in a Proceeding. Expenses shall also include Expenses incurred in connection with any appeal resulting from any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230505</wp:posOffset>
            </wp:positionV>
            <wp:extent cx="5485130" cy="177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34">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28" w:name="page229"/>
    <w:bookmarkEnd w:id="228"/>
    <w:p>
      <w:pPr>
        <w:ind w:left="180" w:right="339"/>
        <w:spacing w:after="0" w:line="285" w:lineRule="auto"/>
        <w:rPr>
          <w:sz w:val="20"/>
          <w:szCs w:val="20"/>
          <w:color w:val="auto"/>
        </w:rPr>
      </w:pPr>
      <w:r>
        <w:rPr>
          <w:rFonts w:ascii="Times New Roman" w:cs="Times New Roman" w:eastAsia="Times New Roman" w:hAnsi="Times New Roman"/>
          <w:sz w:val="15"/>
          <w:szCs w:val="15"/>
          <w:color w:val="auto"/>
        </w:rPr>
        <w:t>including, without limitation, the premium for, security for and other costs relating to any cost bond, supersedeas bond or other appeal bond or its equivalent.</w:t>
      </w:r>
    </w:p>
    <w:p>
      <w:pPr>
        <w:spacing w:after="0" w:line="103" w:lineRule="exact"/>
        <w:rPr>
          <w:sz w:val="20"/>
          <w:szCs w:val="20"/>
          <w:color w:val="auto"/>
        </w:rPr>
      </w:pPr>
    </w:p>
    <w:p>
      <w:pPr>
        <w:ind w:left="180" w:right="259" w:firstLine="916"/>
        <w:spacing w:after="0" w:line="256" w:lineRule="auto"/>
        <w:tabs>
          <w:tab w:leader="none" w:pos="1547"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“Independent Counsel” means a law firm, or a member of a law firm, that is experienced in matters of corporation law and neither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or participant or witness in the Proceeding giving rise to a claim for indemnification or advance of Expenses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26" w:lineRule="exact"/>
        <w:rPr>
          <w:rFonts w:ascii="Times New Roman" w:cs="Times New Roman" w:eastAsia="Times New Roman" w:hAnsi="Times New Roman"/>
          <w:sz w:val="15"/>
          <w:szCs w:val="15"/>
          <w:color w:val="auto"/>
        </w:rPr>
      </w:pPr>
    </w:p>
    <w:p>
      <w:pPr>
        <w:ind w:left="180" w:right="259" w:firstLine="916"/>
        <w:spacing w:after="0" w:line="256" w:lineRule="auto"/>
        <w:tabs>
          <w:tab w:leader="none" w:pos="1547"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“Proceeding” means any threatened, pending or completed action, suit, arbitration, alternate dispute resolution mechanism, investigation, inquiry, administrative hearing, claim, demand or discovery request or any other actual, threatened or completed proceeding, whether brought by or in the right of the Company or otherwise and whether of a civil (including intentional or unintentional tort claims), criminal, administrative or investigative (formal or informal) nature, including any appeal therefrom, except one pending or completed on or before the Effective Date, unless otherwise specifically agreed in writing by the Company and Indemnitee. If Indemnitee reasonably believes that a given situation may lead to or culminate in the institution of a Proceeding, such situation shall also be considered a Proceeding.</w:t>
      </w:r>
    </w:p>
    <w:p>
      <w:pPr>
        <w:spacing w:after="0" w:line="126" w:lineRule="exact"/>
        <w:rPr>
          <w:sz w:val="20"/>
          <w:szCs w:val="20"/>
          <w:color w:val="auto"/>
        </w:rPr>
      </w:pPr>
    </w:p>
    <w:p>
      <w:pPr>
        <w:ind w:left="180" w:right="239" w:firstLine="456"/>
        <w:spacing w:after="0" w:line="257" w:lineRule="auto"/>
        <w:rPr>
          <w:sz w:val="20"/>
          <w:szCs w:val="20"/>
          <w:color w:val="auto"/>
        </w:rPr>
      </w:pPr>
      <w:r>
        <w:rPr>
          <w:rFonts w:ascii="Times New Roman" w:cs="Times New Roman" w:eastAsia="Times New Roman" w:hAnsi="Times New Roman"/>
          <w:sz w:val="15"/>
          <w:szCs w:val="15"/>
          <w:color w:val="auto"/>
        </w:rPr>
        <w:t xml:space="preserve">Section 2. </w:t>
      </w:r>
      <w:r>
        <w:rPr>
          <w:rFonts w:ascii="Times New Roman" w:cs="Times New Roman" w:eastAsia="Times New Roman" w:hAnsi="Times New Roman"/>
          <w:sz w:val="15"/>
          <w:szCs w:val="15"/>
          <w:u w:val="single" w:color="auto"/>
          <w:color w:val="auto"/>
        </w:rPr>
        <w:t>Services by Indemnitee</w:t>
      </w:r>
      <w:r>
        <w:rPr>
          <w:rFonts w:ascii="Times New Roman" w:cs="Times New Roman" w:eastAsia="Times New Roman" w:hAnsi="Times New Roman"/>
          <w:sz w:val="15"/>
          <w:szCs w:val="15"/>
          <w:color w:val="auto"/>
        </w:rPr>
        <w:t>. In consideration of the Company’s covenants and commitments hereunder, Indemnitee agrees to serve as a director, officer, employee or agent of the Company or as a director, trustee, officer, partner, manager, managing member, fiduciary, employee or agent of another Entity. However, this Agreement shall not impose any independent obligation on Indemnitee or the Company to continue Indemnitee’s service to the Company or such other Entity beyond any period otherwise required by law or by other agreements or commitments of the parties, if any. This Agreement shall not be deemed an employment contract between the Company (or any other Entity) and Indemnitee.</w:t>
      </w:r>
    </w:p>
    <w:p>
      <w:pPr>
        <w:spacing w:after="0" w:line="126"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15"/>
          <w:szCs w:val="15"/>
          <w:color w:val="auto"/>
        </w:rPr>
        <w:t>Section 3.</w:t>
      </w:r>
      <w:r>
        <w:rPr>
          <w:sz w:val="20"/>
          <w:szCs w:val="20"/>
          <w:color w:val="auto"/>
        </w:rPr>
        <w:tab/>
      </w: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The Company shall indemnify, and advance Expenses to, Indemnitee (a) as provided in this Agreement and</w:t>
      </w:r>
    </w:p>
    <w:p>
      <w:pPr>
        <w:spacing w:after="0" w:line="24" w:lineRule="exact"/>
        <w:rPr>
          <w:sz w:val="20"/>
          <w:szCs w:val="20"/>
          <w:color w:val="auto"/>
        </w:rPr>
      </w:pPr>
    </w:p>
    <w:p>
      <w:pPr>
        <w:ind w:left="180" w:right="199" w:firstLine="4"/>
        <w:spacing w:after="0" w:line="254" w:lineRule="auto"/>
        <w:tabs>
          <w:tab w:leader="none" w:pos="395"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otherwise to the maximum extent permitted by Maryland law in effect on the Effective Date and as amended from time to time; provided, however, that no change in Maryland law shall have the effect of reducing the benefits available to Indemnitee hereunder based on Maryland law as in effect on the Effective Date. The rights of Indemnitee provided in this Section 3 shall include, without limitation, the rights set forth in the other sections of this Agreement, including any additional indemnification permitted by Section 2-418(g) of the Maryland General Corporation Law (the “MGCL”).</w:t>
      </w:r>
    </w:p>
    <w:p>
      <w:pPr>
        <w:spacing w:after="0" w:line="125" w:lineRule="exact"/>
        <w:rPr>
          <w:sz w:val="20"/>
          <w:szCs w:val="20"/>
          <w:color w:val="auto"/>
        </w:rPr>
      </w:pPr>
    </w:p>
    <w:p>
      <w:pPr>
        <w:ind w:left="180" w:right="419" w:firstLine="456"/>
        <w:spacing w:after="0" w:line="262" w:lineRule="auto"/>
        <w:rPr>
          <w:sz w:val="20"/>
          <w:szCs w:val="20"/>
          <w:color w:val="auto"/>
        </w:rPr>
      </w:pPr>
      <w:r>
        <w:rPr>
          <w:rFonts w:ascii="Times New Roman" w:cs="Times New Roman" w:eastAsia="Times New Roman" w:hAnsi="Times New Roman"/>
          <w:sz w:val="15"/>
          <w:szCs w:val="15"/>
          <w:color w:val="auto"/>
        </w:rPr>
        <w:t xml:space="preserve">Section 4. </w:t>
      </w:r>
      <w:r>
        <w:rPr>
          <w:rFonts w:ascii="Times New Roman" w:cs="Times New Roman" w:eastAsia="Times New Roman" w:hAnsi="Times New Roman"/>
          <w:sz w:val="15"/>
          <w:szCs w:val="15"/>
          <w:u w:val="single" w:color="auto"/>
          <w:color w:val="auto"/>
        </w:rPr>
        <w:t>Standard for Indemnification</w:t>
      </w:r>
      <w:r>
        <w:rPr>
          <w:rFonts w:ascii="Times New Roman" w:cs="Times New Roman" w:eastAsia="Times New Roman" w:hAnsi="Times New Roman"/>
          <w:sz w:val="15"/>
          <w:szCs w:val="15"/>
          <w:color w:val="auto"/>
        </w:rPr>
        <w:t>. If, by reason of Indemnitee’s Corporate Status, Indemnitee is, or is threatened to be, made a party to any Proceeding, the Company shall indemnify Indemnitee against all judgments, penalties, fines and amounts paid in settlement and all Expenses actually and reasonably incurred by Indemnitee or on Indemnitee’s behalf in connection with any such Proceeding unless it is established by clear and convincing evidence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226695</wp:posOffset>
            </wp:positionV>
            <wp:extent cx="5485130" cy="177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35">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29" w:name="page230"/>
    <w:bookmarkEnd w:id="229"/>
    <w:p>
      <w:pPr>
        <w:ind w:left="180"/>
        <w:spacing w:after="0"/>
        <w:rPr>
          <w:sz w:val="20"/>
          <w:szCs w:val="20"/>
          <w:color w:val="auto"/>
        </w:rPr>
      </w:pPr>
      <w:r>
        <w:rPr>
          <w:rFonts w:ascii="Times New Roman" w:cs="Times New Roman" w:eastAsia="Times New Roman" w:hAnsi="Times New Roman"/>
          <w:sz w:val="15"/>
          <w:szCs w:val="15"/>
          <w:color w:val="auto"/>
        </w:rPr>
        <w:t>that (a) the act or omission of Indemnitee was material to the matter giving rise to the Proceeding and (i) was committed in bad faith or</w:t>
      </w:r>
    </w:p>
    <w:p>
      <w:pPr>
        <w:spacing w:after="0" w:line="24" w:lineRule="exact"/>
        <w:rPr>
          <w:sz w:val="20"/>
          <w:szCs w:val="20"/>
          <w:color w:val="auto"/>
        </w:rPr>
      </w:pPr>
    </w:p>
    <w:p>
      <w:pPr>
        <w:ind w:left="180" w:right="399" w:firstLine="4"/>
        <w:spacing w:after="0" w:line="263" w:lineRule="auto"/>
        <w:tabs>
          <w:tab w:leader="none" w:pos="403"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was the result of active and deliberate dishonesty, (b) Indemnitee actually received an improper personal benefit in money, property or services or (c) in the case of any criminal Proceeding, Indemnitee had reasonable cause to believe that Indemnitee’s conduct was unlawful.</w:t>
      </w:r>
    </w:p>
    <w:p>
      <w:pPr>
        <w:spacing w:after="0" w:line="119"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15"/>
          <w:szCs w:val="15"/>
          <w:color w:val="auto"/>
        </w:rPr>
        <w:t>Section 5.</w:t>
      </w:r>
      <w:r>
        <w:rPr>
          <w:sz w:val="20"/>
          <w:szCs w:val="20"/>
          <w:color w:val="auto"/>
        </w:rPr>
        <w:tab/>
      </w:r>
      <w:r>
        <w:rPr>
          <w:rFonts w:ascii="Times New Roman" w:cs="Times New Roman" w:eastAsia="Times New Roman" w:hAnsi="Times New Roman"/>
          <w:sz w:val="15"/>
          <w:szCs w:val="15"/>
          <w:u w:val="single" w:color="auto"/>
          <w:color w:val="auto"/>
        </w:rPr>
        <w:t>Certain Limits on Indemnification</w:t>
      </w:r>
      <w:r>
        <w:rPr>
          <w:rFonts w:ascii="Times New Roman" w:cs="Times New Roman" w:eastAsia="Times New Roman" w:hAnsi="Times New Roman"/>
          <w:sz w:val="15"/>
          <w:szCs w:val="15"/>
          <w:color w:val="auto"/>
        </w:rPr>
        <w:t>. Notwithstanding any other provision of this Agreement (other than Section 6),</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Indemnitee shall not be entitled to:</w:t>
      </w:r>
    </w:p>
    <w:p>
      <w:pPr>
        <w:spacing w:after="0" w:line="144" w:lineRule="exact"/>
        <w:rPr>
          <w:sz w:val="20"/>
          <w:szCs w:val="20"/>
          <w:color w:val="auto"/>
        </w:rPr>
      </w:pPr>
    </w:p>
    <w:p>
      <w:pPr>
        <w:ind w:left="180" w:right="279" w:firstLine="916"/>
        <w:spacing w:after="0" w:line="285" w:lineRule="auto"/>
        <w:tabs>
          <w:tab w:leader="none" w:pos="1547"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indemnification hereunder if the Proceeding was one by or in the right of the Company and Indemnitee is adjudged, in a final adjudication of the Proceeding not subject to further appeal, to be liable to the Company;</w:t>
      </w:r>
    </w:p>
    <w:p>
      <w:pPr>
        <w:spacing w:after="0" w:line="102" w:lineRule="exact"/>
        <w:rPr>
          <w:rFonts w:ascii="Times New Roman" w:cs="Times New Roman" w:eastAsia="Times New Roman" w:hAnsi="Times New Roman"/>
          <w:sz w:val="15"/>
          <w:szCs w:val="15"/>
          <w:color w:val="auto"/>
        </w:rPr>
      </w:pPr>
    </w:p>
    <w:p>
      <w:pPr>
        <w:ind w:left="180" w:right="459" w:firstLine="916"/>
        <w:spacing w:after="0" w:line="268" w:lineRule="auto"/>
        <w:tabs>
          <w:tab w:leader="none" w:pos="1547"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indemnification hereunder if Indemnitee is adjudged, in a final adjudication of the Proceeding not subject to further appeal, to be liable on the basis that personal benefit was improperly received in any Proceeding charging improper personal benefit to Indemnitee, whether or not involving action in Indemnitee’s Corporate Status; or</w:t>
      </w:r>
    </w:p>
    <w:p>
      <w:pPr>
        <w:spacing w:after="0" w:line="115" w:lineRule="exact"/>
        <w:rPr>
          <w:rFonts w:ascii="Times New Roman" w:cs="Times New Roman" w:eastAsia="Times New Roman" w:hAnsi="Times New Roman"/>
          <w:sz w:val="15"/>
          <w:szCs w:val="15"/>
          <w:color w:val="auto"/>
        </w:rPr>
      </w:pPr>
    </w:p>
    <w:p>
      <w:pPr>
        <w:ind w:left="180" w:right="199" w:firstLine="916"/>
        <w:spacing w:after="0" w:line="259" w:lineRule="auto"/>
        <w:tabs>
          <w:tab w:leader="none" w:pos="1547"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indemnification or advance of Expenses hereunder if the Proceeding was brought by Indemnitee, unless: (i) the Proceeding was brought to enforce indemnification under this Agreement, and then only to the extent in accordance with and as authorized by Section 12 of this Agreement, or (ii) the Company’s charter (the “Charter”), the Bylaws, a resolution of the stockholders entitled to vote generally in the election of directors or of the Board of Directors or an agreement approved by the Board of Directors to which the Company is a party expressly provide otherwise.</w:t>
      </w:r>
    </w:p>
    <w:p>
      <w:pPr>
        <w:spacing w:after="0" w:line="123" w:lineRule="exact"/>
        <w:rPr>
          <w:sz w:val="20"/>
          <w:szCs w:val="20"/>
          <w:color w:val="auto"/>
        </w:rPr>
      </w:pPr>
    </w:p>
    <w:p>
      <w:pPr>
        <w:jc w:val="both"/>
        <w:ind w:left="180" w:right="619" w:firstLine="456"/>
        <w:spacing w:after="0" w:line="268" w:lineRule="auto"/>
        <w:rPr>
          <w:sz w:val="20"/>
          <w:szCs w:val="20"/>
          <w:color w:val="auto"/>
        </w:rPr>
      </w:pPr>
      <w:r>
        <w:rPr>
          <w:rFonts w:ascii="Times New Roman" w:cs="Times New Roman" w:eastAsia="Times New Roman" w:hAnsi="Times New Roman"/>
          <w:sz w:val="15"/>
          <w:szCs w:val="15"/>
          <w:color w:val="auto"/>
        </w:rPr>
        <w:t xml:space="preserve">Section 6. </w:t>
      </w:r>
      <w:r>
        <w:rPr>
          <w:rFonts w:ascii="Times New Roman" w:cs="Times New Roman" w:eastAsia="Times New Roman" w:hAnsi="Times New Roman"/>
          <w:sz w:val="15"/>
          <w:szCs w:val="15"/>
          <w:u w:val="single" w:color="auto"/>
          <w:color w:val="auto"/>
        </w:rPr>
        <w:t>Court-Ordered Indemnification</w:t>
      </w:r>
      <w:r>
        <w:rPr>
          <w:rFonts w:ascii="Times New Roman" w:cs="Times New Roman" w:eastAsia="Times New Roman" w:hAnsi="Times New Roman"/>
          <w:sz w:val="15"/>
          <w:szCs w:val="15"/>
          <w:color w:val="auto"/>
        </w:rPr>
        <w:t>. Notwithstanding any other provision of this Agreement, a court of appropriate jurisdiction, upon application of Indemnitee and such notice as the court shall require, may order indemnification of Indemnitee by the Company in the following circumstances:</w:t>
      </w:r>
    </w:p>
    <w:p>
      <w:pPr>
        <w:spacing w:after="0" w:line="115" w:lineRule="exact"/>
        <w:rPr>
          <w:sz w:val="20"/>
          <w:szCs w:val="20"/>
          <w:color w:val="auto"/>
        </w:rPr>
      </w:pPr>
    </w:p>
    <w:p>
      <w:pPr>
        <w:jc w:val="both"/>
        <w:ind w:left="180" w:right="519" w:firstLine="916"/>
        <w:spacing w:after="0" w:line="285" w:lineRule="auto"/>
        <w:tabs>
          <w:tab w:leader="none" w:pos="1547"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such court determines that Indemnitee is entitled to reimbursement under Section 2-418(d)(1) of the MGCL, the court shall order indemnification, in which case Indemnitee shall be entitled to recover the Expenses of securing such reimbursement; or</w:t>
      </w:r>
    </w:p>
    <w:p>
      <w:pPr>
        <w:spacing w:after="0" w:line="102" w:lineRule="exact"/>
        <w:rPr>
          <w:rFonts w:ascii="Times New Roman" w:cs="Times New Roman" w:eastAsia="Times New Roman" w:hAnsi="Times New Roman"/>
          <w:sz w:val="15"/>
          <w:szCs w:val="15"/>
          <w:color w:val="auto"/>
        </w:rPr>
      </w:pPr>
    </w:p>
    <w:p>
      <w:pPr>
        <w:ind w:left="180" w:right="199" w:firstLine="916"/>
        <w:spacing w:after="0" w:line="259" w:lineRule="auto"/>
        <w:tabs>
          <w:tab w:leader="none" w:pos="1547"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such court determines that Indemnitee is fairly and reasonably entitled to indemnification in view of all the relevant circumstances, whether or not Indemnitee (i) has met the standards of conduct set forth in Section 2-418(b) of the MGCL or (ii) has been adjudged liable for receipt of an improper personal benefit under Section 2-418(c) of the MGCL, the court may order such indemnification as the court shall deem proper without regard to any limitation on such court-ordered indemnification contemplated by Section 2-418(d)(2)(ii) of the MGCL.</w:t>
      </w:r>
    </w:p>
    <w:p>
      <w:pPr>
        <w:spacing w:after="0" w:line="123" w:lineRule="exact"/>
        <w:rPr>
          <w:sz w:val="20"/>
          <w:szCs w:val="20"/>
          <w:color w:val="auto"/>
        </w:rPr>
      </w:pPr>
    </w:p>
    <w:p>
      <w:pPr>
        <w:ind w:left="180" w:right="279" w:firstLine="456"/>
        <w:spacing w:after="0" w:line="262" w:lineRule="auto"/>
        <w:rPr>
          <w:sz w:val="20"/>
          <w:szCs w:val="20"/>
          <w:color w:val="auto"/>
        </w:rPr>
      </w:pPr>
      <w:r>
        <w:rPr>
          <w:rFonts w:ascii="Times New Roman" w:cs="Times New Roman" w:eastAsia="Times New Roman" w:hAnsi="Times New Roman"/>
          <w:sz w:val="15"/>
          <w:szCs w:val="15"/>
          <w:color w:val="auto"/>
        </w:rPr>
        <w:t xml:space="preserve">Section 7. </w:t>
      </w:r>
      <w:r>
        <w:rPr>
          <w:rFonts w:ascii="Times New Roman" w:cs="Times New Roman" w:eastAsia="Times New Roman" w:hAnsi="Times New Roman"/>
          <w:sz w:val="15"/>
          <w:szCs w:val="15"/>
          <w:u w:val="single" w:color="auto"/>
          <w:color w:val="auto"/>
        </w:rPr>
        <w:t>Indemnification for Expenses of an Indemnitee Who is Wholly or Partially Successful</w:t>
      </w:r>
      <w:r>
        <w:rPr>
          <w:rFonts w:ascii="Times New Roman" w:cs="Times New Roman" w:eastAsia="Times New Roman" w:hAnsi="Times New Roman"/>
          <w:sz w:val="15"/>
          <w:szCs w:val="15"/>
          <w:color w:val="auto"/>
        </w:rPr>
        <w:t>. Notwithstanding any other provision of this Agreement, and without limiting any such provision, to the extent that Indemnitee was or is, by reason of Indemnitee’s Corporate Status, made a party to (or otherwise becomes a participant in) any Proceeding and is successful, on the merits or otherwise, in the defense of such Proceeding, the Company shall indemnify Indemnitee for all Expenses actually and reasonably incurred by Indemnitee or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226695</wp:posOffset>
            </wp:positionV>
            <wp:extent cx="5485130" cy="177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6">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30" w:name="page231"/>
    <w:bookmarkEnd w:id="230"/>
    <w:p>
      <w:pPr>
        <w:ind w:left="180" w:right="259"/>
        <w:spacing w:after="0" w:line="257" w:lineRule="auto"/>
        <w:rPr>
          <w:sz w:val="20"/>
          <w:szCs w:val="20"/>
          <w:color w:val="auto"/>
        </w:rPr>
      </w:pPr>
      <w:r>
        <w:rPr>
          <w:rFonts w:ascii="Times New Roman" w:cs="Times New Roman" w:eastAsia="Times New Roman" w:hAnsi="Times New Roman"/>
          <w:sz w:val="15"/>
          <w:szCs w:val="15"/>
          <w:color w:val="auto"/>
        </w:rPr>
        <w:t>Indemnitee’s behalf in connection therewith. If Indemnitee is not wholly successful in such Proceeding but is successful, on the merits or otherwise, as to one or more but less than all claims, issues or matters in such Proceeding, the Company shall indemnify Indemnitee under this Section 7 for all Expenses actually and reasonably incurred by Indemnitee or on Indemnitee’s behalf in connection with each such claim, issue or matter, allocated on a reasonable and proportionate basis. For purposes of this Section 7, and without limitation, the termination of any claim, issue or matter in such a Proceeding by dismissal, with or without prejudice, shall be deemed to be a successful result as to such claim, issue or matter.</w:t>
      </w:r>
    </w:p>
    <w:p>
      <w:pPr>
        <w:spacing w:after="0" w:line="126" w:lineRule="exact"/>
        <w:rPr>
          <w:sz w:val="20"/>
          <w:szCs w:val="20"/>
          <w:color w:val="auto"/>
        </w:rPr>
      </w:pPr>
    </w:p>
    <w:p>
      <w:pPr>
        <w:ind w:left="180" w:right="199" w:firstLine="456"/>
        <w:spacing w:after="0" w:line="253" w:lineRule="auto"/>
        <w:rPr>
          <w:sz w:val="20"/>
          <w:szCs w:val="20"/>
          <w:color w:val="auto"/>
        </w:rPr>
      </w:pPr>
      <w:r>
        <w:rPr>
          <w:rFonts w:ascii="Times New Roman" w:cs="Times New Roman" w:eastAsia="Times New Roman" w:hAnsi="Times New Roman"/>
          <w:sz w:val="15"/>
          <w:szCs w:val="15"/>
          <w:color w:val="auto"/>
        </w:rPr>
        <w:t xml:space="preserve">Section 8. </w:t>
      </w:r>
      <w:r>
        <w:rPr>
          <w:rFonts w:ascii="Times New Roman" w:cs="Times New Roman" w:eastAsia="Times New Roman" w:hAnsi="Times New Roman"/>
          <w:sz w:val="15"/>
          <w:szCs w:val="15"/>
          <w:u w:val="single" w:color="auto"/>
          <w:color w:val="auto"/>
        </w:rPr>
        <w:t>Advance of Expenses for Indemnitee</w:t>
      </w:r>
      <w:r>
        <w:rPr>
          <w:rFonts w:ascii="Times New Roman" w:cs="Times New Roman" w:eastAsia="Times New Roman" w:hAnsi="Times New Roman"/>
          <w:sz w:val="15"/>
          <w:szCs w:val="15"/>
          <w:color w:val="auto"/>
        </w:rPr>
        <w:t xml:space="preserve">. If, by reason of Indemnitee’s Corporate Status, Indemnitee is, or is threatened to be, made a party to any Proceeding, the Company shall, without requiring a preliminary determination of Indemnitee’s ultimate entitlement to indemnification hereunder, advance all reasonable Expenses incurred by or on behalf of Indemnitee in connection with such Proceeding. The Company shall make such advance or advances within 20 days after the receipt by the Company of a statement or statements requesting such advance or advances from time to time, whether prior to or after final disposition of such Proceeding, and such advance or advances may be in the form of, in the reasonable discretion of Indemnitee (but without duplication), (a) payment of such Expenses directly to third parties on behalf of Indemnitee, (b) advance of funds to Indemnitee in an amount sufficient to pay such Expenses or (c) reimbursement to Indemnitee for Indemnitee’s payment of such Expenses. Such statement or statements shall reasonably evidence the Expenses incurred by Indemnitee and shall include or be preceded or accompanied by a written affirmation by Indemnitee and a written undertaking by or on behalf of Indemnitee, in substantially the form attached hereto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or in such form as may be required under applicable law as in effect at the time of the execution thereof. To the extent that Expenses advanced to Indemnitee do not relate to a specific claim, issue or matter in the Proceeding, such Expenses shall be allocated on a reasonable and proportionate basis. The undertaking required by this Section 8 shall be an unlimited general obligation by or on behalf of Indemnitee and shall be accepted without reference to Indemnitee’s financial ability to repay such advanced Expenses and without any requirement to post security therefor.</w:t>
      </w:r>
    </w:p>
    <w:p>
      <w:pPr>
        <w:spacing w:after="0" w:line="131" w:lineRule="exact"/>
        <w:rPr>
          <w:sz w:val="20"/>
          <w:szCs w:val="20"/>
          <w:color w:val="auto"/>
        </w:rPr>
      </w:pPr>
    </w:p>
    <w:p>
      <w:pPr>
        <w:ind w:left="180" w:right="219" w:firstLine="456"/>
        <w:spacing w:after="0" w:line="255" w:lineRule="auto"/>
        <w:rPr>
          <w:sz w:val="20"/>
          <w:szCs w:val="20"/>
          <w:color w:val="auto"/>
        </w:rPr>
      </w:pPr>
      <w:r>
        <w:rPr>
          <w:rFonts w:ascii="Times New Roman" w:cs="Times New Roman" w:eastAsia="Times New Roman" w:hAnsi="Times New Roman"/>
          <w:sz w:val="15"/>
          <w:szCs w:val="15"/>
          <w:color w:val="auto"/>
        </w:rPr>
        <w:t xml:space="preserve">Section 9. </w:t>
      </w:r>
      <w:r>
        <w:rPr>
          <w:rFonts w:ascii="Times New Roman" w:cs="Times New Roman" w:eastAsia="Times New Roman" w:hAnsi="Times New Roman"/>
          <w:sz w:val="15"/>
          <w:szCs w:val="15"/>
          <w:u w:val="single" w:color="auto"/>
          <w:color w:val="auto"/>
        </w:rPr>
        <w:t>Indemnification and Advance of Expenses as a Witness or Other Participant</w:t>
      </w:r>
      <w:r>
        <w:rPr>
          <w:rFonts w:ascii="Times New Roman" w:cs="Times New Roman" w:eastAsia="Times New Roman" w:hAnsi="Times New Roman"/>
          <w:sz w:val="15"/>
          <w:szCs w:val="15"/>
          <w:color w:val="auto"/>
        </w:rPr>
        <w:t xml:space="preserve">. Notwithstanding any other provision of this Agreement, to the extent that Indemnitee is or may be, by reason of Indemnitee’s Corporate Status, made a witness or otherwise asked to participate in any Proceeding, whether instituted by the Company or any other person, and to which Indemnitee is not a party, Indemnitee shall be advanced all reasonable Expenses and indemnified against all Expenses actually and reasonably incurred by Indemnitee or on Indemnitee’s behalf in connection therewith within 20 days after the receipt by the Company of a statement or statements requesting any such advance or indemnification from time to time, whether prior to or after final disposition of such Proceeding. Such statement or statements shall reasonably evidence the Expenses incurred by Indemnitee. In connection with any such advance of Expenses, the Company may require Indemnitee to provide an affirmation and undertaking substantially in the form attached hereto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231775</wp:posOffset>
            </wp:positionV>
            <wp:extent cx="5485130" cy="177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37">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31" w:name="page232"/>
    <w:bookmarkEnd w:id="231"/>
    <w:p>
      <w:pPr>
        <w:ind w:left="640"/>
        <w:spacing w:after="0"/>
        <w:tabs>
          <w:tab w:leader="none" w:pos="1600" w:val="left"/>
        </w:tabs>
        <w:rPr>
          <w:sz w:val="20"/>
          <w:szCs w:val="20"/>
          <w:color w:val="auto"/>
        </w:rPr>
      </w:pPr>
      <w:r>
        <w:rPr>
          <w:rFonts w:ascii="Times New Roman" w:cs="Times New Roman" w:eastAsia="Times New Roman" w:hAnsi="Times New Roman"/>
          <w:sz w:val="15"/>
          <w:szCs w:val="15"/>
          <w:color w:val="auto"/>
        </w:rPr>
        <w:t>Section 10.</w:t>
      </w:r>
      <w:r>
        <w:rPr>
          <w:sz w:val="20"/>
          <w:szCs w:val="20"/>
          <w:color w:val="auto"/>
        </w:rPr>
        <w:tab/>
      </w:r>
      <w:r>
        <w:rPr>
          <w:rFonts w:ascii="Times New Roman" w:cs="Times New Roman" w:eastAsia="Times New Roman" w:hAnsi="Times New Roman"/>
          <w:sz w:val="15"/>
          <w:szCs w:val="15"/>
          <w:u w:val="single" w:color="auto"/>
          <w:color w:val="auto"/>
        </w:rPr>
        <w:t>Procedure for Determination of Entitlement to Indemnification</w:t>
      </w:r>
      <w:r>
        <w:rPr>
          <w:rFonts w:ascii="Times New Roman" w:cs="Times New Roman" w:eastAsia="Times New Roman" w:hAnsi="Times New Roman"/>
          <w:sz w:val="15"/>
          <w:szCs w:val="15"/>
          <w:color w:val="auto"/>
        </w:rPr>
        <w:t>.</w:t>
      </w:r>
    </w:p>
    <w:p>
      <w:pPr>
        <w:spacing w:after="0" w:line="160" w:lineRule="exact"/>
        <w:rPr>
          <w:sz w:val="20"/>
          <w:szCs w:val="20"/>
          <w:color w:val="auto"/>
        </w:rPr>
      </w:pPr>
    </w:p>
    <w:p>
      <w:pPr>
        <w:ind w:left="180" w:right="239" w:firstLine="916"/>
        <w:spacing w:after="0" w:line="257" w:lineRule="auto"/>
        <w:tabs>
          <w:tab w:leader="none" w:pos="1547"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obtain indemnification under this Agreement, Indemnitee shall submit to the Company a written request, including therein or therewith such documentation and information as is reasonably available to Indemnitee and is reasonably necessary or appropriate to determine whether and to what extent Indemnitee is entitled to indemnification. Indemnitee may submit one or more such requests from time to time and at such time(s) as Indemnitee deems appropriate in Indemnitee’s sole discretion. The officer of the Company receiving any such request from Indemnitee shall, promptly upon receipt of such a request for indemnification, advise the Board of Directors in writing that Indemnitee has requested indemnification.</w:t>
      </w:r>
    </w:p>
    <w:p>
      <w:pPr>
        <w:spacing w:after="0" w:line="125" w:lineRule="exact"/>
        <w:rPr>
          <w:rFonts w:ascii="Times New Roman" w:cs="Times New Roman" w:eastAsia="Times New Roman" w:hAnsi="Times New Roman"/>
          <w:sz w:val="15"/>
          <w:szCs w:val="15"/>
          <w:color w:val="auto"/>
        </w:rPr>
      </w:pPr>
    </w:p>
    <w:p>
      <w:pPr>
        <w:ind w:left="180" w:right="199" w:firstLine="916"/>
        <w:spacing w:after="0" w:line="253" w:lineRule="auto"/>
        <w:tabs>
          <w:tab w:leader="none" w:pos="1547"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written request by Indemnitee for indemnification pursuant to Section 10(a) above, a determination, if required by applicable law, with respect to Indemnitee’s entitlement thereto shall promptly be made in the specific case: (i) if a Change in Control has occurred, by Independent Counsel, in a written opinion to the Board of Directors, a copy of which shall be delivered to Indemnitee, which Independent Counsel shall be selected by Indemnitee and approved by the Board of Directors in accordance with Section 2-418(e)(2)(ii) of the MGCL, which approval shall not be unreasonably withheld; or (ii) if a Change in Control has not occurred, (A) by a majority vote of the Disinterested Directors or by the majority vote of a group of Disinterested Directors designated by the Disinterested Directors to make the determination, (B) if Independent Counsel has been selected by the Board of Directors in accordance with Section 2-418(e)(2)(ii) of the MGCL and approved by Indemnitee, which approval shall not be unreasonably withheld or delayed, by Independent Counsel, in a written opinion to the Board of Directors, a copy of which shall be delivered to Indemnitee or (C) if so directed by the Board of Directors, by the stockholders of the Company, other than directors or officers who are parties to the Proceeding. If it is so determined that Indemnitee is entitled to indemnification, the Company shall make payment to Indemnitee within 20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in the discretion of the Board of Directors or Independent Counsel, as applicable). Any Expenses incurred by Indemnitee in so cooperating with the person, persons or entity making such determination shall be borne by the Company (irrespective of the determination as to Indemnitee’s entitlement to indemnification) and the Company shall indemnify and hold Indemnitee harmless therefrom.</w:t>
      </w:r>
    </w:p>
    <w:p>
      <w:pPr>
        <w:spacing w:after="0" w:line="126" w:lineRule="exact"/>
        <w:rPr>
          <w:rFonts w:ascii="Times New Roman" w:cs="Times New Roman" w:eastAsia="Times New Roman" w:hAnsi="Times New Roman"/>
          <w:sz w:val="15"/>
          <w:szCs w:val="15"/>
          <w:color w:val="auto"/>
        </w:rPr>
      </w:pPr>
    </w:p>
    <w:p>
      <w:pPr>
        <w:ind w:left="1560" w:hanging="464"/>
        <w:spacing w:after="0"/>
        <w:tabs>
          <w:tab w:leader="none" w:pos="156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pay the reasonable fees and expenses of Independent Counsel, if one is appointed.</w:t>
      </w:r>
    </w:p>
    <w:p>
      <w:pPr>
        <w:spacing w:after="0" w:line="160"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15"/>
          <w:szCs w:val="15"/>
          <w:color w:val="auto"/>
        </w:rPr>
        <w:t>Section 11.</w:t>
      </w:r>
      <w:r>
        <w:rPr>
          <w:sz w:val="20"/>
          <w:szCs w:val="20"/>
          <w:color w:val="auto"/>
        </w:rPr>
        <w:tab/>
      </w:r>
      <w:r>
        <w:rPr>
          <w:rFonts w:ascii="Times New Roman" w:cs="Times New Roman" w:eastAsia="Times New Roman" w:hAnsi="Times New Roman"/>
          <w:sz w:val="15"/>
          <w:szCs w:val="15"/>
          <w:u w:val="single" w:color="auto"/>
          <w:color w:val="auto"/>
        </w:rPr>
        <w:t>Presumptions and Effect of Certain Proceedings</w:t>
      </w:r>
      <w:r>
        <w:rPr>
          <w:rFonts w:ascii="Times New Roman" w:cs="Times New Roman" w:eastAsia="Times New Roman" w:hAnsi="Times New Roman"/>
          <w:sz w:val="15"/>
          <w:szCs w:val="15"/>
          <w:color w:val="auto"/>
        </w:rPr>
        <w:t>.</w:t>
      </w:r>
    </w:p>
    <w:p>
      <w:pPr>
        <w:spacing w:after="0" w:line="160" w:lineRule="exact"/>
        <w:rPr>
          <w:sz w:val="20"/>
          <w:szCs w:val="20"/>
          <w:color w:val="auto"/>
        </w:rPr>
      </w:pPr>
    </w:p>
    <w:p>
      <w:pPr>
        <w:jc w:val="both"/>
        <w:ind w:left="180" w:right="339" w:firstLine="916"/>
        <w:spacing w:after="0" w:line="268" w:lineRule="auto"/>
        <w:tabs>
          <w:tab w:leader="none" w:pos="1547"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making any determination with respect to entitlement to indemnification hereunder, the person or persons or entity making such determination shall presume that Indemnitee is entitled to indemnification under this Agreement if Indemnitee has submitted a request for indemnification in accordance with Section 10(a) of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223520</wp:posOffset>
            </wp:positionV>
            <wp:extent cx="5485130" cy="177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8">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32" w:name="page233"/>
    <w:bookmarkEnd w:id="232"/>
    <w:p>
      <w:pPr>
        <w:ind w:left="180" w:right="539"/>
        <w:spacing w:after="0" w:line="285" w:lineRule="auto"/>
        <w:rPr>
          <w:sz w:val="20"/>
          <w:szCs w:val="20"/>
          <w:color w:val="auto"/>
        </w:rPr>
      </w:pPr>
      <w:r>
        <w:rPr>
          <w:rFonts w:ascii="Times New Roman" w:cs="Times New Roman" w:eastAsia="Times New Roman" w:hAnsi="Times New Roman"/>
          <w:sz w:val="15"/>
          <w:szCs w:val="15"/>
          <w:color w:val="auto"/>
        </w:rPr>
        <w:t>the Company shall have the burden of overcoming that presumption in connection with the making of any determination contrary to that presumption.</w:t>
      </w:r>
    </w:p>
    <w:p>
      <w:pPr>
        <w:spacing w:after="0" w:line="103" w:lineRule="exact"/>
        <w:rPr>
          <w:sz w:val="20"/>
          <w:szCs w:val="20"/>
          <w:color w:val="auto"/>
        </w:rPr>
      </w:pPr>
    </w:p>
    <w:p>
      <w:pPr>
        <w:ind w:left="180" w:right="859" w:firstLine="916"/>
        <w:spacing w:after="0" w:line="268" w:lineRule="auto"/>
        <w:tabs>
          <w:tab w:leader="none" w:pos="1547"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termination of any Proceeding or of any claim, issue or matter therein, by judgment, order, settlement or conviction, upon a plea of </w:t>
      </w:r>
      <w:r>
        <w:rPr>
          <w:rFonts w:ascii="Times New Roman" w:cs="Times New Roman" w:eastAsia="Times New Roman" w:hAnsi="Times New Roman"/>
          <w:sz w:val="15"/>
          <w:szCs w:val="15"/>
          <w:u w:val="single" w:color="auto"/>
          <w:color w:val="auto"/>
        </w:rPr>
        <w:t>nolo contendere</w:t>
      </w:r>
      <w:r>
        <w:rPr>
          <w:rFonts w:ascii="Times New Roman" w:cs="Times New Roman" w:eastAsia="Times New Roman" w:hAnsi="Times New Roman"/>
          <w:sz w:val="15"/>
          <w:szCs w:val="15"/>
          <w:color w:val="auto"/>
        </w:rPr>
        <w:t xml:space="preserve"> or its equivalent, or entry of an order of probation prior to judgment, does not create a presumption that Indemnitee did not meet the requisite standard of conduct described herein for indemnification.</w:t>
      </w:r>
    </w:p>
    <w:p>
      <w:pPr>
        <w:spacing w:after="0" w:line="115" w:lineRule="exact"/>
        <w:rPr>
          <w:rFonts w:ascii="Times New Roman" w:cs="Times New Roman" w:eastAsia="Times New Roman" w:hAnsi="Times New Roman"/>
          <w:sz w:val="15"/>
          <w:szCs w:val="15"/>
          <w:color w:val="auto"/>
        </w:rPr>
      </w:pPr>
    </w:p>
    <w:p>
      <w:pPr>
        <w:ind w:left="180" w:right="199" w:firstLine="916"/>
        <w:spacing w:after="0" w:line="262" w:lineRule="auto"/>
        <w:tabs>
          <w:tab w:leader="none" w:pos="1547"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knowledge and/or actions, or failure to act, of any other director, officer, employee or agent of the Company or any other director, trustee, officer, partner, manager, managing member, fiduciary, employee or agent of any other foreign or domestic corporation, partnership, limited liability company, joint venture, trust, employee benefit plan or other enterprise shall not be imputed to Indemnitee for purposes of determining any other right to indemnification under this Agreement.</w:t>
      </w:r>
    </w:p>
    <w:p>
      <w:pPr>
        <w:spacing w:after="0" w:line="120"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15"/>
          <w:szCs w:val="15"/>
          <w:color w:val="auto"/>
        </w:rPr>
        <w:t>Section 12.</w:t>
      </w:r>
      <w:r>
        <w:rPr>
          <w:sz w:val="20"/>
          <w:szCs w:val="20"/>
          <w:color w:val="auto"/>
        </w:rPr>
        <w:tab/>
      </w:r>
      <w:r>
        <w:rPr>
          <w:rFonts w:ascii="Times New Roman" w:cs="Times New Roman" w:eastAsia="Times New Roman" w:hAnsi="Times New Roman"/>
          <w:sz w:val="15"/>
          <w:szCs w:val="15"/>
          <w:u w:val="single" w:color="auto"/>
          <w:color w:val="auto"/>
        </w:rPr>
        <w:t>Remedies of Indemnitee</w:t>
      </w:r>
      <w:r>
        <w:rPr>
          <w:rFonts w:ascii="Times New Roman" w:cs="Times New Roman" w:eastAsia="Times New Roman" w:hAnsi="Times New Roman"/>
          <w:sz w:val="15"/>
          <w:szCs w:val="15"/>
          <w:color w:val="auto"/>
        </w:rPr>
        <w:t>.</w:t>
      </w:r>
    </w:p>
    <w:p>
      <w:pPr>
        <w:spacing w:after="0" w:line="160" w:lineRule="exact"/>
        <w:rPr>
          <w:sz w:val="20"/>
          <w:szCs w:val="20"/>
          <w:color w:val="auto"/>
        </w:rPr>
      </w:pPr>
    </w:p>
    <w:p>
      <w:pPr>
        <w:ind w:left="180" w:right="199" w:firstLine="916"/>
        <w:spacing w:after="0" w:line="253" w:lineRule="auto"/>
        <w:tabs>
          <w:tab w:leader="none" w:pos="1547"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(i) a determination is made pursuant to Section 10(b) of this Agreement that Indemnitee is not entitled to indemnification under this Agreement, (ii) advance of Expenses is not timely made pursuant to Section 8 or 9 of this Agreement, (iii) no determination of entitlement to indemnification shall have been made pursuant to Section 10(b) of this Agreement within 60 days after receipt by the Company of the request for indemnification, (iv) payment of indemnification is not made pursuant to Section 7 or 9 of this Agreement within 20 days after receipt by the Company of a written request therefor, or (v) payment of indemnification pursuant to any other section of this Agreement or the Charter or Bylaws is not made within 20 days after a determination has been made that Indemnitee is entitled to indemnification, Indemnitee shall be entitled to an adjudication in an appropriate court located in the State of Maryland, or in any other court of competent jurisdiction, of Indemnitee’s entitlement to such indemnification or advance of Expenses. Alternatively, Indemnitee, at Indemnitee’s option, may seek an award in arbitration to be conducted by a single arbitrator pursuant to the Commercial Arbitration Rules of the American Arbitration Association. Indemnitee shall commence a proceeding seeking an adjudication or an award in arbitration within</w:t>
      </w:r>
    </w:p>
    <w:p>
      <w:pPr>
        <w:spacing w:after="0" w:line="1" w:lineRule="exact"/>
        <w:rPr>
          <w:rFonts w:ascii="Times New Roman" w:cs="Times New Roman" w:eastAsia="Times New Roman" w:hAnsi="Times New Roman"/>
          <w:sz w:val="15"/>
          <w:szCs w:val="15"/>
          <w:color w:val="auto"/>
        </w:rPr>
      </w:pPr>
    </w:p>
    <w:p>
      <w:pPr>
        <w:jc w:val="both"/>
        <w:ind w:left="180" w:right="399"/>
        <w:spacing w:after="0" w:line="25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180 days following the date on which Indemnitee first has the right to commence such proceeding pursuant to this Section 12(a); provided, however, that the foregoing clause shall not apply to a proceeding brought by Indemnitee to enforce Indemnitee’s rights under Section 7 of this Agreement. Except as set forth herein, the provisions of Maryland law (without regard to its conflicts of laws rules) shall apply to any such arbitration. The Company shall not oppose Indemnitee’s right to seek any such adjudication or award in arbitration.</w:t>
      </w:r>
    </w:p>
    <w:p>
      <w:pPr>
        <w:spacing w:after="0" w:line="124" w:lineRule="exact"/>
        <w:rPr>
          <w:rFonts w:ascii="Times New Roman" w:cs="Times New Roman" w:eastAsia="Times New Roman" w:hAnsi="Times New Roman"/>
          <w:sz w:val="15"/>
          <w:szCs w:val="15"/>
          <w:color w:val="auto"/>
        </w:rPr>
      </w:pPr>
    </w:p>
    <w:p>
      <w:pPr>
        <w:ind w:left="180" w:right="239" w:firstLine="916"/>
        <w:spacing w:after="0" w:line="257" w:lineRule="auto"/>
        <w:tabs>
          <w:tab w:leader="none" w:pos="1547"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judicial proceeding or arbitration commenced pursuant to this Section 12, Indemnitee shall be presumed to be entitled to indemnification or advance of Expenses, as the case may be, under this Agreement and the Company shall have the burden of proving that Indemnitee is not entitled to indemnification or advance of Expenses, as the case may be. If Indemnitee commences a judicial proceeding or arbitration pursuant to this Section 12, Indemnitee shall not be required to reimburse the Company for any advances pursuant to Section 8 of this Agreement until a final determination is made with respect to Indemnitee’s entitlement to indemnification (as to which all rights of appeal have been exhausted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230505</wp:posOffset>
            </wp:positionV>
            <wp:extent cx="5485130" cy="177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9">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33" w:name="page234"/>
    <w:bookmarkEnd w:id="233"/>
    <w:p>
      <w:pPr>
        <w:ind w:left="180" w:right="599"/>
        <w:spacing w:after="0" w:line="262" w:lineRule="auto"/>
        <w:rPr>
          <w:sz w:val="20"/>
          <w:szCs w:val="20"/>
          <w:color w:val="auto"/>
        </w:rPr>
      </w:pPr>
      <w:r>
        <w:rPr>
          <w:rFonts w:ascii="Times New Roman" w:cs="Times New Roman" w:eastAsia="Times New Roman" w:hAnsi="Times New Roman"/>
          <w:sz w:val="15"/>
          <w:szCs w:val="15"/>
          <w:color w:val="auto"/>
        </w:rPr>
        <w:t>or lapsed). The Company shall, to the fullest extent not prohibited by law,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of the provisions of this Agreement.</w:t>
      </w:r>
    </w:p>
    <w:p>
      <w:pPr>
        <w:spacing w:after="0" w:line="120" w:lineRule="exact"/>
        <w:rPr>
          <w:sz w:val="20"/>
          <w:szCs w:val="20"/>
          <w:color w:val="auto"/>
        </w:rPr>
      </w:pPr>
    </w:p>
    <w:p>
      <w:pPr>
        <w:ind w:left="180" w:right="479" w:firstLine="916"/>
        <w:spacing w:after="0" w:line="262" w:lineRule="auto"/>
        <w:tabs>
          <w:tab w:leader="none" w:pos="1547"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determination shall have been made pursuant to Section 10(b) of this Agreement that Indemnitee is entitled to indemnification, the Company shall be bound by such determination in any judicial proceeding or arbitration commenced pursuant to this Section 12, absent a misstatement by Indemnitee of a material fact, or an omission of a material fact necessary to make Indemnitee’s statement not materially misleading, in connection with the request for indemnification.</w:t>
      </w:r>
    </w:p>
    <w:p>
      <w:pPr>
        <w:spacing w:after="0" w:line="120" w:lineRule="exact"/>
        <w:rPr>
          <w:rFonts w:ascii="Times New Roman" w:cs="Times New Roman" w:eastAsia="Times New Roman" w:hAnsi="Times New Roman"/>
          <w:sz w:val="15"/>
          <w:szCs w:val="15"/>
          <w:color w:val="auto"/>
        </w:rPr>
      </w:pPr>
    </w:p>
    <w:p>
      <w:pPr>
        <w:ind w:left="180" w:right="259" w:firstLine="916"/>
        <w:spacing w:after="0" w:line="257" w:lineRule="auto"/>
        <w:tabs>
          <w:tab w:leader="none" w:pos="1547"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Indemnitee is successful in seeking, pursuant to this Section 12, a judicial adjudication of or an award in arbitration to enforce Indemnitee’s rights under, or to recover damages for breach of, this Agreement, Indemnitee shall be entitled to recover from the Company, and shall be indemnified by the Company for, any and all Expenses actually and reasonably incurred by Indemnitee in such judicial adjudication or arbitration. If it shall be determined in such judicial adjudication or arbitration that Indemnitee is entitled to receive part but not all of the indemnification or advance of Expenses sought, the Expenses incurred by Indemnitee in connection with such judicial adjudication or arbitration shall be appropriately prorated.</w:t>
      </w:r>
    </w:p>
    <w:p>
      <w:pPr>
        <w:spacing w:after="0" w:line="125" w:lineRule="exact"/>
        <w:rPr>
          <w:rFonts w:ascii="Times New Roman" w:cs="Times New Roman" w:eastAsia="Times New Roman" w:hAnsi="Times New Roman"/>
          <w:sz w:val="15"/>
          <w:szCs w:val="15"/>
          <w:color w:val="auto"/>
        </w:rPr>
      </w:pPr>
    </w:p>
    <w:p>
      <w:pPr>
        <w:ind w:left="180" w:right="199" w:firstLine="916"/>
        <w:spacing w:after="0" w:line="220" w:lineRule="auto"/>
        <w:tabs>
          <w:tab w:leader="none" w:pos="1547"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shall be paid by the Company to Indemnitee at the maximum rate allowed to be charged for judgments under the Courts and Judicial Proceedings Article of the Annotated Code of Maryland for amounts which the Company pays or is obligated to pay for the period (i) commencing with either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day after the date on which the Company was requested to advance Expenses in accordance with Section 8 or 9 of this Agreement or the 60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day after the date on which the Company was requested to make the determination of entitlement to indemnification under Section 10(b) of this Agreement, as applicable, and (ii) ending on the date such payment is made to Indemnitee by the Company.</w:t>
      </w:r>
    </w:p>
    <w:p>
      <w:pPr>
        <w:spacing w:after="0" w:line="138"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15"/>
          <w:szCs w:val="15"/>
          <w:color w:val="auto"/>
        </w:rPr>
        <w:t>Section 13.</w:t>
      </w:r>
      <w:r>
        <w:rPr>
          <w:sz w:val="20"/>
          <w:szCs w:val="20"/>
          <w:color w:val="auto"/>
        </w:rPr>
        <w:tab/>
      </w:r>
      <w:r>
        <w:rPr>
          <w:rFonts w:ascii="Times New Roman" w:cs="Times New Roman" w:eastAsia="Times New Roman" w:hAnsi="Times New Roman"/>
          <w:sz w:val="15"/>
          <w:szCs w:val="15"/>
          <w:u w:val="single" w:color="auto"/>
          <w:color w:val="auto"/>
        </w:rPr>
        <w:t>Defense of the Underlying Proceeding</w:t>
      </w:r>
      <w:r>
        <w:rPr>
          <w:rFonts w:ascii="Times New Roman" w:cs="Times New Roman" w:eastAsia="Times New Roman" w:hAnsi="Times New Roman"/>
          <w:sz w:val="15"/>
          <w:szCs w:val="15"/>
          <w:color w:val="auto"/>
        </w:rPr>
        <w:t>.</w:t>
      </w:r>
    </w:p>
    <w:p>
      <w:pPr>
        <w:spacing w:after="0" w:line="160" w:lineRule="exact"/>
        <w:rPr>
          <w:sz w:val="20"/>
          <w:szCs w:val="20"/>
          <w:color w:val="auto"/>
        </w:rPr>
      </w:pPr>
    </w:p>
    <w:p>
      <w:pPr>
        <w:ind w:left="180" w:right="199" w:firstLine="916"/>
        <w:spacing w:after="0" w:line="256" w:lineRule="auto"/>
        <w:tabs>
          <w:tab w:leader="none" w:pos="1547"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Indemnitee shall notify the Company promptly in writing upon being served with any summons, citation, subpoena, complaint, indictment, request or other document relating to any Proceeding which may result in the right to indemnification or the advance of Expenses hereunder and shall include with such notice a description of the nature of the Proceeding and a summary of the facts underlying the Proceeding. The failure to give any such notice shall not disqualify Indemnitee from the right, or otherwise affect in any manner any right of Indemnitee, to indemnification or the advance of Expenses under this Agreement unless the Company’s ability to defend in such Proceeding or to obtain proceeds under any insurance policy is materially and adversely prejudiced thereby, and then only to the extent the Company is thereby actually so prejudiced.</w:t>
      </w:r>
    </w:p>
    <w:p>
      <w:pPr>
        <w:spacing w:after="0" w:line="126" w:lineRule="exact"/>
        <w:rPr>
          <w:rFonts w:ascii="Times New Roman" w:cs="Times New Roman" w:eastAsia="Times New Roman" w:hAnsi="Times New Roman"/>
          <w:sz w:val="15"/>
          <w:szCs w:val="15"/>
          <w:color w:val="auto"/>
        </w:rPr>
      </w:pPr>
    </w:p>
    <w:p>
      <w:pPr>
        <w:ind w:left="180" w:right="259" w:firstLine="916"/>
        <w:spacing w:after="0" w:line="285" w:lineRule="auto"/>
        <w:tabs>
          <w:tab w:leader="none" w:pos="1547"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provisions of the last sentence of this Section 13(b) and of Section 13(c) below, the Company shall have the right to defend Indemnitee in any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215900</wp:posOffset>
            </wp:positionV>
            <wp:extent cx="5485130" cy="177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40">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34" w:name="page235"/>
    <w:bookmarkEnd w:id="234"/>
    <w:p>
      <w:pPr>
        <w:ind w:left="180" w:right="199"/>
        <w:spacing w:after="0" w:line="256" w:lineRule="auto"/>
        <w:rPr>
          <w:sz w:val="20"/>
          <w:szCs w:val="20"/>
          <w:color w:val="auto"/>
        </w:rPr>
      </w:pPr>
      <w:r>
        <w:rPr>
          <w:rFonts w:ascii="Times New Roman" w:cs="Times New Roman" w:eastAsia="Times New Roman" w:hAnsi="Times New Roman"/>
          <w:sz w:val="15"/>
          <w:szCs w:val="15"/>
          <w:color w:val="auto"/>
        </w:rPr>
        <w:t>which may give rise to indemnification hereunder; provided, however, that the Company shall notify Indemnitee of any such decision to defend within 15 calendar days following receipt of notice of any such Proceeding under Section 13(a) above. The Company shall not, without the prior written consent of Indemnitee, which shall not be unreasonably withheld or delayed, consent to the entry of any judgment against Indemnitee or enter into any settlement or compromise which (i) includes an admission of fault of Indemnitee, (ii) does not include, as an unconditional term thereof, the full release of Indemnitee from all liability in respect of such Proceeding, which release shall be in form and substance reasonably satisfactory to Indemnitee or (iii) would impose any Expense, judgment, fine, penalty or limitation on Indemnitee. This Section 13(b) shall not apply to a Proceeding brought by Indemnitee under Section 12 of this Agreement.</w:t>
      </w:r>
    </w:p>
    <w:p>
      <w:pPr>
        <w:spacing w:after="0" w:line="126" w:lineRule="exact"/>
        <w:rPr>
          <w:sz w:val="20"/>
          <w:szCs w:val="20"/>
          <w:color w:val="auto"/>
        </w:rPr>
      </w:pPr>
    </w:p>
    <w:p>
      <w:pPr>
        <w:ind w:left="180" w:right="199" w:firstLine="916"/>
        <w:spacing w:after="0" w:line="253" w:lineRule="auto"/>
        <w:tabs>
          <w:tab w:leader="none" w:pos="1547"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provisions of Section 13(b) above, if in a Proceeding to which Indemnitee is a party by reason of Indemnitee’s Corporate Status, (i) Indemnitee reasonably concludes, based upon an opinion of counsel approved by the Company, which approval shall not be unreasonably withheld or delayed, that Indemnitee may have separate defenses or counterclaims to assert with respect to any issue which may not be consistent with other defendants in such Proceeding, (ii) Indemnitee reasonably concludes, based upon an opinion of counsel approved by the Company, which approval shall not be unreasonably withheld or delayed, that an actual or apparent conflict of interest or potential conflict of interest exists between Indemnitee and the Company, or (iii) if the Company fails to assume the defense of such Proceeding in a timely manner, Indemnitee shall be entitled to be represented by separate legal counsel of Indemnitee’s choice, subject to the prior approval of the Company, which approval shall not be unreasonably withheld or delayed, at the expense of the Company. In addition, if the Company fails to comply with any of its obligations under this Agreement or in the event that the Company or any other person takes any action to declare this Agreement void or unenforceable, or institutes any Proceeding to deny or to recover from Indemnitee the benefits intended to be provided to Indemnitee hereunder, Indemnitee shall have the right to retain counsel of Indemnitee’s choice, subject to the prior approval of the Company, which approval shall not be unreasonably withheld or delayed, at the expense of the Company (subject to Section 12(d) of this Agreement), to represent Indemnitee in connection with any such matter.</w:t>
      </w:r>
    </w:p>
    <w:p>
      <w:pPr>
        <w:spacing w:after="0" w:line="133" w:lineRule="exact"/>
        <w:rPr>
          <w:sz w:val="20"/>
          <w:szCs w:val="20"/>
          <w:color w:val="auto"/>
        </w:rPr>
      </w:pPr>
    </w:p>
    <w:p>
      <w:pPr>
        <w:ind w:left="180" w:right="519" w:firstLine="456"/>
        <w:spacing w:after="0" w:line="285" w:lineRule="auto"/>
        <w:rPr>
          <w:sz w:val="20"/>
          <w:szCs w:val="20"/>
          <w:color w:val="auto"/>
        </w:rPr>
      </w:pPr>
      <w:r>
        <w:rPr>
          <w:rFonts w:ascii="Times New Roman" w:cs="Times New Roman" w:eastAsia="Times New Roman" w:hAnsi="Times New Roman"/>
          <w:sz w:val="15"/>
          <w:szCs w:val="15"/>
          <w:color w:val="auto"/>
        </w:rPr>
        <w:t xml:space="preserve">Section 14. </w:t>
      </w:r>
      <w:r>
        <w:rPr>
          <w:rFonts w:ascii="Times New Roman" w:cs="Times New Roman" w:eastAsia="Times New Roman" w:hAnsi="Times New Roman"/>
          <w:sz w:val="15"/>
          <w:szCs w:val="15"/>
          <w:u w:val="single" w:color="auto"/>
          <w:color w:val="auto"/>
        </w:rPr>
        <w:t>Representations and Warranties of the Company</w:t>
      </w:r>
      <w:r>
        <w:rPr>
          <w:rFonts w:ascii="Times New Roman" w:cs="Times New Roman" w:eastAsia="Times New Roman" w:hAnsi="Times New Roman"/>
          <w:sz w:val="15"/>
          <w:szCs w:val="15"/>
          <w:color w:val="auto"/>
        </w:rPr>
        <w:t>. The Company hereby represents and warrants to Indemnitee as follows:</w:t>
      </w:r>
    </w:p>
    <w:p>
      <w:pPr>
        <w:spacing w:after="0" w:line="103" w:lineRule="exact"/>
        <w:rPr>
          <w:sz w:val="20"/>
          <w:szCs w:val="20"/>
          <w:color w:val="auto"/>
        </w:rPr>
      </w:pPr>
    </w:p>
    <w:p>
      <w:pPr>
        <w:ind w:left="180" w:right="259" w:firstLine="916"/>
        <w:spacing w:after="0" w:line="268" w:lineRule="auto"/>
        <w:tabs>
          <w:tab w:leader="none" w:pos="1547"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Authority</w:t>
      </w:r>
      <w:r>
        <w:rPr>
          <w:rFonts w:ascii="Times New Roman" w:cs="Times New Roman" w:eastAsia="Times New Roman" w:hAnsi="Times New Roman"/>
          <w:sz w:val="15"/>
          <w:szCs w:val="15"/>
          <w:color w:val="auto"/>
        </w:rPr>
        <w:t>. The Company has all necessary corporate power and authority to enter into, and be bound by the terms of, this Agreement, and the execution, delivery and performance of the undertakings contemplated by this Agreement have been duly authorized by the Company.</w:t>
      </w:r>
    </w:p>
    <w:p>
      <w:pPr>
        <w:spacing w:after="0" w:line="115" w:lineRule="exact"/>
        <w:rPr>
          <w:rFonts w:ascii="Times New Roman" w:cs="Times New Roman" w:eastAsia="Times New Roman" w:hAnsi="Times New Roman"/>
          <w:sz w:val="15"/>
          <w:szCs w:val="15"/>
          <w:color w:val="auto"/>
        </w:rPr>
      </w:pPr>
    </w:p>
    <w:p>
      <w:pPr>
        <w:ind w:left="180" w:right="339" w:firstLine="916"/>
        <w:spacing w:after="0" w:line="259" w:lineRule="auto"/>
        <w:tabs>
          <w:tab w:leader="none" w:pos="1547"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Enforceability</w:t>
      </w:r>
      <w:r>
        <w:rPr>
          <w:rFonts w:ascii="Times New Roman" w:cs="Times New Roman" w:eastAsia="Times New Roman" w:hAnsi="Times New Roman"/>
          <w:sz w:val="15"/>
          <w:szCs w:val="15"/>
          <w:color w:val="auto"/>
        </w:rPr>
        <w:t>. This Agreement, when executed and delivered by the Company in accordance with the provisions hereof, shall be a legal, valid and binding obligation of the Company, enforceable against the Company in accordance with its terms, except as such enforceability may be limited by applicable bankruptcy, insolvency, moratorium, reorganization or similar laws affecting the enforcement of creditors’ rights generally or general equitable principles, and to the extent limited by applicable federal or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228600</wp:posOffset>
            </wp:positionV>
            <wp:extent cx="5485130" cy="177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41">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35" w:name="page236"/>
    <w:bookmarkEnd w:id="235"/>
    <w:p>
      <w:pPr>
        <w:ind w:left="640"/>
        <w:spacing w:after="0"/>
        <w:tabs>
          <w:tab w:leader="none" w:pos="1600" w:val="left"/>
        </w:tabs>
        <w:rPr>
          <w:sz w:val="20"/>
          <w:szCs w:val="20"/>
          <w:color w:val="auto"/>
        </w:rPr>
      </w:pPr>
      <w:r>
        <w:rPr>
          <w:rFonts w:ascii="Times New Roman" w:cs="Times New Roman" w:eastAsia="Times New Roman" w:hAnsi="Times New Roman"/>
          <w:sz w:val="15"/>
          <w:szCs w:val="15"/>
          <w:color w:val="auto"/>
        </w:rPr>
        <w:t>Section 15.</w:t>
      </w:r>
      <w:r>
        <w:rPr>
          <w:sz w:val="20"/>
          <w:szCs w:val="20"/>
          <w:color w:val="auto"/>
        </w:rPr>
        <w:tab/>
      </w:r>
      <w:r>
        <w:rPr>
          <w:rFonts w:ascii="Times New Roman" w:cs="Times New Roman" w:eastAsia="Times New Roman" w:hAnsi="Times New Roman"/>
          <w:sz w:val="15"/>
          <w:szCs w:val="15"/>
          <w:u w:val="single" w:color="auto"/>
          <w:color w:val="auto"/>
        </w:rPr>
        <w:t>Insurance</w:t>
      </w:r>
      <w:r>
        <w:rPr>
          <w:rFonts w:ascii="Times New Roman" w:cs="Times New Roman" w:eastAsia="Times New Roman" w:hAnsi="Times New Roman"/>
          <w:sz w:val="15"/>
          <w:szCs w:val="15"/>
          <w:color w:val="auto"/>
        </w:rPr>
        <w:t>.</w:t>
      </w:r>
    </w:p>
    <w:p>
      <w:pPr>
        <w:spacing w:after="0" w:line="160" w:lineRule="exact"/>
        <w:rPr>
          <w:sz w:val="20"/>
          <w:szCs w:val="20"/>
          <w:color w:val="auto"/>
        </w:rPr>
      </w:pPr>
    </w:p>
    <w:p>
      <w:pPr>
        <w:ind w:left="180" w:right="239" w:firstLine="916"/>
        <w:spacing w:after="0" w:line="253" w:lineRule="auto"/>
        <w:tabs>
          <w:tab w:leader="none" w:pos="1547"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will use its reasonable best efforts to acquire directors and officers liability insurance, on terms and conditions deemed appropriate by the Board of Directors, with the advice of counsel, covering Indemnitee or any claim made against Indemnitee by reason of Indemnitee’s Corporate Status and covering the Company for any indemnification or advance of Expenses made by the Company to Indemnitee for any claims made against Indemnitee by reason of Indemnitee’s Corporate Status. In the event of a Change in Control, the Company shall maintain in force any and all directors and officers liability insurance policies that were maintained by the Company immediately prior to the Change in Control for a period of six years; provided, however, (i) if the carriers will not offer the same policy and an expiring policy needs to be replaced, a policy substantially comparable in scope and amount shall be obtained and (ii) if any replacement insurance carrier is necessary to obtain a policy substantially comparable in scope and amount, such insurance carrier shall have an AM Best rating that is the same or better than the AM Best rating of the existing insurance carrier; provided, further, however, in no event shall the Company be required to expend in the aggregate in excess of 250% of the annual premium or premiums paid by the Company for directors and officers liability insurance in effect on the date of the Change in Control. In the event that 250% of the annual premium paid by the Company for such existing directors and officers liability insurance is insufficient for such coverage, the Company shall spend up to that amount to purchase such lesser coverage as may be obtained with such amount.</w:t>
      </w:r>
    </w:p>
    <w:p>
      <w:pPr>
        <w:spacing w:after="0" w:line="132" w:lineRule="exact"/>
        <w:rPr>
          <w:rFonts w:ascii="Times New Roman" w:cs="Times New Roman" w:eastAsia="Times New Roman" w:hAnsi="Times New Roman"/>
          <w:sz w:val="15"/>
          <w:szCs w:val="15"/>
          <w:color w:val="auto"/>
        </w:rPr>
      </w:pPr>
    </w:p>
    <w:p>
      <w:pPr>
        <w:ind w:left="180" w:right="299" w:firstLine="916"/>
        <w:spacing w:after="0" w:line="255" w:lineRule="auto"/>
        <w:tabs>
          <w:tab w:leader="none" w:pos="1547"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in any way limiting any other obligation under this Agreement, the Company shall indemnify Indemnitee for any payment by Indemnitee arising out of the amount of any deductible or retention and the amount of any excess of the aggregate of all judgments, penalties, fines, settlements and Expenses incurred by Indemnitee in connection with a Proceeding over the coverage of any insurance referred to in Section 15(a). The purchase, establishment and maintenance of any such insurance shall not in any way limit or affect the rights or obligations of the Company or Indemnitee under this Agreement except as expressly provided herein, and the execution and delivery of this Agreement by the Company and Indemnitee shall not in any way limit or affect the rights or obligations of the Company under any such insurance policies. If, at the time the Company receives notice from any source of a Proceeding to which Indemnitee is a party or a participant (as a witness or otherwise), the Company has director and officer liability insurance in effect, the Company shall give prompt notice of such Proceeding to the insurers in accordance with the procedures set forth in the respective policies.</w:t>
      </w:r>
    </w:p>
    <w:p>
      <w:pPr>
        <w:spacing w:after="0" w:line="125" w:lineRule="exact"/>
        <w:rPr>
          <w:rFonts w:ascii="Times New Roman" w:cs="Times New Roman" w:eastAsia="Times New Roman" w:hAnsi="Times New Roman"/>
          <w:sz w:val="15"/>
          <w:szCs w:val="15"/>
          <w:color w:val="auto"/>
        </w:rPr>
      </w:pPr>
    </w:p>
    <w:p>
      <w:pPr>
        <w:ind w:left="1560" w:hanging="464"/>
        <w:spacing w:after="0"/>
        <w:tabs>
          <w:tab w:leader="none" w:pos="156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Indemnitee shall cooperate with the Company or any insurance carrier of the Company with respect to any Proceeding.</w:t>
      </w:r>
    </w:p>
    <w:p>
      <w:pPr>
        <w:spacing w:after="0" w:line="160" w:lineRule="exact"/>
        <w:rPr>
          <w:sz w:val="20"/>
          <w:szCs w:val="20"/>
          <w:color w:val="auto"/>
        </w:rPr>
      </w:pPr>
    </w:p>
    <w:p>
      <w:pPr>
        <w:ind w:left="180" w:right="359" w:firstLine="456"/>
        <w:spacing w:after="0" w:line="268" w:lineRule="auto"/>
        <w:rPr>
          <w:sz w:val="20"/>
          <w:szCs w:val="20"/>
          <w:color w:val="auto"/>
        </w:rPr>
      </w:pPr>
      <w:r>
        <w:rPr>
          <w:rFonts w:ascii="Times New Roman" w:cs="Times New Roman" w:eastAsia="Times New Roman" w:hAnsi="Times New Roman"/>
          <w:sz w:val="15"/>
          <w:szCs w:val="15"/>
          <w:color w:val="auto"/>
        </w:rPr>
        <w:t xml:space="preserve">Section 16. </w:t>
      </w:r>
      <w:r>
        <w:rPr>
          <w:rFonts w:ascii="Times New Roman" w:cs="Times New Roman" w:eastAsia="Times New Roman" w:hAnsi="Times New Roman"/>
          <w:sz w:val="15"/>
          <w:szCs w:val="15"/>
          <w:u w:val="single" w:color="auto"/>
          <w:color w:val="auto"/>
        </w:rPr>
        <w:t>Fees and Expenses</w:t>
      </w:r>
      <w:r>
        <w:rPr>
          <w:rFonts w:ascii="Times New Roman" w:cs="Times New Roman" w:eastAsia="Times New Roman" w:hAnsi="Times New Roman"/>
          <w:sz w:val="15"/>
          <w:szCs w:val="15"/>
          <w:color w:val="auto"/>
        </w:rPr>
        <w:t>. During the term of Indemnitee’s service as a director or officer, the Company shall promptly reimburse Indemnitee for all expenses incurred by Indemnitee in connection with Indemnitee’s service as a director or officer or member of any board committee or otherwise in connection with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223520</wp:posOffset>
            </wp:positionV>
            <wp:extent cx="5485130" cy="177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42">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236" w:name="page237"/>
    <w:bookmarkEnd w:id="236"/>
    <w:p>
      <w:pPr>
        <w:ind w:left="640"/>
        <w:spacing w:after="0"/>
        <w:tabs>
          <w:tab w:leader="none" w:pos="1600" w:val="left"/>
        </w:tabs>
        <w:rPr>
          <w:sz w:val="20"/>
          <w:szCs w:val="20"/>
          <w:color w:val="auto"/>
        </w:rPr>
      </w:pPr>
      <w:r>
        <w:rPr>
          <w:rFonts w:ascii="Times New Roman" w:cs="Times New Roman" w:eastAsia="Times New Roman" w:hAnsi="Times New Roman"/>
          <w:sz w:val="15"/>
          <w:szCs w:val="15"/>
          <w:color w:val="auto"/>
        </w:rPr>
        <w:t>Section 17.</w:t>
      </w:r>
      <w:r>
        <w:rPr>
          <w:sz w:val="20"/>
          <w:szCs w:val="20"/>
          <w:color w:val="auto"/>
        </w:rPr>
        <w:tab/>
      </w:r>
      <w:r>
        <w:rPr>
          <w:rFonts w:ascii="Times New Roman" w:cs="Times New Roman" w:eastAsia="Times New Roman" w:hAnsi="Times New Roman"/>
          <w:sz w:val="15"/>
          <w:szCs w:val="15"/>
          <w:u w:val="single" w:color="auto"/>
          <w:color w:val="auto"/>
        </w:rPr>
        <w:t>Non-Exclusivity; Survival of Rights; Subrogation</w:t>
      </w:r>
      <w:r>
        <w:rPr>
          <w:rFonts w:ascii="Times New Roman" w:cs="Times New Roman" w:eastAsia="Times New Roman" w:hAnsi="Times New Roman"/>
          <w:sz w:val="15"/>
          <w:szCs w:val="15"/>
          <w:color w:val="auto"/>
        </w:rPr>
        <w:t>.</w:t>
      </w:r>
    </w:p>
    <w:p>
      <w:pPr>
        <w:spacing w:after="0" w:line="160" w:lineRule="exact"/>
        <w:rPr>
          <w:sz w:val="20"/>
          <w:szCs w:val="20"/>
          <w:color w:val="auto"/>
        </w:rPr>
      </w:pPr>
    </w:p>
    <w:p>
      <w:pPr>
        <w:ind w:left="180" w:right="319" w:firstLine="916"/>
        <w:spacing w:after="0" w:line="254" w:lineRule="auto"/>
        <w:tabs>
          <w:tab w:leader="none" w:pos="1547"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of indemnification and advance of Expenses as provided by this Agreement shall not be deemed exclusive of any other rights to which Indemnitee may at any time be entitled under applicable law, the Charter, the Bylaws, any agreement or a resolution of the stockholders entitled to vote generally in the election of directors or of the Board of Directors, or otherwise. Unless consented to in writing by Indemnitee, no amendment, alteration or repeal of the Charter or Bylaws, this Agreement or any provision hereof shall limit or restrict any right of Indemnitee under this Agreement in respect of any action taken or omitted by such Indemnitee in Indemnitee’s Corporate Status prior to such amendment, alteration or repeal, regardless of whether a claim with respect to such action or inaction is raised prior or subsequent to such amendment, alteration or repeal. No right or remedy herein conferred is intended to be exclusive of any other right or remedy, and every other right or remedy shall be cumulative and in addition to every other right or remedy given hereunder or now or hereafter existing at law or in equity or otherwise. The assertion of any right or remedy hereunder, or otherwise, shall not prohibit the concurrent assertion or employment of any other right or remedy.</w:t>
      </w:r>
    </w:p>
    <w:p>
      <w:pPr>
        <w:spacing w:after="0" w:line="129" w:lineRule="exact"/>
        <w:rPr>
          <w:rFonts w:ascii="Times New Roman" w:cs="Times New Roman" w:eastAsia="Times New Roman" w:hAnsi="Times New Roman"/>
          <w:sz w:val="15"/>
          <w:szCs w:val="15"/>
          <w:color w:val="auto"/>
        </w:rPr>
      </w:pPr>
    </w:p>
    <w:p>
      <w:pPr>
        <w:ind w:left="180" w:right="259" w:firstLine="916"/>
        <w:spacing w:after="0" w:line="268" w:lineRule="auto"/>
        <w:tabs>
          <w:tab w:leader="none" w:pos="1547"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15" w:lineRule="exact"/>
        <w:rPr>
          <w:sz w:val="20"/>
          <w:szCs w:val="20"/>
          <w:color w:val="auto"/>
        </w:rPr>
      </w:pPr>
    </w:p>
    <w:p>
      <w:pPr>
        <w:ind w:left="180" w:right="299" w:firstLine="456"/>
        <w:spacing w:after="0" w:line="268" w:lineRule="auto"/>
        <w:rPr>
          <w:sz w:val="20"/>
          <w:szCs w:val="20"/>
          <w:color w:val="auto"/>
        </w:rPr>
      </w:pPr>
      <w:r>
        <w:rPr>
          <w:rFonts w:ascii="Times New Roman" w:cs="Times New Roman" w:eastAsia="Times New Roman" w:hAnsi="Times New Roman"/>
          <w:sz w:val="15"/>
          <w:szCs w:val="15"/>
          <w:color w:val="auto"/>
        </w:rPr>
        <w:t xml:space="preserve">Section 18. </w:t>
      </w:r>
      <w:r>
        <w:rPr>
          <w:rFonts w:ascii="Times New Roman" w:cs="Times New Roman" w:eastAsia="Times New Roman" w:hAnsi="Times New Roman"/>
          <w:sz w:val="15"/>
          <w:szCs w:val="15"/>
          <w:u w:val="single" w:color="auto"/>
          <w:color w:val="auto"/>
        </w:rPr>
        <w:t>Coordination of Payments</w:t>
      </w:r>
      <w:r>
        <w:rPr>
          <w:rFonts w:ascii="Times New Roman" w:cs="Times New Roman" w:eastAsia="Times New Roman" w:hAnsi="Times New Roman"/>
          <w:sz w:val="15"/>
          <w:szCs w:val="15"/>
          <w:color w:val="auto"/>
        </w:rPr>
        <w:t>. The Company shall not be liable under this Agreement to make any payment of amounts otherwise indemnifiable or payable or reimbursable as Expenses hereunder if and to the extent that Indemnitee has otherwise actually received such payment under any insurance policy, contract, agreement or otherwise.</w:t>
      </w:r>
    </w:p>
    <w:p>
      <w:pPr>
        <w:spacing w:after="0" w:line="115" w:lineRule="exact"/>
        <w:rPr>
          <w:sz w:val="20"/>
          <w:szCs w:val="20"/>
          <w:color w:val="auto"/>
        </w:rPr>
      </w:pPr>
    </w:p>
    <w:p>
      <w:pPr>
        <w:ind w:left="180" w:right="279" w:firstLine="456"/>
        <w:spacing w:after="0" w:line="256" w:lineRule="auto"/>
        <w:rPr>
          <w:sz w:val="20"/>
          <w:szCs w:val="20"/>
          <w:color w:val="auto"/>
        </w:rPr>
      </w:pPr>
      <w:r>
        <w:rPr>
          <w:rFonts w:ascii="Times New Roman" w:cs="Times New Roman" w:eastAsia="Times New Roman" w:hAnsi="Times New Roman"/>
          <w:sz w:val="15"/>
          <w:szCs w:val="15"/>
          <w:color w:val="auto"/>
        </w:rPr>
        <w:t xml:space="preserve">Section 19. </w:t>
      </w:r>
      <w:r>
        <w:rPr>
          <w:rFonts w:ascii="Times New Roman" w:cs="Times New Roman" w:eastAsia="Times New Roman" w:hAnsi="Times New Roman"/>
          <w:sz w:val="15"/>
          <w:szCs w:val="15"/>
          <w:u w:val="single" w:color="auto"/>
          <w:color w:val="auto"/>
        </w:rPr>
        <w:t>Contribution</w:t>
      </w:r>
      <w:r>
        <w:rPr>
          <w:rFonts w:ascii="Times New Roman" w:cs="Times New Roman" w:eastAsia="Times New Roman" w:hAnsi="Times New Roman"/>
          <w:sz w:val="15"/>
          <w:szCs w:val="15"/>
          <w:color w:val="auto"/>
        </w:rPr>
        <w:t>. If the indemnification provided in this Agreement is unavailable in whole or in part and may not be paid to Indemnitee for any reason, other than for failure to satisfy the standard of conduct set forth in Section 4 or due to the provisions of Section 5, then, with respect to any Proceeding in which the Company is jointly liable with Indemnitee (or would be if joined in such Proceeding), to the fullest extent permissible under applicable law, the Company, in lieu of indemnifying and holding harmless Indemnitee, shall pay, in the first instance, the entire amount incurred by Indemnitee, whether for Expenses, judgments, penalties, and/or amounts paid or to be paid in settlement, in connection with any Proceeding without requiring Indemnitee to contribute to such payment, and the Company hereby waives and relinquishes any right of contribution it may have at any time against Indemnitee.</w:t>
      </w:r>
    </w:p>
    <w:p>
      <w:pPr>
        <w:spacing w:after="0" w:line="126" w:lineRule="exact"/>
        <w:rPr>
          <w:sz w:val="20"/>
          <w:szCs w:val="20"/>
          <w:color w:val="auto"/>
        </w:rPr>
      </w:pPr>
    </w:p>
    <w:p>
      <w:pPr>
        <w:ind w:left="180" w:right="199" w:firstLine="456"/>
        <w:spacing w:after="0" w:line="262" w:lineRule="auto"/>
        <w:rPr>
          <w:sz w:val="20"/>
          <w:szCs w:val="20"/>
          <w:color w:val="auto"/>
        </w:rPr>
      </w:pPr>
      <w:r>
        <w:rPr>
          <w:rFonts w:ascii="Times New Roman" w:cs="Times New Roman" w:eastAsia="Times New Roman" w:hAnsi="Times New Roman"/>
          <w:sz w:val="15"/>
          <w:szCs w:val="15"/>
          <w:color w:val="auto"/>
        </w:rPr>
        <w:t xml:space="preserve">Section 20. </w:t>
      </w:r>
      <w:r>
        <w:rPr>
          <w:rFonts w:ascii="Times New Roman" w:cs="Times New Roman" w:eastAsia="Times New Roman" w:hAnsi="Times New Roman"/>
          <w:sz w:val="15"/>
          <w:szCs w:val="15"/>
          <w:u w:val="single" w:color="auto"/>
          <w:color w:val="auto"/>
        </w:rPr>
        <w:t>Reports to Stockholders</w:t>
      </w:r>
      <w:r>
        <w:rPr>
          <w:rFonts w:ascii="Times New Roman" w:cs="Times New Roman" w:eastAsia="Times New Roman" w:hAnsi="Times New Roman"/>
          <w:sz w:val="15"/>
          <w:szCs w:val="15"/>
          <w:color w:val="auto"/>
        </w:rPr>
        <w:t>. To the extent required by the MGCL, the Company shall report in writing to its stockholders the payment of any amounts for indemnification of, or advance of Expenses to, Indemnitee under this Agreement arising out of a Proceeding by or in the right of the Company with the notice of the meeting of stockholders of the Company next following the date of the payment of any such indemnification or advance of Expenses prior to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226695</wp:posOffset>
            </wp:positionV>
            <wp:extent cx="5485130" cy="177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43">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37" w:name="page238"/>
    <w:bookmarkEnd w:id="237"/>
    <w:p>
      <w:pPr>
        <w:ind w:left="640"/>
        <w:spacing w:after="0"/>
        <w:tabs>
          <w:tab w:leader="none" w:pos="1600" w:val="left"/>
        </w:tabs>
        <w:rPr>
          <w:sz w:val="20"/>
          <w:szCs w:val="20"/>
          <w:color w:val="auto"/>
        </w:rPr>
      </w:pPr>
      <w:r>
        <w:rPr>
          <w:rFonts w:ascii="Times New Roman" w:cs="Times New Roman" w:eastAsia="Times New Roman" w:hAnsi="Times New Roman"/>
          <w:sz w:val="15"/>
          <w:szCs w:val="15"/>
          <w:color w:val="auto"/>
        </w:rPr>
        <w:t>Section 21.</w:t>
      </w:r>
      <w:r>
        <w:rPr>
          <w:sz w:val="20"/>
          <w:szCs w:val="20"/>
          <w:color w:val="auto"/>
        </w:rPr>
        <w:tab/>
      </w:r>
      <w:r>
        <w:rPr>
          <w:rFonts w:ascii="Times New Roman" w:cs="Times New Roman" w:eastAsia="Times New Roman" w:hAnsi="Times New Roman"/>
          <w:sz w:val="15"/>
          <w:szCs w:val="15"/>
          <w:u w:val="single" w:color="auto"/>
          <w:color w:val="auto"/>
        </w:rPr>
        <w:t>Duration of Agreement; Binding Effect</w:t>
      </w:r>
      <w:r>
        <w:rPr>
          <w:rFonts w:ascii="Times New Roman" w:cs="Times New Roman" w:eastAsia="Times New Roman" w:hAnsi="Times New Roman"/>
          <w:sz w:val="15"/>
          <w:szCs w:val="15"/>
          <w:color w:val="auto"/>
        </w:rPr>
        <w:t>.</w:t>
      </w:r>
    </w:p>
    <w:p>
      <w:pPr>
        <w:spacing w:after="0" w:line="160" w:lineRule="exact"/>
        <w:rPr>
          <w:sz w:val="20"/>
          <w:szCs w:val="20"/>
          <w:color w:val="auto"/>
        </w:rPr>
      </w:pPr>
    </w:p>
    <w:p>
      <w:pPr>
        <w:ind w:left="180" w:right="239" w:firstLine="916"/>
        <w:spacing w:after="0" w:line="259" w:lineRule="auto"/>
        <w:tabs>
          <w:tab w:leader="none" w:pos="1547"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shall continue until and terminate on the later of (i) the date that Indemnitee shall have ceased to serve as a director, officer, employee or agent of the Company or as a director, trustee, officer, partner, manager, managing member, fiduciary, employee or agent of any other foreign or domestic Entity that such person is or was serving in such capacity at the request of the Company and (ii) the date that Indemnitee is no longer subject to any actual or possible Proceeding (including any rights of appeal thereto and any Proceeding commenced by Indemnitee pursuant to Section 12 of this Agreement).</w:t>
      </w:r>
    </w:p>
    <w:p>
      <w:pPr>
        <w:spacing w:after="0" w:line="122" w:lineRule="exact"/>
        <w:rPr>
          <w:rFonts w:ascii="Times New Roman" w:cs="Times New Roman" w:eastAsia="Times New Roman" w:hAnsi="Times New Roman"/>
          <w:sz w:val="15"/>
          <w:szCs w:val="15"/>
          <w:color w:val="auto"/>
        </w:rPr>
      </w:pPr>
    </w:p>
    <w:p>
      <w:pPr>
        <w:ind w:left="180" w:right="239" w:firstLine="916"/>
        <w:spacing w:after="0" w:line="256" w:lineRule="auto"/>
        <w:tabs>
          <w:tab w:leader="none" w:pos="1547"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indemnification and advance of Expenses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trustee, officer, partner, manager, managing member, fiduciary, employee or agent of any other foreign or domestic Entity that such person is or was serving in such capacity at the request of the Company, and shall inure to the benefit of Indemnitee and Indemnitee’s spouse, assigns, heirs, devisees, executors and administrators and other legal representatives.</w:t>
      </w:r>
    </w:p>
    <w:p>
      <w:pPr>
        <w:spacing w:after="0" w:line="126" w:lineRule="exact"/>
        <w:rPr>
          <w:rFonts w:ascii="Times New Roman" w:cs="Times New Roman" w:eastAsia="Times New Roman" w:hAnsi="Times New Roman"/>
          <w:sz w:val="15"/>
          <w:szCs w:val="15"/>
          <w:color w:val="auto"/>
        </w:rPr>
      </w:pPr>
    </w:p>
    <w:p>
      <w:pPr>
        <w:ind w:left="180" w:right="339" w:firstLine="916"/>
        <w:spacing w:after="0" w:line="262" w:lineRule="auto"/>
        <w:tabs>
          <w:tab w:leader="none" w:pos="1547"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20" w:lineRule="exact"/>
        <w:rPr>
          <w:rFonts w:ascii="Times New Roman" w:cs="Times New Roman" w:eastAsia="Times New Roman" w:hAnsi="Times New Roman"/>
          <w:sz w:val="15"/>
          <w:szCs w:val="15"/>
          <w:color w:val="auto"/>
        </w:rPr>
      </w:pPr>
    </w:p>
    <w:p>
      <w:pPr>
        <w:ind w:left="180" w:right="239" w:firstLine="916"/>
        <w:spacing w:after="0" w:line="255" w:lineRule="auto"/>
        <w:tabs>
          <w:tab w:leader="none" w:pos="1547"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Indemnitee agree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Indemnitee shall further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a court, and the Company hereby waives any such requirement of such a bond or undertaking.</w:t>
      </w:r>
    </w:p>
    <w:p>
      <w:pPr>
        <w:spacing w:after="0" w:line="126" w:lineRule="exact"/>
        <w:rPr>
          <w:sz w:val="20"/>
          <w:szCs w:val="20"/>
          <w:color w:val="auto"/>
        </w:rPr>
      </w:pPr>
    </w:p>
    <w:p>
      <w:pPr>
        <w:ind w:left="180" w:right="279" w:firstLine="456"/>
        <w:spacing w:after="0" w:line="268" w:lineRule="auto"/>
        <w:rPr>
          <w:sz w:val="20"/>
          <w:szCs w:val="20"/>
          <w:color w:val="auto"/>
        </w:rPr>
      </w:pPr>
      <w:r>
        <w:rPr>
          <w:rFonts w:ascii="Times New Roman" w:cs="Times New Roman" w:eastAsia="Times New Roman" w:hAnsi="Times New Roman"/>
          <w:sz w:val="15"/>
          <w:szCs w:val="15"/>
          <w:color w:val="auto"/>
        </w:rPr>
        <w:t xml:space="preserve">Section 22. </w:t>
      </w:r>
      <w:r>
        <w:rPr>
          <w:rFonts w:ascii="Times New Roman" w:cs="Times New Roman" w:eastAsia="Times New Roman" w:hAnsi="Times New Roman"/>
          <w:sz w:val="15"/>
          <w:szCs w:val="15"/>
          <w:u w:val="single" w:color="auto"/>
          <w:color w:val="auto"/>
        </w:rPr>
        <w:t>Change in Law</w:t>
      </w:r>
      <w:r>
        <w:rPr>
          <w:rFonts w:ascii="Times New Roman" w:cs="Times New Roman" w:eastAsia="Times New Roman" w:hAnsi="Times New Roman"/>
          <w:sz w:val="15"/>
          <w:szCs w:val="15"/>
          <w:color w:val="auto"/>
        </w:rPr>
        <w:t>. To the extent that a change in applicable law (whether by statute or judicial decision) shall permit broader indemnification than is provided under the terms of the Charter, the Bylaws and this Agreement, Indemnitee shall be entitled to such broader indemnification and this Agreement shall be deemed to be amended to such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223520</wp:posOffset>
            </wp:positionV>
            <wp:extent cx="5485130" cy="177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44">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38" w:name="page239"/>
    <w:bookmarkEnd w:id="238"/>
    <w:p>
      <w:pPr>
        <w:ind w:left="180" w:right="259" w:firstLine="456"/>
        <w:spacing w:after="0" w:line="255" w:lineRule="auto"/>
        <w:rPr>
          <w:sz w:val="20"/>
          <w:szCs w:val="20"/>
          <w:color w:val="auto"/>
        </w:rPr>
      </w:pPr>
      <w:r>
        <w:rPr>
          <w:rFonts w:ascii="Times New Roman" w:cs="Times New Roman" w:eastAsia="Times New Roman" w:hAnsi="Times New Roman"/>
          <w:sz w:val="15"/>
          <w:szCs w:val="15"/>
          <w:color w:val="auto"/>
        </w:rPr>
        <w:t xml:space="preserve">Section 23.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provision or provisions of this Agreement shall be held to be invalid, void, illegal or otherwise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26" w:lineRule="exact"/>
        <w:rPr>
          <w:sz w:val="20"/>
          <w:szCs w:val="20"/>
          <w:color w:val="auto"/>
        </w:rPr>
      </w:pPr>
    </w:p>
    <w:p>
      <w:pPr>
        <w:ind w:left="180" w:right="599" w:firstLine="456"/>
        <w:spacing w:after="0" w:line="285" w:lineRule="auto"/>
        <w:rPr>
          <w:sz w:val="20"/>
          <w:szCs w:val="20"/>
          <w:color w:val="auto"/>
        </w:rPr>
      </w:pPr>
      <w:r>
        <w:rPr>
          <w:rFonts w:ascii="Times New Roman" w:cs="Times New Roman" w:eastAsia="Times New Roman" w:hAnsi="Times New Roman"/>
          <w:sz w:val="15"/>
          <w:szCs w:val="15"/>
          <w:color w:val="auto"/>
        </w:rPr>
        <w:t xml:space="preserve">Section 24. </w:t>
      </w: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The headings of the paragraphs of this Agreement are inserted for convenience only and shall not be deemed to constitute part of this Agreement or to affect the construction thereof.</w:t>
      </w:r>
    </w:p>
    <w:p>
      <w:pPr>
        <w:spacing w:after="0" w:line="103" w:lineRule="exact"/>
        <w:rPr>
          <w:sz w:val="20"/>
          <w:szCs w:val="20"/>
          <w:color w:val="auto"/>
        </w:rPr>
      </w:pPr>
    </w:p>
    <w:p>
      <w:pPr>
        <w:ind w:left="180" w:right="319" w:firstLine="456"/>
        <w:spacing w:after="0" w:line="265" w:lineRule="auto"/>
        <w:rPr>
          <w:sz w:val="20"/>
          <w:szCs w:val="20"/>
          <w:color w:val="auto"/>
        </w:rPr>
      </w:pPr>
      <w:r>
        <w:rPr>
          <w:rFonts w:ascii="Times New Roman" w:cs="Times New Roman" w:eastAsia="Times New Roman" w:hAnsi="Times New Roman"/>
          <w:sz w:val="15"/>
          <w:szCs w:val="15"/>
          <w:color w:val="auto"/>
        </w:rPr>
        <w:t xml:space="preserve">Section 25. </w:t>
      </w:r>
      <w:r>
        <w:rPr>
          <w:rFonts w:ascii="Times New Roman" w:cs="Times New Roman" w:eastAsia="Times New Roman" w:hAnsi="Times New Roman"/>
          <w:sz w:val="15"/>
          <w:szCs w:val="15"/>
          <w:u w:val="single" w:color="auto"/>
          <w:color w:val="auto"/>
        </w:rPr>
        <w:t>Modification and Waiver</w:t>
      </w:r>
      <w:r>
        <w:rPr>
          <w:rFonts w:ascii="Times New Roman" w:cs="Times New Roman" w:eastAsia="Times New Roman" w:hAnsi="Times New Roman"/>
          <w:sz w:val="15"/>
          <w:szCs w:val="15"/>
          <w:color w:val="auto"/>
        </w:rPr>
        <w:t>.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unless otherwise expressly stated, shall such waiver constitute a continuing waiver.</w:t>
      </w:r>
    </w:p>
    <w:p>
      <w:pPr>
        <w:spacing w:after="0" w:line="302" w:lineRule="exact"/>
        <w:rPr>
          <w:sz w:val="20"/>
          <w:szCs w:val="20"/>
          <w:color w:val="auto"/>
        </w:rPr>
      </w:pPr>
    </w:p>
    <w:p>
      <w:pPr>
        <w:ind w:left="180" w:right="259" w:firstLine="456"/>
        <w:spacing w:after="0" w:line="262" w:lineRule="auto"/>
        <w:rPr>
          <w:sz w:val="20"/>
          <w:szCs w:val="20"/>
          <w:color w:val="auto"/>
        </w:rPr>
      </w:pPr>
      <w:r>
        <w:rPr>
          <w:rFonts w:ascii="Times New Roman" w:cs="Times New Roman" w:eastAsia="Times New Roman" w:hAnsi="Times New Roman"/>
          <w:sz w:val="15"/>
          <w:szCs w:val="15"/>
          <w:color w:val="auto"/>
        </w:rPr>
        <w:t xml:space="preserve">Section 26.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requests, demands and other communications hereunder shall be in writing and shall be deemed to have been duly given if (i) delivered by hand and receipted for by the party to whom said notice or other communication shall have been directed, on the day of such delivery, or (ii) mailed by certified or registered mail with postage prepaid, on the third business day after the date on which it is so mailed:</w:t>
      </w:r>
    </w:p>
    <w:p>
      <w:pPr>
        <w:spacing w:after="0" w:line="120" w:lineRule="exact"/>
        <w:rPr>
          <w:sz w:val="20"/>
          <w:szCs w:val="20"/>
          <w:color w:val="auto"/>
        </w:rPr>
      </w:pPr>
    </w:p>
    <w:p>
      <w:pPr>
        <w:ind w:left="1560" w:hanging="464"/>
        <w:spacing w:after="0"/>
        <w:tabs>
          <w:tab w:leader="none" w:pos="15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Indemnitee, to the address set forth on the signature page hereto.</w:t>
      </w:r>
    </w:p>
    <w:p>
      <w:pPr>
        <w:spacing w:after="0" w:line="159" w:lineRule="exact"/>
        <w:rPr>
          <w:rFonts w:ascii="Times New Roman" w:cs="Times New Roman" w:eastAsia="Times New Roman" w:hAnsi="Times New Roman"/>
          <w:sz w:val="15"/>
          <w:szCs w:val="15"/>
          <w:color w:val="auto"/>
        </w:rPr>
      </w:pPr>
    </w:p>
    <w:p>
      <w:pPr>
        <w:ind w:left="1560" w:hanging="464"/>
        <w:spacing w:after="0"/>
        <w:tabs>
          <w:tab w:leader="none" w:pos="15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the Company, to:</w:t>
      </w:r>
    </w:p>
    <w:p>
      <w:pPr>
        <w:spacing w:after="0" w:line="159" w:lineRule="exact"/>
        <w:rPr>
          <w:rFonts w:ascii="Times New Roman" w:cs="Times New Roman" w:eastAsia="Times New Roman" w:hAnsi="Times New Roman"/>
          <w:sz w:val="15"/>
          <w:szCs w:val="15"/>
          <w:color w:val="auto"/>
        </w:rPr>
      </w:pPr>
    </w:p>
    <w:p>
      <w:pPr>
        <w:ind w:left="15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Digital Realty Trust, Inc.</w:t>
      </w:r>
    </w:p>
    <w:p>
      <w:pPr>
        <w:spacing w:after="0" w:line="23" w:lineRule="exact"/>
        <w:rPr>
          <w:rFonts w:ascii="Times New Roman" w:cs="Times New Roman" w:eastAsia="Times New Roman" w:hAnsi="Times New Roman"/>
          <w:sz w:val="15"/>
          <w:szCs w:val="15"/>
          <w:color w:val="auto"/>
        </w:rPr>
      </w:pPr>
    </w:p>
    <w:p>
      <w:pPr>
        <w:ind w:left="1560" w:right="5379"/>
        <w:spacing w:after="0" w:line="25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 Embarcadero Center, Suite 3200 San Francisco, CA 94111 Phone: 415-738-6500 Facsimile: 415-738-6501</w:t>
      </w:r>
    </w:p>
    <w:p>
      <w:pPr>
        <w:spacing w:after="0" w:line="2" w:lineRule="exact"/>
        <w:rPr>
          <w:rFonts w:ascii="Times New Roman" w:cs="Times New Roman" w:eastAsia="Times New Roman" w:hAnsi="Times New Roman"/>
          <w:sz w:val="15"/>
          <w:szCs w:val="15"/>
          <w:color w:val="auto"/>
        </w:rPr>
      </w:pPr>
    </w:p>
    <w:p>
      <w:pPr>
        <w:ind w:left="15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Attn:  Executive Vice President, General Counsel</w:t>
      </w:r>
    </w:p>
    <w:p>
      <w:pPr>
        <w:spacing w:after="0" w:line="172" w:lineRule="exact"/>
        <w:rPr>
          <w:sz w:val="20"/>
          <w:szCs w:val="20"/>
          <w:color w:val="auto"/>
        </w:rPr>
      </w:pPr>
    </w:p>
    <w:p>
      <w:pPr>
        <w:ind w:left="180" w:right="299"/>
        <w:spacing w:after="0" w:line="285" w:lineRule="auto"/>
        <w:rPr>
          <w:sz w:val="20"/>
          <w:szCs w:val="20"/>
          <w:color w:val="auto"/>
        </w:rPr>
      </w:pPr>
      <w:r>
        <w:rPr>
          <w:rFonts w:ascii="Times New Roman" w:cs="Times New Roman" w:eastAsia="Times New Roman" w:hAnsi="Times New Roman"/>
          <w:sz w:val="15"/>
          <w:szCs w:val="15"/>
          <w:color w:val="auto"/>
        </w:rPr>
        <w:t>or to such other address as may have been furnished in writing to Indemnitee by the Company or to the Company by Indemnitee, as the case may be.</w:t>
      </w:r>
    </w:p>
    <w:p>
      <w:pPr>
        <w:spacing w:after="0" w:line="131" w:lineRule="exact"/>
        <w:rPr>
          <w:sz w:val="20"/>
          <w:szCs w:val="20"/>
          <w:color w:val="auto"/>
        </w:rPr>
      </w:pPr>
    </w:p>
    <w:p>
      <w:pPr>
        <w:ind w:left="180" w:right="379" w:firstLine="456"/>
        <w:spacing w:after="0" w:line="285" w:lineRule="auto"/>
        <w:rPr>
          <w:sz w:val="20"/>
          <w:szCs w:val="20"/>
          <w:color w:val="auto"/>
        </w:rPr>
      </w:pPr>
      <w:r>
        <w:rPr>
          <w:rFonts w:ascii="Times New Roman" w:cs="Times New Roman" w:eastAsia="Times New Roman" w:hAnsi="Times New Roman"/>
          <w:sz w:val="15"/>
          <w:szCs w:val="15"/>
          <w:color w:val="auto"/>
        </w:rPr>
        <w:t xml:space="preserve">Section 27.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This Agreement shall be governed by, and construed and enforced in accordance with, the laws of the State of Maryland, without regard to its conflicts of laws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215900</wp:posOffset>
            </wp:positionV>
            <wp:extent cx="5485130" cy="177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45">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39" w:name="page240"/>
    <w:bookmarkEnd w:id="239"/>
    <w:p>
      <w:pPr>
        <w:jc w:val="both"/>
        <w:ind w:left="180" w:right="299" w:firstLine="456"/>
        <w:spacing w:after="0" w:line="258" w:lineRule="auto"/>
        <w:rPr>
          <w:sz w:val="20"/>
          <w:szCs w:val="20"/>
          <w:color w:val="auto"/>
        </w:rPr>
      </w:pPr>
      <w:r>
        <w:rPr>
          <w:rFonts w:ascii="Times New Roman" w:cs="Times New Roman" w:eastAsia="Times New Roman" w:hAnsi="Times New Roman"/>
          <w:sz w:val="15"/>
          <w:szCs w:val="15"/>
          <w:color w:val="auto"/>
        </w:rPr>
        <w:t xml:space="preserve">Section 28. </w:t>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may be executed in one or more counterparts (delivery of which may be by facsimile or via e-mail as a portable document format (.pdf) or other electronic format), each of which will be deemed to be an original, and it will not be necessary in making proof of this Agreement or the terms of this Agreement to produce or account for more than one such counterpart.</w:t>
      </w:r>
    </w:p>
    <w:p>
      <w:pPr>
        <w:spacing w:after="0" w:line="1" w:lineRule="exact"/>
        <w:rPr>
          <w:sz w:val="20"/>
          <w:szCs w:val="20"/>
          <w:color w:val="auto"/>
        </w:rPr>
      </w:pPr>
    </w:p>
    <w:p>
      <w:pPr>
        <w:ind w:left="180" w:right="899"/>
        <w:spacing w:after="0" w:line="263" w:lineRule="auto"/>
        <w:rPr>
          <w:sz w:val="20"/>
          <w:szCs w:val="20"/>
          <w:color w:val="auto"/>
        </w:rPr>
      </w:pPr>
      <w:r>
        <w:rPr>
          <w:rFonts w:ascii="Times New Roman" w:cs="Times New Roman" w:eastAsia="Times New Roman" w:hAnsi="Times New Roman"/>
          <w:sz w:val="15"/>
          <w:szCs w:val="15"/>
          <w:color w:val="auto"/>
        </w:rPr>
        <w:t>One such counterpart signed by the party against whom enforceability is sought shall be sufficient to evidence the existence of this Agreement.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254635</wp:posOffset>
            </wp:positionV>
            <wp:extent cx="5485130" cy="177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46">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40" w:name="page241"/>
    <w:bookmarkEnd w:id="240"/>
    <w:p>
      <w:pPr>
        <w:ind w:left="640"/>
        <w:spacing w:after="0"/>
        <w:rPr>
          <w:sz w:val="20"/>
          <w:szCs w:val="20"/>
          <w:color w:val="auto"/>
        </w:rPr>
      </w:pPr>
      <w:r>
        <w:rPr>
          <w:rFonts w:ascii="Times New Roman" w:cs="Times New Roman" w:eastAsia="Times New Roman" w:hAnsi="Times New Roman"/>
          <w:sz w:val="15"/>
          <w:szCs w:val="15"/>
          <w:color w:val="auto"/>
        </w:rPr>
        <w:t>IN WITNESS WHEREOF, the parties hereto have executed this Agreement as of the day and year first above written.</w:t>
      </w:r>
    </w:p>
    <w:p>
      <w:pPr>
        <w:sectPr>
          <w:pgSz w:w="11900" w:h="16838" w:orient="portrait"/>
          <w:cols w:equalWidth="0" w:num="1">
            <w:col w:w="9019"/>
          </w:cols>
          <w:pgMar w:left="1440" w:top="131" w:right="1440" w:bottom="1440" w:gutter="0" w:footer="0" w:header="0"/>
        </w:sectPr>
      </w:pPr>
    </w:p>
    <w:p>
      <w:pPr>
        <w:spacing w:after="0" w:line="1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color w:val="auto"/>
        </w:rPr>
        <w:t>DIGITAL REALTY TRUST, INC.</w:t>
      </w:r>
    </w:p>
    <w:p>
      <w:pPr>
        <w:spacing w:after="0" w:line="200" w:lineRule="exact"/>
        <w:rPr>
          <w:sz w:val="20"/>
          <w:szCs w:val="20"/>
          <w:color w:val="auto"/>
        </w:rPr>
      </w:pPr>
    </w:p>
    <w:p>
      <w:pPr>
        <w:spacing w:after="0" w:line="34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color w:val="auto"/>
        </w:rPr>
        <w:t>By: ________________________________</w:t>
      </w:r>
    </w:p>
    <w:p>
      <w:pPr>
        <w:spacing w:after="0" w:line="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5"/>
          <w:szCs w:val="15"/>
          <w:color w:val="auto"/>
        </w:rPr>
        <w:t>Name:</w:t>
      </w:r>
    </w:p>
    <w:p>
      <w:pPr>
        <w:spacing w:after="0" w:line="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5"/>
          <w:szCs w:val="15"/>
          <w:color w:val="auto"/>
        </w:rPr>
        <w:t>Title:</w:t>
      </w:r>
    </w:p>
    <w:p>
      <w:pPr>
        <w:spacing w:after="0" w:line="35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color w:val="auto"/>
        </w:rPr>
        <w:t>INDEMNITEE</w:t>
      </w:r>
    </w:p>
    <w:p>
      <w:pPr>
        <w:spacing w:after="0" w:line="200" w:lineRule="exact"/>
        <w:rPr>
          <w:sz w:val="20"/>
          <w:szCs w:val="20"/>
          <w:color w:val="auto"/>
        </w:rPr>
      </w:pPr>
    </w:p>
    <w:p>
      <w:pPr>
        <w:spacing w:after="0" w:line="34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color w:val="auto"/>
        </w:rPr>
        <w:t>____________________________________</w:t>
      </w:r>
    </w:p>
    <w:p>
      <w:pPr>
        <w:spacing w:after="0" w:line="2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color w:val="auto"/>
        </w:rPr>
        <w:t>Name:</w:t>
      </w:r>
    </w:p>
    <w:p>
      <w:pPr>
        <w:spacing w:after="0" w:line="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585470</wp:posOffset>
            </wp:positionV>
            <wp:extent cx="5485130" cy="177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7">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type w:val="continuous"/>
        </w:sectPr>
      </w:pPr>
    </w:p>
    <w:bookmarkStart w:id="241" w:name="page242"/>
    <w:bookmarkEnd w:id="241"/>
    <w:p>
      <w:pPr>
        <w:ind w:left="4100"/>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16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5"/>
          <w:szCs w:val="15"/>
          <w:color w:val="auto"/>
        </w:rPr>
        <w:t>AFFIRMATION AND UNDERTAKING TO REPAY EXPENSES ADVANCED</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To: The Board of Directors of Digital Realty Trust, Inc.</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Re: Affirmation and Undertaking</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88" w:lineRule="exact"/>
        <w:rPr>
          <w:sz w:val="20"/>
          <w:szCs w:val="20"/>
          <w:color w:val="auto"/>
        </w:rPr>
      </w:pPr>
    </w:p>
    <w:p>
      <w:pPr>
        <w:ind w:left="180" w:right="399" w:firstLine="456"/>
        <w:spacing w:after="0" w:line="262" w:lineRule="auto"/>
        <w:rPr>
          <w:sz w:val="20"/>
          <w:szCs w:val="20"/>
          <w:color w:val="auto"/>
        </w:rPr>
      </w:pPr>
      <w:r>
        <w:rPr>
          <w:rFonts w:ascii="Times New Roman" w:cs="Times New Roman" w:eastAsia="Times New Roman" w:hAnsi="Times New Roman"/>
          <w:sz w:val="15"/>
          <w:szCs w:val="15"/>
          <w:color w:val="auto"/>
        </w:rPr>
        <w:t>This Affirmation and Undertaking is being provided pursuant to that certain [Amended and Restated] Indemnification Agreement, dated the _____ day of _______________, 2020, by and between Digital Realty Trust, Inc., a Maryland corporation (the “Company”), and</w:t>
      </w:r>
    </w:p>
    <w:p>
      <w:pPr>
        <w:ind w:left="180" w:right="359"/>
        <w:spacing w:after="0" w:line="263" w:lineRule="auto"/>
        <w:rPr>
          <w:sz w:val="20"/>
          <w:szCs w:val="20"/>
          <w:color w:val="auto"/>
        </w:rPr>
      </w:pPr>
      <w:r>
        <w:rPr>
          <w:rFonts w:ascii="Times New Roman" w:cs="Times New Roman" w:eastAsia="Times New Roman" w:hAnsi="Times New Roman"/>
          <w:sz w:val="15"/>
          <w:szCs w:val="15"/>
          <w:color w:val="auto"/>
        </w:rPr>
        <w:t xml:space="preserve">the undersigned Indemnitee (the “Indemnification Agreement”), pursuant to which I am entitled to advance of Expenses in connection with </w:t>
      </w:r>
      <w:r>
        <w:rPr>
          <w:rFonts w:ascii="Times New Roman" w:cs="Times New Roman" w:eastAsia="Times New Roman" w:hAnsi="Times New Roman"/>
          <w:sz w:val="15"/>
          <w:szCs w:val="15"/>
          <w:b w:val="1"/>
          <w:bCs w:val="1"/>
          <w:color w:val="auto"/>
        </w:rPr>
        <w:t xml:space="preserve">[Description of Proceeding] </w:t>
      </w:r>
      <w:r>
        <w:rPr>
          <w:rFonts w:ascii="Times New Roman" w:cs="Times New Roman" w:eastAsia="Times New Roman" w:hAnsi="Times New Roman"/>
          <w:sz w:val="15"/>
          <w:szCs w:val="15"/>
          <w:color w:val="auto"/>
        </w:rPr>
        <w:t>(the “Proceeding”).</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Terms used herein and not otherwise defined shall have the meanings specified in the Indemnification Agreement.</w:t>
      </w:r>
    </w:p>
    <w:p>
      <w:pPr>
        <w:spacing w:after="0" w:line="160" w:lineRule="exact"/>
        <w:rPr>
          <w:sz w:val="20"/>
          <w:szCs w:val="20"/>
          <w:color w:val="auto"/>
        </w:rPr>
      </w:pPr>
    </w:p>
    <w:p>
      <w:pPr>
        <w:ind w:left="180" w:right="239" w:firstLine="456"/>
        <w:spacing w:after="0" w:line="259" w:lineRule="auto"/>
        <w:rPr>
          <w:sz w:val="20"/>
          <w:szCs w:val="20"/>
          <w:color w:val="auto"/>
        </w:rPr>
      </w:pPr>
      <w:r>
        <w:rPr>
          <w:rFonts w:ascii="Times New Roman" w:cs="Times New Roman" w:eastAsia="Times New Roman" w:hAnsi="Times New Roman"/>
          <w:sz w:val="15"/>
          <w:szCs w:val="15"/>
          <w:color w:val="auto"/>
        </w:rPr>
        <w:t>I am subject to the Proceeding by reason of my Corporate Status or by reason of alleged actions or omissions by me in such capacity. I hereby affirm my good faith belief that at all times, insofar as I was involved as a director or officer of the Company, in any of the facts or events giving rise to the Proceeding, I (1) did not act with bad faith or active or deliberate dishonesty, (2) did not receive any improper personal benefit in money, property or services and (3) in the case of any criminal proceeding, had no reasonable cause to believe that any act or omission by me was unlawful.</w:t>
      </w:r>
    </w:p>
    <w:p>
      <w:pPr>
        <w:spacing w:after="0" w:line="123" w:lineRule="exact"/>
        <w:rPr>
          <w:sz w:val="20"/>
          <w:szCs w:val="20"/>
          <w:color w:val="auto"/>
        </w:rPr>
      </w:pPr>
    </w:p>
    <w:p>
      <w:pPr>
        <w:ind w:left="180" w:right="259" w:firstLine="456"/>
        <w:spacing w:after="0" w:line="257" w:lineRule="auto"/>
        <w:rPr>
          <w:sz w:val="20"/>
          <w:szCs w:val="20"/>
          <w:color w:val="auto"/>
        </w:rPr>
      </w:pPr>
      <w:r>
        <w:rPr>
          <w:rFonts w:ascii="Times New Roman" w:cs="Times New Roman" w:eastAsia="Times New Roman" w:hAnsi="Times New Roman"/>
          <w:sz w:val="15"/>
          <w:szCs w:val="15"/>
          <w:color w:val="auto"/>
        </w:rPr>
        <w:t>In consideration of the advance by the Company for Expenses incurred by me in connection with the Proceeding (the “Advanced Expenses”), I hereby agree that if, in connection with the Proceeding, it is established that (1) an act or omission by me was material to the matter giving rise to the Proceeding and (a) was committed in bad faith or (b) was the result of active and deliberate dishonesty, (2) I actually received an improper personal benefit in money, property or services or (3) in the case of any criminal proceeding, I had reasonable cause to believe that the act or omission was unlawful, then I shall promptly reimburse the portion of the Advanced Expenses relating to the claims, issues or matters in the Proceeding as to which the foregoing findings have been established.</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IN WITNESS WHEREOF, I have executed this Affirmation and Undertaking on this _____ day of _______________, 20____.</w:t>
      </w:r>
    </w:p>
    <w:p>
      <w:pPr>
        <w:spacing w:after="0" w:line="200" w:lineRule="exact"/>
        <w:rPr>
          <w:sz w:val="20"/>
          <w:szCs w:val="20"/>
          <w:color w:val="auto"/>
        </w:rPr>
      </w:pPr>
    </w:p>
    <w:p>
      <w:pPr>
        <w:spacing w:after="0" w:line="3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5"/>
          <w:szCs w:val="15"/>
          <w:color w:val="auto"/>
        </w:rPr>
        <w:t>_____________________________</w:t>
      </w:r>
    </w:p>
    <w:p>
      <w:pPr>
        <w:spacing w:after="0" w:line="2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241935</wp:posOffset>
            </wp:positionV>
            <wp:extent cx="5485130" cy="177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8">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42" w:name="page243"/>
    <w:bookmarkEnd w:id="242"/>
    <w:tbl>
      <w:tblPr>
        <w:tblLayout w:type="fixed"/>
        <w:tblInd w:w="190" w:type="dxa"/>
        <w:tblCellMar>
          <w:top w:w="0" w:type="dxa"/>
          <w:left w:w="0" w:type="dxa"/>
          <w:bottom w:w="0" w:type="dxa"/>
          <w:right w:w="0" w:type="dxa"/>
        </w:tblCellMar>
      </w:tblPr>
      <w:tr>
        <w:trPr>
          <w:trHeight w:val="167"/>
        </w:trPr>
        <w:tc>
          <w:tcPr>
            <w:tcW w:w="5980" w:type="dxa"/>
            <w:vAlign w:val="bottom"/>
            <w:gridSpan w:val="2"/>
            <w:vMerge w:val="restart"/>
          </w:tcPr>
          <w:p>
            <w:pPr>
              <w:ind w:left="3040"/>
              <w:spacing w:after="0"/>
              <w:rPr>
                <w:sz w:val="20"/>
                <w:szCs w:val="20"/>
                <w:color w:val="auto"/>
              </w:rPr>
            </w:pPr>
            <w:r>
              <w:rPr>
                <w:rFonts w:ascii="Times New Roman" w:cs="Times New Roman" w:eastAsia="Times New Roman" w:hAnsi="Times New Roman"/>
                <w:sz w:val="13"/>
                <w:szCs w:val="13"/>
                <w:b w:val="1"/>
                <w:bCs w:val="1"/>
                <w:color w:val="auto"/>
              </w:rPr>
              <w:t>List of Subsidiaries of Digital Realty Trust, Inc.</w:t>
            </w:r>
          </w:p>
        </w:tc>
        <w:tc>
          <w:tcPr>
            <w:tcW w:w="2680" w:type="dxa"/>
            <w:vAlign w:val="bottom"/>
            <w:gridSpan w:val="2"/>
          </w:tcPr>
          <w:p>
            <w:pPr>
              <w:ind w:left="2000"/>
              <w:spacing w:after="0"/>
              <w:rPr>
                <w:sz w:val="20"/>
                <w:szCs w:val="20"/>
                <w:color w:val="auto"/>
              </w:rPr>
            </w:pPr>
            <w:r>
              <w:rPr>
                <w:rFonts w:ascii="Times New Roman" w:cs="Times New Roman" w:eastAsia="Times New Roman" w:hAnsi="Times New Roman"/>
                <w:sz w:val="13"/>
                <w:szCs w:val="13"/>
                <w:b w:val="1"/>
                <w:bCs w:val="1"/>
                <w:color w:val="auto"/>
                <w:w w:val="98"/>
              </w:rPr>
              <w:t>Exhibit 21.1</w:t>
            </w: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6"/>
        </w:trPr>
        <w:tc>
          <w:tcPr>
            <w:tcW w:w="5680" w:type="dxa"/>
            <w:vAlign w:val="bottom"/>
            <w:tcBorders>
              <w:bottom w:val="single" w:sz="8" w:color="8FAADC"/>
            </w:tcBorders>
          </w:tcPr>
          <w:p>
            <w:pPr>
              <w:spacing w:after="0"/>
              <w:rPr>
                <w:sz w:val="24"/>
                <w:szCs w:val="24"/>
                <w:color w:val="auto"/>
              </w:rPr>
            </w:pPr>
          </w:p>
        </w:tc>
        <w:tc>
          <w:tcPr>
            <w:tcW w:w="300" w:type="dxa"/>
            <w:vAlign w:val="bottom"/>
            <w:tcBorders>
              <w:bottom w:val="single" w:sz="8" w:color="8FAADC"/>
            </w:tcBorders>
          </w:tcPr>
          <w:p>
            <w:pPr>
              <w:spacing w:after="0"/>
              <w:rPr>
                <w:sz w:val="24"/>
                <w:szCs w:val="24"/>
                <w:color w:val="auto"/>
              </w:rPr>
            </w:pPr>
          </w:p>
        </w:tc>
        <w:tc>
          <w:tcPr>
            <w:tcW w:w="2660" w:type="dxa"/>
            <w:vAlign w:val="bottom"/>
            <w:tcBorders>
              <w:bottom w:val="single" w:sz="8" w:color="8FAAD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b w:val="1"/>
                <w:bCs w:val="1"/>
                <w:color w:val="auto"/>
              </w:rPr>
              <w:t>Entity Name</w:t>
            </w:r>
          </w:p>
        </w:tc>
        <w:tc>
          <w:tcPr>
            <w:tcW w:w="2660" w:type="dxa"/>
            <w:vAlign w:val="bottom"/>
            <w:shd w:val="clear" w:color="auto" w:fill="DAE3F3"/>
          </w:tcPr>
          <w:p>
            <w:pPr>
              <w:jc w:val="center"/>
              <w:spacing w:after="0"/>
              <w:rPr>
                <w:sz w:val="20"/>
                <w:szCs w:val="20"/>
                <w:color w:val="auto"/>
              </w:rPr>
            </w:pPr>
            <w:r>
              <w:rPr>
                <w:rFonts w:ascii="Arial" w:cs="Arial" w:eastAsia="Arial" w:hAnsi="Arial"/>
                <w:sz w:val="11"/>
                <w:szCs w:val="11"/>
                <w:b w:val="1"/>
                <w:bCs w:val="1"/>
                <w:color w:val="auto"/>
              </w:rPr>
              <w:t>Jurisdiction of Incorporation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680" w:type="dxa"/>
            <w:vAlign w:val="bottom"/>
            <w:tcBorders>
              <w:top w:val="single" w:sz="8" w:color="auto"/>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1100 Space Park Holding Company LLC</w:t>
            </w:r>
          </w:p>
        </w:tc>
        <w:tc>
          <w:tcPr>
            <w:tcW w:w="300" w:type="dxa"/>
            <w:vAlign w:val="bottom"/>
            <w:tcBorders>
              <w:top w:val="single" w:sz="8" w:color="8FAADC"/>
              <w:bottom w:val="single" w:sz="8" w:color="8FAADC"/>
            </w:tcBorders>
          </w:tcPr>
          <w:p>
            <w:pPr>
              <w:spacing w:after="0"/>
              <w:rPr>
                <w:sz w:val="11"/>
                <w:szCs w:val="11"/>
                <w:color w:val="auto"/>
              </w:rPr>
            </w:pPr>
          </w:p>
        </w:tc>
        <w:tc>
          <w:tcPr>
            <w:tcW w:w="2660" w:type="dxa"/>
            <w:vAlign w:val="bottom"/>
            <w:tcBorders>
              <w:top w:val="single" w:sz="8" w:color="auto"/>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1100 Space Park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150 South First Street,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1500 Space Park Holdings,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1500 Space Park Partners,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1525 Comstock Partners,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California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1550 Space Park Partners,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200 Paul Holding Company,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200 Paul,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2001 Sixth Holdings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2001 Sixth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2020 Fifth Avenue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2045-2055 LaFayette Street,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2334 Lundy Holding Company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2334 Lundy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651 Walsh Partners,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Alshain Ventures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Ascenty Chile SpA</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Chile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Ascenty Data Centers e Telecomunicoes S.A.</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Brazil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Ascenty GP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Ascenty Holdings L.P.</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Ascenty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Ascenty Mexico Holding Ltd.</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United Kingdom (England and Wales)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Ascenty Participações S.A.</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Brazil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Ashburn Corporate Center Owners Association, Inc.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Virginia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Ashburn Corporate Center Phase I Unit Owners Association</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Virginia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Beaver Ventures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Blue Sling ACC 10,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Blue Sling ACC 2,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Blue Sling ACC 9,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Blue Sling Ventures,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BNY-Somerset NJ,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Collins Technology Park Partners,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Colo Properties Atlanta,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Cosmic Ventures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DBT,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Maryland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Devin Shafron E and F Land Condominium Owners Association, Inc.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Virginia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DF Property Manangement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DFT Canada LP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DFT Moose GP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Digital - Bryan Street Partnership, L.P.</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w w:val="99"/>
              </w:rPr>
              <w:t>Texas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Digital 113 N. Myers,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Digital 1201 Comstock,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Digital 125 N. Myers,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Digital 128 First Avenue,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Digital 1350 Duane,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Digital 1500 Space Park Borrower,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Digital 1500 Space Park,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Digital 1550 Space Park,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9"/>
        </w:trPr>
        <w:tc>
          <w:tcPr>
            <w:tcW w:w="5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243" w:name="page244"/>
    <w:bookmarkEnd w:id="243"/>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21.1</w:t>
      </w:r>
    </w:p>
    <w:p>
      <w:pPr>
        <w:spacing w:after="0" w:line="9" w:lineRule="exact"/>
        <w:rPr>
          <w:sz w:val="20"/>
          <w:szCs w:val="20"/>
          <w:color w:val="auto"/>
        </w:rPr>
      </w:pPr>
    </w:p>
    <w:tbl>
      <w:tblPr>
        <w:tblLayout w:type="fixed"/>
        <w:tblInd w:w="190" w:type="dxa"/>
        <w:tblCellMar>
          <w:top w:w="0" w:type="dxa"/>
          <w:left w:w="0" w:type="dxa"/>
          <w:bottom w:w="0" w:type="dxa"/>
          <w:right w:w="0" w:type="dxa"/>
        </w:tblCellMar>
      </w:tblPr>
      <w:tr>
        <w:trPr>
          <w:trHeight w:val="167"/>
        </w:trPr>
        <w:tc>
          <w:tcPr>
            <w:tcW w:w="286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List of Subsidiaries of Digital Realty Trust, Inc.</w:t>
            </w:r>
          </w:p>
        </w:tc>
      </w:tr>
      <w:tr>
        <w:trPr>
          <w:trHeight w:val="145"/>
        </w:trPr>
        <w:tc>
          <w:tcPr>
            <w:tcW w:w="2860" w:type="dxa"/>
            <w:vAlign w:val="bottom"/>
          </w:tcPr>
          <w:p>
            <w:pPr>
              <w:spacing w:after="0"/>
              <w:rPr>
                <w:sz w:val="12"/>
                <w:szCs w:val="12"/>
                <w:color w:val="auto"/>
              </w:rPr>
            </w:pPr>
          </w:p>
        </w:tc>
        <w:tc>
          <w:tcPr>
            <w:tcW w:w="5780" w:type="dxa"/>
            <w:vAlign w:val="bottom"/>
          </w:tcPr>
          <w:p>
            <w:pPr>
              <w:spacing w:after="0"/>
              <w:rPr>
                <w:sz w:val="12"/>
                <w:szCs w:val="12"/>
                <w:color w:val="auto"/>
              </w:rPr>
            </w:pPr>
          </w:p>
        </w:tc>
      </w:tr>
      <w:tr>
        <w:trPr>
          <w:trHeight w:val="14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1725 Comstock,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2020 Fifth Avenue Investor,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21110 Ridgetop,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2121 South Price,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21561-21571 Beaumeade Circle,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2260 East El Segundo,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3011 Lafayette,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365 Main,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3825 NW Aloclek Place,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45845-45901 Nokes Boulevard,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55 Middlesex,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60 &amp; 80 Merritt,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717 GP,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717 Leonard, L.P.</w:t>
            </w:r>
          </w:p>
        </w:tc>
        <w:tc>
          <w:tcPr>
            <w:tcW w:w="578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w w:val="99"/>
              </w:rPr>
              <w:t>Texas</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717 LP,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720 2nd,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89th Place,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Akard,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Alfred,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Aquila,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Arizona Research Park II,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Ashburn CS,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Asia,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Australia Finco Pty Ltd</w:t>
            </w:r>
          </w:p>
        </w:tc>
        <w:tc>
          <w:tcPr>
            <w:tcW w:w="578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Australia</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Australia Investment Management Pty Limited</w:t>
            </w:r>
          </w:p>
        </w:tc>
        <w:tc>
          <w:tcPr>
            <w:tcW w:w="578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Australia</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BH 800 Holdco,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BH 800 M,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BH 800,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Bièvres SCI</w:t>
            </w:r>
          </w:p>
        </w:tc>
        <w:tc>
          <w:tcPr>
            <w:tcW w:w="578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w w:val="99"/>
              </w:rPr>
              <w:t>France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Cabot,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Chelsea,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Collins Technology Park Investor,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Commerce Boulevard,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Concord Center,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Connect,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Crawley 1 S.à r.l.</w:t>
            </w:r>
          </w:p>
        </w:tc>
        <w:tc>
          <w:tcPr>
            <w:tcW w:w="578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Luxembourg</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Crawley 2 S.à r.l.</w:t>
            </w:r>
          </w:p>
        </w:tc>
        <w:tc>
          <w:tcPr>
            <w:tcW w:w="578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Luxembourg</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Crawley 3 S.à r.l.</w:t>
            </w:r>
          </w:p>
        </w:tc>
        <w:tc>
          <w:tcPr>
            <w:tcW w:w="578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Luxembourg</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Deer Park 2,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Deer Park 3,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Doug Davis,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Dutch Finco B.V.</w:t>
            </w:r>
          </w:p>
        </w:tc>
        <w:tc>
          <w:tcPr>
            <w:tcW w:w="578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Netherlands</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East Cornell,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Erskine Park 2,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Erskine Park 3,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Erskine Park 4,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Euro Finco GP,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Euro Finco Partner Limited</w:t>
            </w:r>
          </w:p>
        </w:tc>
        <w:tc>
          <w:tcPr>
            <w:tcW w:w="578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British Virgin Islands</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Euro Finco, L.P.</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United Kingdom (Scotland)</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Euro Finco,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Federal Systems,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Filigree,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378"/>
        </w:trPr>
        <w:tc>
          <w:tcPr>
            <w:tcW w:w="286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4" w:right="1440" w:bottom="1440" w:gutter="0" w:footer="0" w:header="0"/>
        </w:sectPr>
      </w:pPr>
    </w:p>
    <w:bookmarkStart w:id="244" w:name="page245"/>
    <w:bookmarkEnd w:id="244"/>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21.1</w:t>
      </w:r>
    </w:p>
    <w:p>
      <w:pPr>
        <w:spacing w:after="0" w:line="9" w:lineRule="exact"/>
        <w:rPr>
          <w:sz w:val="20"/>
          <w:szCs w:val="20"/>
          <w:color w:val="auto"/>
        </w:rPr>
      </w:pPr>
    </w:p>
    <w:tbl>
      <w:tblPr>
        <w:tblLayout w:type="fixed"/>
        <w:tblInd w:w="190" w:type="dxa"/>
        <w:tblCellMar>
          <w:top w:w="0" w:type="dxa"/>
          <w:left w:w="0" w:type="dxa"/>
          <w:bottom w:w="0" w:type="dxa"/>
          <w:right w:w="0" w:type="dxa"/>
        </w:tblCellMar>
      </w:tblPr>
      <w:tr>
        <w:trPr>
          <w:trHeight w:val="167"/>
        </w:trPr>
        <w:tc>
          <w:tcPr>
            <w:tcW w:w="264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List of Subsidiaries of Digital Realty Trust, Inc.</w:t>
            </w:r>
          </w:p>
        </w:tc>
      </w:tr>
      <w:tr>
        <w:trPr>
          <w:trHeight w:val="145"/>
        </w:trPr>
        <w:tc>
          <w:tcPr>
            <w:tcW w:w="2640" w:type="dxa"/>
            <w:vAlign w:val="bottom"/>
          </w:tcPr>
          <w:p>
            <w:pPr>
              <w:spacing w:after="0"/>
              <w:rPr>
                <w:sz w:val="12"/>
                <w:szCs w:val="12"/>
                <w:color w:val="auto"/>
              </w:rPr>
            </w:pPr>
          </w:p>
        </w:tc>
        <w:tc>
          <w:tcPr>
            <w:tcW w:w="6000" w:type="dxa"/>
            <w:vAlign w:val="bottom"/>
          </w:tcPr>
          <w:p>
            <w:pPr>
              <w:spacing w:after="0"/>
              <w:rPr>
                <w:sz w:val="12"/>
                <w:szCs w:val="12"/>
                <w:color w:val="auto"/>
              </w:rPr>
            </w:pPr>
          </w:p>
        </w:tc>
      </w:tr>
      <w:tr>
        <w:trPr>
          <w:trHeight w:val="14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Frankfurt 2 B.V.</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Frankfurt GmbH</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Germany</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Garland,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Germany Cheetah GmbH</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Germany</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Germany Holding,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Gough,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Grand Avenue 2,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Grand Avenue 3,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Grand Avenue,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Greenfield B.V.</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Greenspoint, L.P.</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w w:val="99"/>
              </w:rPr>
              <w:t>Texas</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Greenspoint,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HK JV Holding Limited</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rPr>
              <w:t>British Virgin Islands</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Hoofddorp 2 B.V.</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Hoofddorp B.V.</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Intrepid Holding B.V.</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Investment Management Pte. Ltd.</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Singapore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Investments Holding,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Japan 1 Pte. Ltd.</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Singapore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Japan 2 Pte. Ltd.</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Singapore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Japan Holding Pte. Ltd.</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Singapore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Japan Investment Management GK</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w w:val="99"/>
              </w:rPr>
              <w:t>Japan</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Japan,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Korea,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Lafayette Chantilly,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Lafayette,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Lakeside 2,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Lakeside 3,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Lakeside Holdings,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Lakeside,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Lewisville,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London Limited</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United Kingdom (England and Wales)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Loudoun 3,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Loudoun II,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Loudoun IV,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Loudoun Parkway Center North,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Luxembourg II S.à r.l.</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rPr>
              <w:t>Luxembourg</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Luxembourg III S.à r.l.</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Luxembourg</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Luxembourg S.à r.l.</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rPr>
              <w:t>Luxembourg</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Macquarie Park,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Midway GP,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Midway, L.P.</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w w:val="99"/>
              </w:rPr>
              <w:t>Texas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Montigny SCI</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w w:val="99"/>
              </w:rPr>
              <w:t>France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Moran Holdings,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MP,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Netherlands 10 B.V.</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Netherlands 11 B.V.</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Netherlands 12 B.V.</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Netherlands 13 B.V.</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Netherlands I B.V.</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Netherlands II B.V.</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Netherlands III (Dublin) B.V.</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378"/>
        </w:trPr>
        <w:tc>
          <w:tcPr>
            <w:tcW w:w="264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4" w:right="1440" w:bottom="1440" w:gutter="0" w:footer="0" w:header="0"/>
        </w:sectPr>
      </w:pPr>
    </w:p>
    <w:bookmarkStart w:id="245" w:name="page246"/>
    <w:bookmarkEnd w:id="245"/>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21.1</w:t>
      </w:r>
    </w:p>
    <w:p>
      <w:pPr>
        <w:spacing w:after="0" w:line="9" w:lineRule="exact"/>
        <w:rPr>
          <w:sz w:val="20"/>
          <w:szCs w:val="20"/>
          <w:color w:val="auto"/>
        </w:rPr>
      </w:pPr>
    </w:p>
    <w:tbl>
      <w:tblPr>
        <w:tblLayout w:type="fixed"/>
        <w:tblInd w:w="190" w:type="dxa"/>
        <w:tblCellMar>
          <w:top w:w="0" w:type="dxa"/>
          <w:left w:w="0" w:type="dxa"/>
          <w:bottom w:w="0" w:type="dxa"/>
          <w:right w:w="0" w:type="dxa"/>
        </w:tblCellMar>
      </w:tblPr>
      <w:tr>
        <w:trPr>
          <w:trHeight w:val="167"/>
        </w:trPr>
        <w:tc>
          <w:tcPr>
            <w:tcW w:w="5980" w:type="dxa"/>
            <w:vAlign w:val="bottom"/>
          </w:tcPr>
          <w:p>
            <w:pPr>
              <w:ind w:left="3040"/>
              <w:spacing w:after="0"/>
              <w:rPr>
                <w:sz w:val="20"/>
                <w:szCs w:val="20"/>
                <w:color w:val="auto"/>
              </w:rPr>
            </w:pPr>
            <w:r>
              <w:rPr>
                <w:rFonts w:ascii="Times New Roman" w:cs="Times New Roman" w:eastAsia="Times New Roman" w:hAnsi="Times New Roman"/>
                <w:sz w:val="13"/>
                <w:szCs w:val="13"/>
                <w:b w:val="1"/>
                <w:bCs w:val="1"/>
                <w:color w:val="auto"/>
              </w:rPr>
              <w:t>List of Subsidiaries of Digital Realty Trust, Inc.</w:t>
            </w:r>
          </w:p>
        </w:tc>
        <w:tc>
          <w:tcPr>
            <w:tcW w:w="2660" w:type="dxa"/>
            <w:vAlign w:val="bottom"/>
          </w:tcPr>
          <w:p>
            <w:pPr>
              <w:spacing w:after="0"/>
              <w:rPr>
                <w:sz w:val="14"/>
                <w:szCs w:val="14"/>
                <w:color w:val="auto"/>
              </w:rPr>
            </w:pPr>
          </w:p>
        </w:tc>
      </w:tr>
      <w:tr>
        <w:trPr>
          <w:trHeight w:val="145"/>
        </w:trPr>
        <w:tc>
          <w:tcPr>
            <w:tcW w:w="59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Netherlands IV B.V.</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Netherlands</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Netherlands IV Holdings B.V.</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Netherlands</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Netherlands IX B.V.</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Netherlands</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Netherlands V B.V.</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Netherlands</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Netherlands VII B.V.</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Netherlands</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Netherlands VIII B.V.</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Netherlands</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Network Services,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Northlake,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Norwood Park 2,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Osaka 1 TMK</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w w:val="99"/>
              </w:rPr>
              <w:t>Japan</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Osaka 2 TMK</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w w:val="99"/>
              </w:rPr>
              <w:t>Japan</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Osaka 3 TMK</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w w:val="99"/>
              </w:rPr>
              <w:t>Japan</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Osaka 4 TMK</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w w:val="99"/>
              </w:rPr>
              <w:t>Japan</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Paris Holding SARL</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w w:val="99"/>
              </w:rPr>
              <w:t>France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Phoenix Van Buren,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Piscataway,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Printers Square,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(Blanchardstown) Limited</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Ireland</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(Cressex) S.à r.l.</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Luxembourg</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(Management Company) Limited</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Ireland</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(Manchester) S.à r.l.</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Luxembourg</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(Redhill) S.à r.l.</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Luxembourg</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(UK) Limited</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United Kingdom (England and Wales)</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(Welwyn) S.à r.l.</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Luxembourg</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Canada, Inc.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British Columbia</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Core Properties 1 Investor,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Core Properties 1 Manager,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Core Properties 2 Investor,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Core Properties 2 Manager,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Datafirm 2,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Datafirm,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Germany GmbH</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Germany</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Holdings US,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Korea Ltd.</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Korea, South</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Management France SARL</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w w:val="99"/>
              </w:rPr>
              <w:t>France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Management Services,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Mauritius Holdings Limited</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Mauritius</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Netherlands B.V.</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Netherlands</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Property Manager,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Trust, L.P.</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Maryland</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Trust,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Relocation Drive,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Saclay SCI</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w w:val="99"/>
              </w:rPr>
              <w:t>France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Savvis HK Holding 1 Limited</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British Virgin Islands</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Savvis HK JV Limited</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British Virgin Islands</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Savvis Investment Management HK Limited</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Hong Kong</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Savvis Management Subsidiary Limited</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Hong Kong</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Second Manassas 2,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Second Manassas,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Seoul No. 1 PIA Professional Investors Private Real Estate Investment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Korea, South</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Services Hong Kong Limited</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Hong Kong</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Services Phoenix,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378"/>
        </w:trPr>
        <w:tc>
          <w:tcPr>
            <w:tcW w:w="59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4" w:right="1440" w:bottom="1440" w:gutter="0" w:footer="0" w:header="0"/>
        </w:sectPr>
      </w:pPr>
    </w:p>
    <w:bookmarkStart w:id="246" w:name="page247"/>
    <w:bookmarkEnd w:id="246"/>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21.1</w:t>
      </w:r>
    </w:p>
    <w:p>
      <w:pPr>
        <w:spacing w:after="0" w:line="9" w:lineRule="exact"/>
        <w:rPr>
          <w:sz w:val="20"/>
          <w:szCs w:val="20"/>
          <w:color w:val="auto"/>
        </w:rPr>
      </w:pPr>
    </w:p>
    <w:tbl>
      <w:tblPr>
        <w:tblLayout w:type="fixed"/>
        <w:tblInd w:w="190" w:type="dxa"/>
        <w:tblCellMar>
          <w:top w:w="0" w:type="dxa"/>
          <w:left w:w="0" w:type="dxa"/>
          <w:bottom w:w="0" w:type="dxa"/>
          <w:right w:w="0" w:type="dxa"/>
        </w:tblCellMar>
      </w:tblPr>
      <w:tr>
        <w:trPr>
          <w:trHeight w:val="167"/>
        </w:trPr>
        <w:tc>
          <w:tcPr>
            <w:tcW w:w="2520" w:type="dxa"/>
            <w:vAlign w:val="bottom"/>
          </w:tcPr>
          <w:p>
            <w:pPr>
              <w:spacing w:after="0"/>
              <w:rPr>
                <w:sz w:val="14"/>
                <w:szCs w:val="14"/>
                <w:color w:val="auto"/>
              </w:rPr>
            </w:pPr>
          </w:p>
        </w:tc>
        <w:tc>
          <w:tcPr>
            <w:tcW w:w="612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List of Subsidiaries of Digital Realty Trust, Inc.</w:t>
            </w:r>
          </w:p>
        </w:tc>
      </w:tr>
      <w:tr>
        <w:trPr>
          <w:trHeight w:val="145"/>
        </w:trPr>
        <w:tc>
          <w:tcPr>
            <w:tcW w:w="2520" w:type="dxa"/>
            <w:vAlign w:val="bottom"/>
          </w:tcPr>
          <w:p>
            <w:pPr>
              <w:spacing w:after="0"/>
              <w:rPr>
                <w:sz w:val="12"/>
                <w:szCs w:val="12"/>
                <w:color w:val="auto"/>
              </w:rPr>
            </w:pPr>
          </w:p>
        </w:tc>
        <w:tc>
          <w:tcPr>
            <w:tcW w:w="6120" w:type="dxa"/>
            <w:vAlign w:val="bottom"/>
          </w:tcPr>
          <w:p>
            <w:pPr>
              <w:spacing w:after="0"/>
              <w:rPr>
                <w:sz w:val="12"/>
                <w:szCs w:val="12"/>
                <w:color w:val="auto"/>
              </w:rPr>
            </w:pPr>
          </w:p>
        </w:tc>
      </w:tr>
      <w:tr>
        <w:trPr>
          <w:trHeight w:val="14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Services, Inc.</w:t>
            </w:r>
          </w:p>
        </w:tc>
        <w:tc>
          <w:tcPr>
            <w:tcW w:w="6120" w:type="dxa"/>
            <w:vAlign w:val="bottom"/>
            <w:tcBorders>
              <w:bottom w:val="single" w:sz="8" w:color="8FAADC"/>
            </w:tcBorders>
            <w:shd w:val="clear" w:color="auto" w:fill="DAE3F3"/>
          </w:tcPr>
          <w:p>
            <w:pPr>
              <w:jc w:val="center"/>
              <w:ind w:left="3403"/>
              <w:spacing w:after="0"/>
              <w:rPr>
                <w:sz w:val="20"/>
                <w:szCs w:val="20"/>
                <w:color w:val="auto"/>
              </w:rPr>
            </w:pPr>
            <w:r>
              <w:rPr>
                <w:rFonts w:ascii="Arial" w:cs="Arial" w:eastAsia="Arial" w:hAnsi="Arial"/>
                <w:sz w:val="11"/>
                <w:szCs w:val="11"/>
                <w:color w:val="auto"/>
              </w:rPr>
              <w:t>Maryland</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Sierra Insurance Limited</w:t>
            </w:r>
          </w:p>
        </w:tc>
        <w:tc>
          <w:tcPr>
            <w:tcW w:w="6120" w:type="dxa"/>
            <w:vAlign w:val="bottom"/>
            <w:tcBorders>
              <w:bottom w:val="single" w:sz="8" w:color="8FAADC"/>
            </w:tcBorders>
          </w:tcPr>
          <w:p>
            <w:pPr>
              <w:jc w:val="center"/>
              <w:ind w:left="3403"/>
              <w:spacing w:after="0"/>
              <w:rPr>
                <w:sz w:val="20"/>
                <w:szCs w:val="20"/>
                <w:color w:val="auto"/>
              </w:rPr>
            </w:pPr>
            <w:r>
              <w:rPr>
                <w:rFonts w:ascii="Arial" w:cs="Arial" w:eastAsia="Arial" w:hAnsi="Arial"/>
                <w:sz w:val="11"/>
                <w:szCs w:val="11"/>
                <w:color w:val="auto"/>
              </w:rPr>
              <w:t>Nevada</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Singapore 1 Pte. Ltd.</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Singapore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Singapore 2 Pte. Ltd.</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Singapore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Singapore Jurong East Pte. Ltd.</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Singapore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Sixth &amp; Virginia,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Sling Investor,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South Price 2,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Stellar Holding, LLC</w:t>
            </w:r>
          </w:p>
        </w:tc>
        <w:tc>
          <w:tcPr>
            <w:tcW w:w="6120" w:type="dxa"/>
            <w:vAlign w:val="bottom"/>
            <w:tcBorders>
              <w:bottom w:val="single" w:sz="8" w:color="8FAADC"/>
            </w:tcBorders>
            <w:shd w:val="clear" w:color="auto" w:fill="DAE3F3"/>
          </w:tcPr>
          <w:p>
            <w:pPr>
              <w:jc w:val="center"/>
              <w:ind w:left="3403"/>
              <w:spacing w:after="0"/>
              <w:rPr>
                <w:sz w:val="20"/>
                <w:szCs w:val="20"/>
                <w:color w:val="auto"/>
              </w:rPr>
            </w:pPr>
            <w:r>
              <w:rPr>
                <w:rFonts w:ascii="Arial" w:cs="Arial" w:eastAsia="Arial" w:hAnsi="Arial"/>
                <w:sz w:val="11"/>
                <w:szCs w:val="11"/>
                <w:color w:val="auto"/>
              </w:rPr>
              <w:t>Maryland</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Stellar Newco,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Stellar Sub, LLC</w:t>
            </w:r>
          </w:p>
        </w:tc>
        <w:tc>
          <w:tcPr>
            <w:tcW w:w="6120" w:type="dxa"/>
            <w:vAlign w:val="bottom"/>
            <w:tcBorders>
              <w:bottom w:val="single" w:sz="8" w:color="8FAADC"/>
            </w:tcBorders>
            <w:shd w:val="clear" w:color="auto" w:fill="DAE3F3"/>
          </w:tcPr>
          <w:p>
            <w:pPr>
              <w:jc w:val="center"/>
              <w:ind w:left="3403"/>
              <w:spacing w:after="0"/>
              <w:rPr>
                <w:sz w:val="20"/>
                <w:szCs w:val="20"/>
                <w:color w:val="auto"/>
              </w:rPr>
            </w:pPr>
            <w:r>
              <w:rPr>
                <w:rFonts w:ascii="Arial" w:cs="Arial" w:eastAsia="Arial" w:hAnsi="Arial"/>
                <w:sz w:val="11"/>
                <w:szCs w:val="11"/>
                <w:color w:val="auto"/>
              </w:rPr>
              <w:t>Maryland</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Sterling Premier,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Stout Holding,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Tokyo 1 TMK</w:t>
            </w:r>
          </w:p>
        </w:tc>
        <w:tc>
          <w:tcPr>
            <w:tcW w:w="6120" w:type="dxa"/>
            <w:vAlign w:val="bottom"/>
            <w:tcBorders>
              <w:bottom w:val="single" w:sz="8" w:color="8FAADC"/>
            </w:tcBorders>
          </w:tcPr>
          <w:p>
            <w:pPr>
              <w:jc w:val="center"/>
              <w:ind w:left="3403"/>
              <w:spacing w:after="0"/>
              <w:rPr>
                <w:sz w:val="20"/>
                <w:szCs w:val="20"/>
                <w:color w:val="auto"/>
              </w:rPr>
            </w:pPr>
            <w:r>
              <w:rPr>
                <w:rFonts w:ascii="Arial" w:cs="Arial" w:eastAsia="Arial" w:hAnsi="Arial"/>
                <w:sz w:val="11"/>
                <w:szCs w:val="11"/>
                <w:color w:val="auto"/>
                <w:w w:val="99"/>
              </w:rPr>
              <w:t>Japan</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Toronto Business Trust</w:t>
            </w:r>
          </w:p>
        </w:tc>
        <w:tc>
          <w:tcPr>
            <w:tcW w:w="6120" w:type="dxa"/>
            <w:vAlign w:val="bottom"/>
            <w:tcBorders>
              <w:bottom w:val="single" w:sz="8" w:color="8FAADC"/>
            </w:tcBorders>
            <w:shd w:val="clear" w:color="auto" w:fill="DAE3F3"/>
          </w:tcPr>
          <w:p>
            <w:pPr>
              <w:jc w:val="center"/>
              <w:ind w:left="3403"/>
              <w:spacing w:after="0"/>
              <w:rPr>
                <w:sz w:val="20"/>
                <w:szCs w:val="20"/>
                <w:color w:val="auto"/>
              </w:rPr>
            </w:pPr>
            <w:r>
              <w:rPr>
                <w:rFonts w:ascii="Arial" w:cs="Arial" w:eastAsia="Arial" w:hAnsi="Arial"/>
                <w:sz w:val="11"/>
                <w:szCs w:val="11"/>
                <w:color w:val="auto"/>
              </w:rPr>
              <w:t>Maryland</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Toronto Nominee, Inc.</w:t>
            </w:r>
          </w:p>
        </w:tc>
        <w:tc>
          <w:tcPr>
            <w:tcW w:w="6120" w:type="dxa"/>
            <w:vAlign w:val="bottom"/>
            <w:tcBorders>
              <w:bottom w:val="single" w:sz="8" w:color="8FAADC"/>
            </w:tcBorders>
          </w:tcPr>
          <w:p>
            <w:pPr>
              <w:jc w:val="center"/>
              <w:ind w:left="3403"/>
              <w:spacing w:after="0"/>
              <w:rPr>
                <w:sz w:val="20"/>
                <w:szCs w:val="20"/>
                <w:color w:val="auto"/>
              </w:rPr>
            </w:pPr>
            <w:r>
              <w:rPr>
                <w:rFonts w:ascii="Arial" w:cs="Arial" w:eastAsia="Arial" w:hAnsi="Arial"/>
                <w:sz w:val="11"/>
                <w:szCs w:val="11"/>
                <w:color w:val="auto"/>
              </w:rPr>
              <w:t>British Columbia</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Totowa,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Towerview,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Trade Street,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UK Finco,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Walsh Holding,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Waltham,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Waterview,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WBX 2,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Western Lands,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Winter,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WL 0419,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WL 1968,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WL 2322,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WL 2834,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WL 5459,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WL 5628,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Digital-Bryan Street,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Digital-GCEAR1 (Ashburn),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Digital-PR Beaumeade Circle,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Digital-PR Devin Shafron E,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Digital-PR Dorothy,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Digital-PR FAA,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Digital-PR Mason King Court,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Digital-PR Old Ironsides 1,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Digital-PR Old Ironsides 2,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Digital-PR Toyama,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Digital-PR Venture,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Digital-PR Zanker,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Dipper Ventures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DLR 800 Central,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DLR LLC</w:t>
            </w:r>
          </w:p>
        </w:tc>
        <w:tc>
          <w:tcPr>
            <w:tcW w:w="6120" w:type="dxa"/>
            <w:vAlign w:val="bottom"/>
            <w:tcBorders>
              <w:bottom w:val="single" w:sz="8" w:color="8FAADC"/>
            </w:tcBorders>
            <w:shd w:val="clear" w:color="auto" w:fill="DAE3F3"/>
          </w:tcPr>
          <w:p>
            <w:pPr>
              <w:jc w:val="center"/>
              <w:ind w:left="3403"/>
              <w:spacing w:after="0"/>
              <w:rPr>
                <w:sz w:val="20"/>
                <w:szCs w:val="20"/>
                <w:color w:val="auto"/>
              </w:rPr>
            </w:pPr>
            <w:r>
              <w:rPr>
                <w:rFonts w:ascii="Arial" w:cs="Arial" w:eastAsia="Arial" w:hAnsi="Arial"/>
                <w:sz w:val="11"/>
                <w:szCs w:val="11"/>
                <w:color w:val="auto"/>
              </w:rPr>
              <w:t>Maryland</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DN 39J 7A,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DRT Greenspoint,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DRT-Bryan Street,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DuPont Fabros Technology, L.P.</w:t>
            </w:r>
          </w:p>
        </w:tc>
        <w:tc>
          <w:tcPr>
            <w:tcW w:w="6120" w:type="dxa"/>
            <w:vAlign w:val="bottom"/>
            <w:tcBorders>
              <w:bottom w:val="single" w:sz="8" w:color="8FAADC"/>
            </w:tcBorders>
            <w:shd w:val="clear" w:color="auto" w:fill="DAE3F3"/>
          </w:tcPr>
          <w:p>
            <w:pPr>
              <w:jc w:val="center"/>
              <w:ind w:left="3403"/>
              <w:spacing w:after="0"/>
              <w:rPr>
                <w:sz w:val="20"/>
                <w:szCs w:val="20"/>
                <w:color w:val="auto"/>
              </w:rPr>
            </w:pPr>
            <w:r>
              <w:rPr>
                <w:rFonts w:ascii="Arial" w:cs="Arial" w:eastAsia="Arial" w:hAnsi="Arial"/>
                <w:sz w:val="11"/>
                <w:szCs w:val="11"/>
                <w:color w:val="auto"/>
              </w:rPr>
              <w:t>Maryland</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Elk Ventures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378"/>
        </w:trPr>
        <w:tc>
          <w:tcPr>
            <w:tcW w:w="25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5" w:right="1440" w:bottom="1440" w:gutter="0" w:footer="0" w:header="0"/>
        </w:sectPr>
      </w:pPr>
    </w:p>
    <w:bookmarkStart w:id="247" w:name="page248"/>
    <w:bookmarkEnd w:id="247"/>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21.1</w:t>
      </w:r>
    </w:p>
    <w:p>
      <w:pPr>
        <w:spacing w:after="0" w:line="9" w:lineRule="exact"/>
        <w:rPr>
          <w:sz w:val="20"/>
          <w:szCs w:val="20"/>
          <w:color w:val="auto"/>
        </w:rPr>
      </w:pPr>
    </w:p>
    <w:tbl>
      <w:tblPr>
        <w:tblLayout w:type="fixed"/>
        <w:tblInd w:w="190" w:type="dxa"/>
        <w:tblCellMar>
          <w:top w:w="0" w:type="dxa"/>
          <w:left w:w="0" w:type="dxa"/>
          <w:bottom w:w="0" w:type="dxa"/>
          <w:right w:w="0" w:type="dxa"/>
        </w:tblCellMar>
      </w:tblPr>
      <w:tr>
        <w:trPr>
          <w:trHeight w:val="167"/>
        </w:trPr>
        <w:tc>
          <w:tcPr>
            <w:tcW w:w="2720" w:type="dxa"/>
            <w:vAlign w:val="bottom"/>
          </w:tcPr>
          <w:p>
            <w:pPr>
              <w:spacing w:after="0"/>
              <w:rPr>
                <w:sz w:val="14"/>
                <w:szCs w:val="14"/>
                <w:color w:val="auto"/>
              </w:rPr>
            </w:pPr>
          </w:p>
        </w:tc>
        <w:tc>
          <w:tcPr>
            <w:tcW w:w="592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List of Subsidiaries of Digital Realty Trust, Inc.</w:t>
            </w:r>
          </w:p>
        </w:tc>
      </w:tr>
      <w:tr>
        <w:trPr>
          <w:trHeight w:val="145"/>
        </w:trPr>
        <w:tc>
          <w:tcPr>
            <w:tcW w:w="2720" w:type="dxa"/>
            <w:vAlign w:val="bottom"/>
          </w:tcPr>
          <w:p>
            <w:pPr>
              <w:spacing w:after="0"/>
              <w:rPr>
                <w:sz w:val="12"/>
                <w:szCs w:val="12"/>
                <w:color w:val="auto"/>
              </w:rPr>
            </w:pPr>
          </w:p>
        </w:tc>
        <w:tc>
          <w:tcPr>
            <w:tcW w:w="5920" w:type="dxa"/>
            <w:vAlign w:val="bottom"/>
          </w:tcPr>
          <w:p>
            <w:pPr>
              <w:spacing w:after="0"/>
              <w:rPr>
                <w:sz w:val="12"/>
                <w:szCs w:val="12"/>
                <w:color w:val="auto"/>
              </w:rPr>
            </w:pPr>
          </w:p>
        </w:tc>
      </w:tr>
      <w:tr>
        <w:trPr>
          <w:trHeight w:val="14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Fawn Ventures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Fox Properties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Gazelle Ventures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GIP 7th Street Holding Company,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GIP 7th Street,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GIP Alpha General Partner,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GIP Alpha Limited Partner,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GIP Alpha, L.P.</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w w:val="99"/>
              </w:rPr>
              <w:t>Texas</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GIP Fairmont Holding Company,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GIP Stoughton,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Global Lafayette Street Holding Company,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Global Marsh General Partner,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Global Marsh Limited Partner,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Global Marsh Member,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Global Marsh Property Owner, L.P.</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w w:val="99"/>
              </w:rPr>
              <w:t>Texas</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Global Miami Acquisition Company,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Global Miami Holding Company,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Global Riverside,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Global Stanford Place II,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Global Webb, L.P.</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w w:val="99"/>
              </w:rPr>
              <w:t>Texas</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Global Webb,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Global Weehawken Acquisition Company,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Global Weehawken Holding Company,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Grizzly Ventures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Hawk Ventures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Interpeid II B.V.</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Netherlands</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Intrepid I B.V.</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Netherlands</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Lemur Properties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Loudoun Exchange Owners Association, Inc.</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Virginia</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MC Digital Realty Inc.</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w w:val="99"/>
              </w:rPr>
              <w:t>Japan</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Moose Ventures LP</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Moran Road Partners,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Penguins OP Sub 2, LLC</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Maryland</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Porpoise Ventures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Quill Equity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Redhill Park Limited</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United Kingdom (England and Wales)</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Rhino Equity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Sentrum (Croydon) Limited</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Isle of Man</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Sentrum Holdings Limited</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British Virgin Islands</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Sentrum III Limited</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British Virgin Islands</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Sentrum IV Limited</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British Virgin Islands</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Sentrum Limited</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United Kingdom (England and Wales)</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Sixth &amp; Virginia Holdings,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Sixth &amp; Virginia Properties</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w w:val="99"/>
              </w:rPr>
              <w:t>Washington</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Sovereign House Jersey Limited</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Jersey</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Stellar Canada Holding, LLC</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Maryland</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Stellar JV GP,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Stellar JV, LP</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Ontario</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Stellar Participações S.A.</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Brazil</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Tarantula Ventures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Techno Park Holdings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Telx - Charlotte,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378"/>
        </w:trPr>
        <w:tc>
          <w:tcPr>
            <w:tcW w:w="27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4" w:right="1440" w:bottom="1440" w:gutter="0" w:footer="0" w:header="0"/>
        </w:sectPr>
      </w:pPr>
    </w:p>
    <w:bookmarkStart w:id="248" w:name="page249"/>
    <w:bookmarkEnd w:id="248"/>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21.1</w:t>
      </w:r>
    </w:p>
    <w:p>
      <w:pPr>
        <w:spacing w:after="0" w:line="9" w:lineRule="exact"/>
        <w:rPr>
          <w:sz w:val="20"/>
          <w:szCs w:val="20"/>
          <w:color w:val="auto"/>
        </w:rPr>
      </w:pPr>
    </w:p>
    <w:tbl>
      <w:tblPr>
        <w:tblLayout w:type="fixed"/>
        <w:tblInd w:w="190" w:type="dxa"/>
        <w:tblCellMar>
          <w:top w:w="0" w:type="dxa"/>
          <w:left w:w="0" w:type="dxa"/>
          <w:bottom w:w="0" w:type="dxa"/>
          <w:right w:w="0" w:type="dxa"/>
        </w:tblCellMar>
      </w:tblPr>
      <w:tr>
        <w:trPr>
          <w:trHeight w:val="167"/>
        </w:trPr>
        <w:tc>
          <w:tcPr>
            <w:tcW w:w="2840" w:type="dxa"/>
            <w:vAlign w:val="bottom"/>
          </w:tcPr>
          <w:p>
            <w:pPr>
              <w:spacing w:after="0"/>
              <w:rPr>
                <w:sz w:val="14"/>
                <w:szCs w:val="14"/>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List of Subsidiaries of Digital Realty Trust, Inc.</w:t>
            </w:r>
          </w:p>
        </w:tc>
      </w:tr>
      <w:tr>
        <w:trPr>
          <w:trHeight w:val="145"/>
        </w:trPr>
        <w:tc>
          <w:tcPr>
            <w:tcW w:w="2840" w:type="dxa"/>
            <w:vAlign w:val="bottom"/>
          </w:tcPr>
          <w:p>
            <w:pPr>
              <w:spacing w:after="0"/>
              <w:rPr>
                <w:sz w:val="12"/>
                <w:szCs w:val="12"/>
                <w:color w:val="auto"/>
              </w:rPr>
            </w:pPr>
          </w:p>
        </w:tc>
        <w:tc>
          <w:tcPr>
            <w:tcW w:w="5800" w:type="dxa"/>
            <w:vAlign w:val="bottom"/>
          </w:tcPr>
          <w:p>
            <w:pPr>
              <w:spacing w:after="0"/>
              <w:rPr>
                <w:sz w:val="12"/>
                <w:szCs w:val="12"/>
                <w:color w:val="auto"/>
              </w:rPr>
            </w:pPr>
          </w:p>
        </w:tc>
      </w:tr>
      <w:tr>
        <w:trPr>
          <w:trHeight w:val="142"/>
        </w:trPr>
        <w:tc>
          <w:tcPr>
            <w:tcW w:w="28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Telx - Chicago Federal, LLC</w:t>
            </w:r>
          </w:p>
        </w:tc>
        <w:tc>
          <w:tcPr>
            <w:tcW w:w="580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Telx - Chicago Lakeside, LLC</w:t>
            </w:r>
          </w:p>
        </w:tc>
        <w:tc>
          <w:tcPr>
            <w:tcW w:w="580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Telx - Clifton, LLC</w:t>
            </w:r>
          </w:p>
        </w:tc>
        <w:tc>
          <w:tcPr>
            <w:tcW w:w="580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Telx - Clifton-I, LLC</w:t>
            </w:r>
          </w:p>
        </w:tc>
        <w:tc>
          <w:tcPr>
            <w:tcW w:w="580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Telx - Dallas, LLC</w:t>
            </w:r>
          </w:p>
        </w:tc>
        <w:tc>
          <w:tcPr>
            <w:tcW w:w="580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Telx - Los Angeles, LLC</w:t>
            </w:r>
          </w:p>
        </w:tc>
        <w:tc>
          <w:tcPr>
            <w:tcW w:w="580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Telx - Miami, LLC</w:t>
            </w:r>
          </w:p>
        </w:tc>
        <w:tc>
          <w:tcPr>
            <w:tcW w:w="580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Telx - New York 111 8th, LLC</w:t>
            </w:r>
          </w:p>
        </w:tc>
        <w:tc>
          <w:tcPr>
            <w:tcW w:w="580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Telx - New York 6th Ave LLC</w:t>
            </w:r>
          </w:p>
        </w:tc>
        <w:tc>
          <w:tcPr>
            <w:tcW w:w="580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Telx - New York, LLC</w:t>
            </w:r>
          </w:p>
        </w:tc>
        <w:tc>
          <w:tcPr>
            <w:tcW w:w="580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Telx - Phoenix, LLC</w:t>
            </w:r>
          </w:p>
        </w:tc>
        <w:tc>
          <w:tcPr>
            <w:tcW w:w="580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Telx - Portland, LLC</w:t>
            </w:r>
          </w:p>
        </w:tc>
        <w:tc>
          <w:tcPr>
            <w:tcW w:w="580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Telx - San Francisco, LLC</w:t>
            </w:r>
          </w:p>
        </w:tc>
        <w:tc>
          <w:tcPr>
            <w:tcW w:w="580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Telx - Santa Clara, LLC</w:t>
            </w:r>
          </w:p>
        </w:tc>
        <w:tc>
          <w:tcPr>
            <w:tcW w:w="580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Telx - Seattle, LLC</w:t>
            </w:r>
          </w:p>
        </w:tc>
        <w:tc>
          <w:tcPr>
            <w:tcW w:w="580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Telx - Weehawken, LLC</w:t>
            </w:r>
          </w:p>
        </w:tc>
        <w:tc>
          <w:tcPr>
            <w:tcW w:w="580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Telx Ashburn, LLC</w:t>
            </w:r>
          </w:p>
        </w:tc>
        <w:tc>
          <w:tcPr>
            <w:tcW w:w="580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Telx Atlanta 2, LLC</w:t>
            </w:r>
          </w:p>
        </w:tc>
        <w:tc>
          <w:tcPr>
            <w:tcW w:w="580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Telx Boston, LLC</w:t>
            </w:r>
          </w:p>
        </w:tc>
        <w:tc>
          <w:tcPr>
            <w:tcW w:w="580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Telx Grand Avenue, LLC</w:t>
            </w:r>
          </w:p>
        </w:tc>
        <w:tc>
          <w:tcPr>
            <w:tcW w:w="580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Telx Real Estate Holdings, LLC</w:t>
            </w:r>
          </w:p>
        </w:tc>
        <w:tc>
          <w:tcPr>
            <w:tcW w:w="580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Telx Richardson, LLC</w:t>
            </w:r>
          </w:p>
        </w:tc>
        <w:tc>
          <w:tcPr>
            <w:tcW w:w="580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Telx, LLC</w:t>
            </w:r>
          </w:p>
        </w:tc>
        <w:tc>
          <w:tcPr>
            <w:tcW w:w="580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The Sentinel-Needham Primary Condominium Trust</w:t>
            </w:r>
          </w:p>
        </w:tc>
        <w:tc>
          <w:tcPr>
            <w:tcW w:w="580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Massachusetts</w:t>
            </w:r>
          </w:p>
        </w:tc>
      </w:tr>
      <w:tr>
        <w:trPr>
          <w:trHeight w:val="132"/>
        </w:trPr>
        <w:tc>
          <w:tcPr>
            <w:tcW w:w="28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Viridi Data Paris 2 SAS</w:t>
            </w:r>
          </w:p>
        </w:tc>
        <w:tc>
          <w:tcPr>
            <w:tcW w:w="5800" w:type="dxa"/>
            <w:vAlign w:val="bottom"/>
            <w:tcBorders>
              <w:bottom w:val="single" w:sz="8" w:color="8FAADC"/>
            </w:tcBorders>
            <w:shd w:val="clear" w:color="auto" w:fill="DAE3F3"/>
          </w:tcPr>
          <w:p>
            <w:pPr>
              <w:jc w:val="center"/>
              <w:ind w:left="3083"/>
              <w:spacing w:after="0"/>
              <w:rPr>
                <w:sz w:val="20"/>
                <w:szCs w:val="20"/>
                <w:color w:val="auto"/>
              </w:rPr>
            </w:pPr>
            <w:r>
              <w:rPr>
                <w:rFonts w:ascii="Arial" w:cs="Arial" w:eastAsia="Arial" w:hAnsi="Arial"/>
                <w:sz w:val="11"/>
                <w:szCs w:val="11"/>
                <w:color w:val="auto"/>
                <w:w w:val="99"/>
              </w:rPr>
              <w:t>France</w:t>
            </w:r>
          </w:p>
        </w:tc>
      </w:tr>
      <w:tr>
        <w:trPr>
          <w:trHeight w:val="132"/>
        </w:trPr>
        <w:tc>
          <w:tcPr>
            <w:tcW w:w="28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Waspar Limited</w:t>
            </w:r>
          </w:p>
        </w:tc>
        <w:tc>
          <w:tcPr>
            <w:tcW w:w="5800" w:type="dxa"/>
            <w:vAlign w:val="bottom"/>
            <w:tcBorders>
              <w:bottom w:val="single" w:sz="8" w:color="8FAADC"/>
            </w:tcBorders>
          </w:tcPr>
          <w:p>
            <w:pPr>
              <w:jc w:val="center"/>
              <w:ind w:left="3083"/>
              <w:spacing w:after="0"/>
              <w:rPr>
                <w:sz w:val="20"/>
                <w:szCs w:val="20"/>
                <w:color w:val="auto"/>
              </w:rPr>
            </w:pPr>
            <w:r>
              <w:rPr>
                <w:rFonts w:ascii="Arial" w:cs="Arial" w:eastAsia="Arial" w:hAnsi="Arial"/>
                <w:sz w:val="11"/>
                <w:szCs w:val="11"/>
                <w:color w:val="auto"/>
              </w:rPr>
              <w:t>Ireland</w:t>
            </w:r>
          </w:p>
        </w:tc>
      </w:tr>
      <w:tr>
        <w:trPr>
          <w:trHeight w:val="132"/>
        </w:trPr>
        <w:tc>
          <w:tcPr>
            <w:tcW w:w="28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Xeres Management LLC</w:t>
            </w:r>
          </w:p>
        </w:tc>
        <w:tc>
          <w:tcPr>
            <w:tcW w:w="580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Xeres Ventures LP</w:t>
            </w:r>
          </w:p>
        </w:tc>
        <w:tc>
          <w:tcPr>
            <w:tcW w:w="580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Delaware</w:t>
            </w:r>
          </w:p>
        </w:tc>
      </w:tr>
      <w:tr>
        <w:trPr>
          <w:trHeight w:val="132"/>
        </w:trPr>
        <w:tc>
          <w:tcPr>
            <w:tcW w:w="28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Yak Ventures LLC</w:t>
            </w:r>
          </w:p>
        </w:tc>
        <w:tc>
          <w:tcPr>
            <w:tcW w:w="580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Delaware</w:t>
            </w:r>
          </w:p>
        </w:tc>
      </w:tr>
      <w:tr>
        <w:trPr>
          <w:trHeight w:val="549"/>
        </w:trPr>
        <w:tc>
          <w:tcPr>
            <w:tcW w:w="284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5" w:right="1440" w:bottom="1440" w:gutter="0" w:footer="0" w:header="0"/>
        </w:sectPr>
      </w:pPr>
    </w:p>
    <w:bookmarkStart w:id="249" w:name="page250"/>
    <w:bookmarkEnd w:id="249"/>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167"/>
        </w:trPr>
        <w:tc>
          <w:tcPr>
            <w:tcW w:w="5980" w:type="dxa"/>
            <w:vAlign w:val="bottom"/>
            <w:gridSpan w:val="2"/>
            <w:vMerge w:val="restart"/>
          </w:tcPr>
          <w:p>
            <w:pPr>
              <w:ind w:left="3040"/>
              <w:spacing w:after="0"/>
              <w:rPr>
                <w:sz w:val="20"/>
                <w:szCs w:val="20"/>
                <w:color w:val="auto"/>
              </w:rPr>
            </w:pPr>
            <w:r>
              <w:rPr>
                <w:rFonts w:ascii="Times New Roman" w:cs="Times New Roman" w:eastAsia="Times New Roman" w:hAnsi="Times New Roman"/>
                <w:sz w:val="13"/>
                <w:szCs w:val="13"/>
                <w:b w:val="1"/>
                <w:bCs w:val="1"/>
                <w:color w:val="auto"/>
              </w:rPr>
              <w:t>List of Subsidiaries of Digital Realty Trust, L.P.</w:t>
            </w:r>
          </w:p>
        </w:tc>
        <w:tc>
          <w:tcPr>
            <w:tcW w:w="2680" w:type="dxa"/>
            <w:vAlign w:val="bottom"/>
            <w:gridSpan w:val="2"/>
          </w:tcPr>
          <w:p>
            <w:pPr>
              <w:ind w:left="2000"/>
              <w:spacing w:after="0"/>
              <w:rPr>
                <w:sz w:val="20"/>
                <w:szCs w:val="20"/>
                <w:color w:val="auto"/>
              </w:rPr>
            </w:pPr>
            <w:r>
              <w:rPr>
                <w:rFonts w:ascii="Times New Roman" w:cs="Times New Roman" w:eastAsia="Times New Roman" w:hAnsi="Times New Roman"/>
                <w:sz w:val="13"/>
                <w:szCs w:val="13"/>
                <w:b w:val="1"/>
                <w:bCs w:val="1"/>
                <w:color w:val="auto"/>
                <w:w w:val="98"/>
              </w:rPr>
              <w:t>Exhibit 21.2</w:t>
            </w: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80" w:type="dxa"/>
            <w:vAlign w:val="bottom"/>
            <w:tcBorders>
              <w:bottom w:val="single" w:sz="8" w:color="8FAADC"/>
            </w:tcBorders>
          </w:tcPr>
          <w:p>
            <w:pPr>
              <w:spacing w:after="0"/>
              <w:rPr>
                <w:sz w:val="14"/>
                <w:szCs w:val="14"/>
                <w:color w:val="auto"/>
              </w:rPr>
            </w:pPr>
          </w:p>
        </w:tc>
        <w:tc>
          <w:tcPr>
            <w:tcW w:w="300" w:type="dxa"/>
            <w:vAlign w:val="bottom"/>
            <w:tcBorders>
              <w:bottom w:val="single" w:sz="8" w:color="8FAADC"/>
            </w:tcBorders>
          </w:tcPr>
          <w:p>
            <w:pPr>
              <w:spacing w:after="0"/>
              <w:rPr>
                <w:sz w:val="14"/>
                <w:szCs w:val="14"/>
                <w:color w:val="auto"/>
              </w:rPr>
            </w:pPr>
          </w:p>
        </w:tc>
        <w:tc>
          <w:tcPr>
            <w:tcW w:w="2660" w:type="dxa"/>
            <w:vAlign w:val="bottom"/>
            <w:tcBorders>
              <w:bottom w:val="single" w:sz="8" w:color="8FAAD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b w:val="1"/>
                <w:bCs w:val="1"/>
                <w:color w:val="auto"/>
              </w:rPr>
              <w:t>Entity Name</w:t>
            </w:r>
          </w:p>
        </w:tc>
        <w:tc>
          <w:tcPr>
            <w:tcW w:w="2660" w:type="dxa"/>
            <w:vAlign w:val="bottom"/>
            <w:shd w:val="clear" w:color="auto" w:fill="DAE3F3"/>
          </w:tcPr>
          <w:p>
            <w:pPr>
              <w:jc w:val="center"/>
              <w:spacing w:after="0"/>
              <w:rPr>
                <w:sz w:val="20"/>
                <w:szCs w:val="20"/>
                <w:color w:val="auto"/>
              </w:rPr>
            </w:pPr>
            <w:r>
              <w:rPr>
                <w:rFonts w:ascii="Arial" w:cs="Arial" w:eastAsia="Arial" w:hAnsi="Arial"/>
                <w:sz w:val="11"/>
                <w:szCs w:val="11"/>
                <w:b w:val="1"/>
                <w:bCs w:val="1"/>
                <w:color w:val="auto"/>
              </w:rPr>
              <w:t>Jurisdiction of Incorporation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680" w:type="dxa"/>
            <w:vAlign w:val="bottom"/>
            <w:tcBorders>
              <w:top w:val="single" w:sz="8" w:color="auto"/>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1100 Space Park Holding Company LLC</w:t>
            </w:r>
          </w:p>
        </w:tc>
        <w:tc>
          <w:tcPr>
            <w:tcW w:w="300" w:type="dxa"/>
            <w:vAlign w:val="bottom"/>
            <w:tcBorders>
              <w:top w:val="single" w:sz="8" w:color="8FAADC"/>
              <w:bottom w:val="single" w:sz="8" w:color="8FAADC"/>
            </w:tcBorders>
          </w:tcPr>
          <w:p>
            <w:pPr>
              <w:spacing w:after="0"/>
              <w:rPr>
                <w:sz w:val="11"/>
                <w:szCs w:val="11"/>
                <w:color w:val="auto"/>
              </w:rPr>
            </w:pPr>
          </w:p>
        </w:tc>
        <w:tc>
          <w:tcPr>
            <w:tcW w:w="2660" w:type="dxa"/>
            <w:vAlign w:val="bottom"/>
            <w:tcBorders>
              <w:top w:val="single" w:sz="8" w:color="auto"/>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1100 Space Park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150 South First Street,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1500 Space Park Holdings,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1500 Space Park Partners,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1525 Comstock Partners,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California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1550 Space Park Partners,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200 Paul Holding Company,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200 Paul,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2001 Sixth Holdings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2001 Sixth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2020 Fifth Avenue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2045-2055 LaFayette Street,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2334 Lundy Holding Company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2334 Lundy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651 Walsh Partners,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Alshain Ventures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Ascenty Brasil Holding S.A.</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Brazil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Ascenty Cayman Holding Ltd</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Cayman Islands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Ascenty Chile SpA</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Chile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Ascenty Data Centers e Telecomunicoes S.A.</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Brazil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Ascenty GP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Ascenty Holdings L.P.</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Ascenty Latam Holding Ltd</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United Kingdom (England and Wales)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Ascenty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Ascenty Mexico, S. de R.L. de C.V.</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Mexico</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Ashburn Corporate Center Owners Association, Inc.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Virginia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Ashburn Corporate Center Phase I Unit Owners Association</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Virginia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Beaver Ventures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Blue Sling ACC 10,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Blue Sling ACC 2,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Blue Sling ACC 9,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Blue Sling Ventures,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BNY-Somerset NJ,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Collins Technology Park Partners,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Colo Properties Atlanta,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Cosmic Ventures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DBT,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Maryland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Devin Shafron E and F Land Condominium Owners Association, Inc.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Virginia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DF Property Manangement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DFT Canada LP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DFT Moose GP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Digital - Bryan Street Partnership, L.P.</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w w:val="99"/>
              </w:rPr>
              <w:t>Texas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Digital 113 N. Myers,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Digital 1201 Comstock,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Digital 1231 Comstock,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Digital 125 N. Myers,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Digital 128 First Avenue,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Digital 1350 Duane,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1"/>
                <w:szCs w:val="11"/>
                <w:color w:val="auto"/>
              </w:rPr>
              <w:t>Digital 1500 Space Park Borrower,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98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1"/>
                <w:szCs w:val="11"/>
                <w:color w:val="auto"/>
              </w:rPr>
              <w:t>Digital 1500 Space Park,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8"/>
        </w:trPr>
        <w:tc>
          <w:tcPr>
            <w:tcW w:w="5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250" w:name="page251"/>
    <w:bookmarkEnd w:id="250"/>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21.2</w:t>
      </w:r>
    </w:p>
    <w:p>
      <w:pPr>
        <w:spacing w:after="0" w:line="9" w:lineRule="exact"/>
        <w:rPr>
          <w:sz w:val="20"/>
          <w:szCs w:val="20"/>
          <w:color w:val="auto"/>
        </w:rPr>
      </w:pPr>
    </w:p>
    <w:tbl>
      <w:tblPr>
        <w:tblLayout w:type="fixed"/>
        <w:tblInd w:w="190" w:type="dxa"/>
        <w:tblCellMar>
          <w:top w:w="0" w:type="dxa"/>
          <w:left w:w="0" w:type="dxa"/>
          <w:bottom w:w="0" w:type="dxa"/>
          <w:right w:w="0" w:type="dxa"/>
        </w:tblCellMar>
      </w:tblPr>
      <w:tr>
        <w:trPr>
          <w:trHeight w:val="167"/>
        </w:trPr>
        <w:tc>
          <w:tcPr>
            <w:tcW w:w="286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List of Subsidiaries of Digital Realty Trust, L.P.</w:t>
            </w:r>
          </w:p>
        </w:tc>
      </w:tr>
      <w:tr>
        <w:trPr>
          <w:trHeight w:val="155"/>
        </w:trPr>
        <w:tc>
          <w:tcPr>
            <w:tcW w:w="2860" w:type="dxa"/>
            <w:vAlign w:val="bottom"/>
          </w:tcPr>
          <w:p>
            <w:pPr>
              <w:spacing w:after="0"/>
              <w:rPr>
                <w:sz w:val="13"/>
                <w:szCs w:val="13"/>
                <w:color w:val="auto"/>
              </w:rPr>
            </w:pPr>
          </w:p>
        </w:tc>
        <w:tc>
          <w:tcPr>
            <w:tcW w:w="5780" w:type="dxa"/>
            <w:vAlign w:val="bottom"/>
          </w:tcPr>
          <w:p>
            <w:pPr>
              <w:spacing w:after="0"/>
              <w:rPr>
                <w:sz w:val="13"/>
                <w:szCs w:val="13"/>
                <w:color w:val="auto"/>
              </w:rPr>
            </w:pPr>
          </w:p>
        </w:tc>
      </w:tr>
      <w:tr>
        <w:trPr>
          <w:trHeight w:val="14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1550 Space Park,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1725 Comstock,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2020 Fifth Avenue Investor,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2121 South Price,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2260 East El Segundo,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3011 Lafayette,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365 Main,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3825 NW Aloclek Place,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55 Middlesex,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60 &amp; 80 Merritt,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717 GP,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717 Leonard, L.P.</w:t>
            </w:r>
          </w:p>
        </w:tc>
        <w:tc>
          <w:tcPr>
            <w:tcW w:w="578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w w:val="99"/>
              </w:rPr>
              <w:t>Texas</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717 LP,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720 2nd,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89th Place,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Akard,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Alfred,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Aquila,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Ashburn CS,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Asia,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Australia Finco Pty Ltd</w:t>
            </w:r>
          </w:p>
        </w:tc>
        <w:tc>
          <w:tcPr>
            <w:tcW w:w="578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Australia</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Australia Investment Management Pty Limited</w:t>
            </w:r>
          </w:p>
        </w:tc>
        <w:tc>
          <w:tcPr>
            <w:tcW w:w="578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Australia</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BH 800 Holdco,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BH 800 M,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BH 800,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Bièvres SCI</w:t>
            </w:r>
          </w:p>
        </w:tc>
        <w:tc>
          <w:tcPr>
            <w:tcW w:w="578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w w:val="99"/>
              </w:rPr>
              <w:t>France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Cabot,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Chelsea,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Collins Technology Park Investor,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Commerce Boulevard,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Connect,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Crawley 1 Limited</w:t>
            </w:r>
          </w:p>
        </w:tc>
        <w:tc>
          <w:tcPr>
            <w:tcW w:w="578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Jersey</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Crawley 2 Limited</w:t>
            </w:r>
          </w:p>
        </w:tc>
        <w:tc>
          <w:tcPr>
            <w:tcW w:w="578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Jersey</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Crawley 3 Limited</w:t>
            </w:r>
          </w:p>
        </w:tc>
        <w:tc>
          <w:tcPr>
            <w:tcW w:w="578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Jersey</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Deer Park 2,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Deer Park 3,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Doug Davis,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Dutch Finco B.V.</w:t>
            </w:r>
          </w:p>
        </w:tc>
        <w:tc>
          <w:tcPr>
            <w:tcW w:w="578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Netherlands</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Erskine Park 2,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Erskine Park 3,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Erskine Park 4,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Euro Finco GP,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Euro Finco Partner Limited</w:t>
            </w:r>
          </w:p>
        </w:tc>
        <w:tc>
          <w:tcPr>
            <w:tcW w:w="578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British Virgin Islands</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Euro Finco, L.P.</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United Kingdom (Scotland)</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Euro Finco,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Federal Systems,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Filigree, LLC</w:t>
            </w:r>
          </w:p>
        </w:tc>
        <w:tc>
          <w:tcPr>
            <w:tcW w:w="578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Frankfurt 2 B.V.</w:t>
            </w:r>
          </w:p>
        </w:tc>
        <w:tc>
          <w:tcPr>
            <w:tcW w:w="5780" w:type="dxa"/>
            <w:vAlign w:val="bottom"/>
            <w:tcBorders>
              <w:bottom w:val="single" w:sz="8" w:color="8FAADC"/>
            </w:tcBorders>
          </w:tcPr>
          <w:p>
            <w:pPr>
              <w:jc w:val="center"/>
              <w:ind w:left="3063"/>
              <w:spacing w:after="0"/>
              <w:rPr>
                <w:sz w:val="20"/>
                <w:szCs w:val="20"/>
                <w:color w:val="auto"/>
              </w:rPr>
            </w:pPr>
            <w:r>
              <w:rPr>
                <w:rFonts w:ascii="Arial" w:cs="Arial" w:eastAsia="Arial" w:hAnsi="Arial"/>
                <w:sz w:val="11"/>
                <w:szCs w:val="11"/>
                <w:color w:val="auto"/>
              </w:rPr>
              <w:t>Netherlands</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Frankfurt GmbH</w:t>
            </w:r>
          </w:p>
        </w:tc>
        <w:tc>
          <w:tcPr>
            <w:tcW w:w="578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Germany</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Garland,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132"/>
        </w:trPr>
        <w:tc>
          <w:tcPr>
            <w:tcW w:w="28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Germany Cheetah GmbH</w:t>
            </w:r>
          </w:p>
        </w:tc>
        <w:tc>
          <w:tcPr>
            <w:tcW w:w="5780" w:type="dxa"/>
            <w:vAlign w:val="bottom"/>
            <w:tcBorders>
              <w:bottom w:val="single" w:sz="8" w:color="8FAADC"/>
            </w:tcBorders>
            <w:shd w:val="clear" w:color="auto" w:fill="DAE3F3"/>
          </w:tcPr>
          <w:p>
            <w:pPr>
              <w:jc w:val="center"/>
              <w:ind w:left="3063"/>
              <w:spacing w:after="0"/>
              <w:rPr>
                <w:sz w:val="20"/>
                <w:szCs w:val="20"/>
                <w:color w:val="auto"/>
              </w:rPr>
            </w:pPr>
            <w:r>
              <w:rPr>
                <w:rFonts w:ascii="Arial" w:cs="Arial" w:eastAsia="Arial" w:hAnsi="Arial"/>
                <w:sz w:val="11"/>
                <w:szCs w:val="11"/>
                <w:color w:val="auto"/>
              </w:rPr>
              <w:t>Germany</w:t>
            </w:r>
          </w:p>
        </w:tc>
      </w:tr>
      <w:tr>
        <w:trPr>
          <w:trHeight w:val="132"/>
        </w:trPr>
        <w:tc>
          <w:tcPr>
            <w:tcW w:w="28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Germany Holding, LLC</w:t>
            </w:r>
          </w:p>
        </w:tc>
        <w:tc>
          <w:tcPr>
            <w:tcW w:w="578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rPr>
              <w:t>Delaware</w:t>
            </w:r>
          </w:p>
        </w:tc>
      </w:tr>
      <w:tr>
        <w:trPr>
          <w:trHeight w:val="378"/>
        </w:trPr>
        <w:tc>
          <w:tcPr>
            <w:tcW w:w="286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4" w:right="1440" w:bottom="1440" w:gutter="0" w:footer="0" w:header="0"/>
        </w:sectPr>
      </w:pPr>
    </w:p>
    <w:bookmarkStart w:id="251" w:name="page252"/>
    <w:bookmarkEnd w:id="251"/>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21.2</w:t>
      </w:r>
    </w:p>
    <w:p>
      <w:pPr>
        <w:spacing w:after="0" w:line="9" w:lineRule="exact"/>
        <w:rPr>
          <w:sz w:val="20"/>
          <w:szCs w:val="20"/>
          <w:color w:val="auto"/>
        </w:rPr>
      </w:pPr>
    </w:p>
    <w:tbl>
      <w:tblPr>
        <w:tblLayout w:type="fixed"/>
        <w:tblInd w:w="190" w:type="dxa"/>
        <w:tblCellMar>
          <w:top w:w="0" w:type="dxa"/>
          <w:left w:w="0" w:type="dxa"/>
          <w:bottom w:w="0" w:type="dxa"/>
          <w:right w:w="0" w:type="dxa"/>
        </w:tblCellMar>
      </w:tblPr>
      <w:tr>
        <w:trPr>
          <w:trHeight w:val="167"/>
        </w:trPr>
        <w:tc>
          <w:tcPr>
            <w:tcW w:w="264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List of Subsidiaries of Digital Realty Trust, L.P.</w:t>
            </w:r>
          </w:p>
        </w:tc>
      </w:tr>
      <w:tr>
        <w:trPr>
          <w:trHeight w:val="155"/>
        </w:trPr>
        <w:tc>
          <w:tcPr>
            <w:tcW w:w="2640" w:type="dxa"/>
            <w:vAlign w:val="bottom"/>
          </w:tcPr>
          <w:p>
            <w:pPr>
              <w:spacing w:after="0"/>
              <w:rPr>
                <w:sz w:val="13"/>
                <w:szCs w:val="13"/>
                <w:color w:val="auto"/>
              </w:rPr>
            </w:pPr>
          </w:p>
        </w:tc>
        <w:tc>
          <w:tcPr>
            <w:tcW w:w="6000" w:type="dxa"/>
            <w:vAlign w:val="bottom"/>
          </w:tcPr>
          <w:p>
            <w:pPr>
              <w:spacing w:after="0"/>
              <w:rPr>
                <w:sz w:val="13"/>
                <w:szCs w:val="13"/>
                <w:color w:val="auto"/>
              </w:rPr>
            </w:pPr>
          </w:p>
        </w:tc>
      </w:tr>
      <w:tr>
        <w:trPr>
          <w:trHeight w:val="14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Gough,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Grand Avenue 2,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Grand Avenue 3,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Grand Avenue,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Greenfield B.V.</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Greenspoint, L.P.</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w w:val="99"/>
              </w:rPr>
              <w:t>Texas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Greenspoint,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HK JV Holding Limited</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British Virgin Islands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HK Kin Chuen Ltd.</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rPr>
              <w:t>Hong Kong</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Hong Kong,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Hoofddorp 2 B.V.</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Hoofddorp B.V.</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Horsley Park,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Indonesia Holding Pte. Lte.</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Singapore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InterXion Holding,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Intrepid Holding B.V.</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Investment Management Pte. Ltd.</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Singapore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Investments Holding,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Japan 1 Pte. Ltd.</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Singapore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Japan 2 Pte. Ltd.</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Singapore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Japan Holding Pte. Ltd.</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Singapore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Japan Investment Management GK</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w w:val="99"/>
              </w:rPr>
              <w:t>Japan</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Japan,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Korea,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Lafayette Chantilly,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Lafayette,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Lakeside 2,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Lakeside 3,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Lakeside Holdings,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Lakeside,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Les Ulis Holding SAS</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w w:val="99"/>
              </w:rPr>
              <w:t>France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Les Ulis SNC</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w w:val="99"/>
              </w:rPr>
              <w:t>France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Lewisville,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London Limited</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United Kingdom (England and Wales)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Loudoun 3,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Loudoun II,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Loudoun IV,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Loudoun Parkway Center North,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Luxembourg II S.à r.l.</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rPr>
              <w:t>Luxembourg</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Luxembourg III Limited</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Jersey</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Luxembourg S.à r.l.</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rPr>
              <w:t>Luxembourg</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Macquarie Park,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Midway GP,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Midway, L.P.</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w w:val="99"/>
              </w:rPr>
              <w:t>Texas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Montigny SCI</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w w:val="99"/>
              </w:rPr>
              <w:t>France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Moran Holdings, LLC</w:t>
            </w:r>
          </w:p>
        </w:tc>
        <w:tc>
          <w:tcPr>
            <w:tcW w:w="600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MP, LLC</w:t>
            </w:r>
          </w:p>
        </w:tc>
        <w:tc>
          <w:tcPr>
            <w:tcW w:w="600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Delaware</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Netherlands 11 B.V.</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Netherlands 12 B.V.</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Netherlands 13 B.V.</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Netherlands I B.V.</w:t>
            </w:r>
          </w:p>
        </w:tc>
        <w:tc>
          <w:tcPr>
            <w:tcW w:w="6000" w:type="dxa"/>
            <w:vAlign w:val="bottom"/>
            <w:tcBorders>
              <w:bottom w:val="single" w:sz="8" w:color="8FAADC"/>
            </w:tcBorders>
            <w:shd w:val="clear" w:color="auto" w:fill="DAE3F3"/>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132"/>
        </w:trPr>
        <w:tc>
          <w:tcPr>
            <w:tcW w:w="26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Netherlands II B.V.</w:t>
            </w:r>
          </w:p>
        </w:tc>
        <w:tc>
          <w:tcPr>
            <w:tcW w:w="6000" w:type="dxa"/>
            <w:vAlign w:val="bottom"/>
            <w:tcBorders>
              <w:bottom w:val="single" w:sz="8" w:color="8FAADC"/>
            </w:tcBorders>
          </w:tcPr>
          <w:p>
            <w:pPr>
              <w:jc w:val="center"/>
              <w:ind w:left="3283"/>
              <w:spacing w:after="0"/>
              <w:rPr>
                <w:sz w:val="20"/>
                <w:szCs w:val="20"/>
                <w:color w:val="auto"/>
              </w:rPr>
            </w:pPr>
            <w:r>
              <w:rPr>
                <w:rFonts w:ascii="Arial" w:cs="Arial" w:eastAsia="Arial" w:hAnsi="Arial"/>
                <w:sz w:val="11"/>
                <w:szCs w:val="11"/>
                <w:color w:val="auto"/>
              </w:rPr>
              <w:t>Netherlands</w:t>
            </w:r>
          </w:p>
        </w:tc>
      </w:tr>
      <w:tr>
        <w:trPr>
          <w:trHeight w:val="378"/>
        </w:trPr>
        <w:tc>
          <w:tcPr>
            <w:tcW w:w="264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5" w:right="1440" w:bottom="1440" w:gutter="0" w:footer="0" w:header="0"/>
        </w:sectPr>
      </w:pPr>
    </w:p>
    <w:bookmarkStart w:id="252" w:name="page253"/>
    <w:bookmarkEnd w:id="252"/>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21.2</w:t>
      </w:r>
    </w:p>
    <w:p>
      <w:pPr>
        <w:spacing w:after="0" w:line="9" w:lineRule="exact"/>
        <w:rPr>
          <w:sz w:val="20"/>
          <w:szCs w:val="20"/>
          <w:color w:val="auto"/>
        </w:rPr>
      </w:pPr>
    </w:p>
    <w:tbl>
      <w:tblPr>
        <w:tblLayout w:type="fixed"/>
        <w:tblInd w:w="190" w:type="dxa"/>
        <w:tblCellMar>
          <w:top w:w="0" w:type="dxa"/>
          <w:left w:w="0" w:type="dxa"/>
          <w:bottom w:w="0" w:type="dxa"/>
          <w:right w:w="0" w:type="dxa"/>
        </w:tblCellMar>
      </w:tblPr>
      <w:tr>
        <w:trPr>
          <w:trHeight w:val="167"/>
        </w:trPr>
        <w:tc>
          <w:tcPr>
            <w:tcW w:w="5980" w:type="dxa"/>
            <w:vAlign w:val="bottom"/>
          </w:tcPr>
          <w:p>
            <w:pPr>
              <w:ind w:left="3040"/>
              <w:spacing w:after="0"/>
              <w:rPr>
                <w:sz w:val="20"/>
                <w:szCs w:val="20"/>
                <w:color w:val="auto"/>
              </w:rPr>
            </w:pPr>
            <w:r>
              <w:rPr>
                <w:rFonts w:ascii="Times New Roman" w:cs="Times New Roman" w:eastAsia="Times New Roman" w:hAnsi="Times New Roman"/>
                <w:sz w:val="13"/>
                <w:szCs w:val="13"/>
                <w:b w:val="1"/>
                <w:bCs w:val="1"/>
                <w:color w:val="auto"/>
              </w:rPr>
              <w:t>List of Subsidiaries of Digital Realty Trust, L.P.</w:t>
            </w:r>
          </w:p>
        </w:tc>
        <w:tc>
          <w:tcPr>
            <w:tcW w:w="2660" w:type="dxa"/>
            <w:vAlign w:val="bottom"/>
          </w:tcPr>
          <w:p>
            <w:pPr>
              <w:spacing w:after="0"/>
              <w:rPr>
                <w:sz w:val="14"/>
                <w:szCs w:val="14"/>
                <w:color w:val="auto"/>
              </w:rPr>
            </w:pPr>
          </w:p>
        </w:tc>
      </w:tr>
      <w:tr>
        <w:trPr>
          <w:trHeight w:val="155"/>
        </w:trPr>
        <w:tc>
          <w:tcPr>
            <w:tcW w:w="598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14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Netherlands III (Dublin) B.V.</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Netherlands</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Netherlands IV B.V.</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Netherlands</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Netherlands IV Holdings B.V.</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Netherlands</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Netherlands IX B.V.</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Netherlands</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Netherlands V B.V.</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Netherlands</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Netherlands VII B.V.</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Netherlands</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Netherlands VIII B.V.</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Netherlands</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Network Services,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Northlake,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Norwood Park 2,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Osaka 1 TMK</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w w:val="99"/>
              </w:rPr>
              <w:t>Japan</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Osaka 2 TMK</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w w:val="99"/>
              </w:rPr>
              <w:t>Japan</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Osaka 3 TMK</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w w:val="99"/>
              </w:rPr>
              <w:t>Japan</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Osaka 4 TMK</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w w:val="99"/>
              </w:rPr>
              <w:t>Japan</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Osaka 5 TMK</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w w:val="99"/>
              </w:rPr>
              <w:t>Japan</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Paris Holding SARL</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w w:val="99"/>
              </w:rPr>
              <w:t>France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Phoenix Van Buren,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Piscataway,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Porpoise,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Printers Square,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(Blanchardstown) Limited</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Ireland</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(Cressex) Limited</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Jersey</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(Management Company) Limited</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Ireland</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(Manchester) Limited</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Jersey</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(Redhill) Limited</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Jersey</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(UK) Limited</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United Kingdom (England and Wales)</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(Welwyn) Limited</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Jersey</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Canada, Inc.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British Columbia</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Core Properties 1 Investor,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Core Properties 1 Manager,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Core Properties 2 Investor,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Core Properties 2 Manager,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Datafirm 2,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Datafirm,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Germany GmbH</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Germany</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Holdings US,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Korea Ltd.</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Korea, South</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Management France SARL</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w w:val="99"/>
              </w:rPr>
              <w:t>France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Management Services,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Mauritius Holdings Limited</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Mauritius</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Netherlands B.V.</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Netherlands</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Realty Property Manager,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Realty Trust,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Relocation Drive,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Saclay SCI</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w w:val="99"/>
              </w:rPr>
              <w:t>France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Savvis HK Holding 1 Limited</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British Virgin Islands</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Savvis HK JV Limited</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British Virgin Islands</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Savvis Investment Management HK Limited</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Hong Kong</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Savvis Management Subsidiary Limited</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Hong Kong</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Second Manassas 2,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Second Manassas, LLC</w:t>
            </w:r>
          </w:p>
        </w:tc>
        <w:tc>
          <w:tcPr>
            <w:tcW w:w="26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1"/>
                <w:szCs w:val="11"/>
                <w:color w:val="auto"/>
              </w:rPr>
              <w:t>Delaware</w:t>
            </w:r>
          </w:p>
        </w:tc>
      </w:tr>
      <w:tr>
        <w:trPr>
          <w:trHeight w:val="132"/>
        </w:trPr>
        <w:tc>
          <w:tcPr>
            <w:tcW w:w="59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Seoul No. 1 PIA Professional Investors Private Real Estate Investment LLC</w:t>
            </w:r>
          </w:p>
        </w:tc>
        <w:tc>
          <w:tcPr>
            <w:tcW w:w="2660" w:type="dxa"/>
            <w:vAlign w:val="bottom"/>
            <w:tcBorders>
              <w:bottom w:val="single" w:sz="8" w:color="8FAADC"/>
            </w:tcBorders>
          </w:tcPr>
          <w:p>
            <w:pPr>
              <w:jc w:val="center"/>
              <w:spacing w:after="0"/>
              <w:rPr>
                <w:sz w:val="20"/>
                <w:szCs w:val="20"/>
                <w:color w:val="auto"/>
              </w:rPr>
            </w:pPr>
            <w:r>
              <w:rPr>
                <w:rFonts w:ascii="Arial" w:cs="Arial" w:eastAsia="Arial" w:hAnsi="Arial"/>
                <w:sz w:val="11"/>
                <w:szCs w:val="11"/>
                <w:color w:val="auto"/>
              </w:rPr>
              <w:t>Korea, South</w:t>
            </w:r>
          </w:p>
        </w:tc>
      </w:tr>
      <w:tr>
        <w:trPr>
          <w:trHeight w:val="378"/>
        </w:trPr>
        <w:tc>
          <w:tcPr>
            <w:tcW w:w="59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4" w:right="1440" w:bottom="1440" w:gutter="0" w:footer="0" w:header="0"/>
        </w:sectPr>
      </w:pPr>
    </w:p>
    <w:bookmarkStart w:id="253" w:name="page254"/>
    <w:bookmarkEnd w:id="253"/>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21.2</w:t>
      </w:r>
    </w:p>
    <w:p>
      <w:pPr>
        <w:spacing w:after="0" w:line="9" w:lineRule="exact"/>
        <w:rPr>
          <w:sz w:val="20"/>
          <w:szCs w:val="20"/>
          <w:color w:val="auto"/>
        </w:rPr>
      </w:pPr>
    </w:p>
    <w:tbl>
      <w:tblPr>
        <w:tblLayout w:type="fixed"/>
        <w:tblInd w:w="190" w:type="dxa"/>
        <w:tblCellMar>
          <w:top w:w="0" w:type="dxa"/>
          <w:left w:w="0" w:type="dxa"/>
          <w:bottom w:w="0" w:type="dxa"/>
          <w:right w:w="0" w:type="dxa"/>
        </w:tblCellMar>
      </w:tblPr>
      <w:tr>
        <w:trPr>
          <w:trHeight w:val="167"/>
        </w:trPr>
        <w:tc>
          <w:tcPr>
            <w:tcW w:w="2520" w:type="dxa"/>
            <w:vAlign w:val="bottom"/>
          </w:tcPr>
          <w:p>
            <w:pPr>
              <w:spacing w:after="0"/>
              <w:rPr>
                <w:sz w:val="14"/>
                <w:szCs w:val="14"/>
                <w:color w:val="auto"/>
              </w:rPr>
            </w:pPr>
          </w:p>
        </w:tc>
        <w:tc>
          <w:tcPr>
            <w:tcW w:w="612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List of Subsidiaries of Digital Realty Trust, L.P.</w:t>
            </w:r>
          </w:p>
        </w:tc>
      </w:tr>
      <w:tr>
        <w:trPr>
          <w:trHeight w:val="155"/>
        </w:trPr>
        <w:tc>
          <w:tcPr>
            <w:tcW w:w="2520" w:type="dxa"/>
            <w:vAlign w:val="bottom"/>
          </w:tcPr>
          <w:p>
            <w:pPr>
              <w:spacing w:after="0"/>
              <w:rPr>
                <w:sz w:val="13"/>
                <w:szCs w:val="13"/>
                <w:color w:val="auto"/>
              </w:rPr>
            </w:pPr>
          </w:p>
        </w:tc>
        <w:tc>
          <w:tcPr>
            <w:tcW w:w="6120" w:type="dxa"/>
            <w:vAlign w:val="bottom"/>
          </w:tcPr>
          <w:p>
            <w:pPr>
              <w:spacing w:after="0"/>
              <w:rPr>
                <w:sz w:val="13"/>
                <w:szCs w:val="13"/>
                <w:color w:val="auto"/>
              </w:rPr>
            </w:pPr>
          </w:p>
        </w:tc>
      </w:tr>
      <w:tr>
        <w:trPr>
          <w:trHeight w:val="14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Services Hong Kong Limited</w:t>
            </w:r>
          </w:p>
        </w:tc>
        <w:tc>
          <w:tcPr>
            <w:tcW w:w="6120" w:type="dxa"/>
            <w:vAlign w:val="bottom"/>
            <w:tcBorders>
              <w:bottom w:val="single" w:sz="8" w:color="8FAADC"/>
            </w:tcBorders>
            <w:shd w:val="clear" w:color="auto" w:fill="DAE3F3"/>
          </w:tcPr>
          <w:p>
            <w:pPr>
              <w:jc w:val="center"/>
              <w:ind w:left="3403"/>
              <w:spacing w:after="0"/>
              <w:rPr>
                <w:sz w:val="20"/>
                <w:szCs w:val="20"/>
                <w:color w:val="auto"/>
              </w:rPr>
            </w:pPr>
            <w:r>
              <w:rPr>
                <w:rFonts w:ascii="Arial" w:cs="Arial" w:eastAsia="Arial" w:hAnsi="Arial"/>
                <w:sz w:val="11"/>
                <w:szCs w:val="11"/>
                <w:color w:val="auto"/>
              </w:rPr>
              <w:t>Hong Kong</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Services Phoenix,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Services, Inc.</w:t>
            </w:r>
          </w:p>
        </w:tc>
        <w:tc>
          <w:tcPr>
            <w:tcW w:w="6120" w:type="dxa"/>
            <w:vAlign w:val="bottom"/>
            <w:tcBorders>
              <w:bottom w:val="single" w:sz="8" w:color="8FAADC"/>
            </w:tcBorders>
            <w:shd w:val="clear" w:color="auto" w:fill="DAE3F3"/>
          </w:tcPr>
          <w:p>
            <w:pPr>
              <w:jc w:val="center"/>
              <w:ind w:left="3403"/>
              <w:spacing w:after="0"/>
              <w:rPr>
                <w:sz w:val="20"/>
                <w:szCs w:val="20"/>
                <w:color w:val="auto"/>
              </w:rPr>
            </w:pPr>
            <w:r>
              <w:rPr>
                <w:rFonts w:ascii="Arial" w:cs="Arial" w:eastAsia="Arial" w:hAnsi="Arial"/>
                <w:sz w:val="11"/>
                <w:szCs w:val="11"/>
                <w:color w:val="auto"/>
              </w:rPr>
              <w:t>Maryland</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Sierra Insurance Limited</w:t>
            </w:r>
          </w:p>
        </w:tc>
        <w:tc>
          <w:tcPr>
            <w:tcW w:w="6120" w:type="dxa"/>
            <w:vAlign w:val="bottom"/>
            <w:tcBorders>
              <w:bottom w:val="single" w:sz="8" w:color="8FAADC"/>
            </w:tcBorders>
          </w:tcPr>
          <w:p>
            <w:pPr>
              <w:jc w:val="center"/>
              <w:ind w:left="3403"/>
              <w:spacing w:after="0"/>
              <w:rPr>
                <w:sz w:val="20"/>
                <w:szCs w:val="20"/>
                <w:color w:val="auto"/>
              </w:rPr>
            </w:pPr>
            <w:r>
              <w:rPr>
                <w:rFonts w:ascii="Arial" w:cs="Arial" w:eastAsia="Arial" w:hAnsi="Arial"/>
                <w:sz w:val="11"/>
                <w:szCs w:val="11"/>
                <w:color w:val="auto"/>
              </w:rPr>
              <w:t>Nevada</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Singapore 1 Pte. Ltd.</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Singapore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Singapore 2 Pte. Ltd.</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Singapore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Singapore Jurong East Pte. Ltd.</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Singapore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Sixth &amp; Virginia,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Sling Investor,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South Price 2,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Stellar Holding, LLC</w:t>
            </w:r>
          </w:p>
        </w:tc>
        <w:tc>
          <w:tcPr>
            <w:tcW w:w="6120" w:type="dxa"/>
            <w:vAlign w:val="bottom"/>
            <w:tcBorders>
              <w:bottom w:val="single" w:sz="8" w:color="8FAADC"/>
            </w:tcBorders>
            <w:shd w:val="clear" w:color="auto" w:fill="DAE3F3"/>
          </w:tcPr>
          <w:p>
            <w:pPr>
              <w:jc w:val="center"/>
              <w:ind w:left="3403"/>
              <w:spacing w:after="0"/>
              <w:rPr>
                <w:sz w:val="20"/>
                <w:szCs w:val="20"/>
                <w:color w:val="auto"/>
              </w:rPr>
            </w:pPr>
            <w:r>
              <w:rPr>
                <w:rFonts w:ascii="Arial" w:cs="Arial" w:eastAsia="Arial" w:hAnsi="Arial"/>
                <w:sz w:val="11"/>
                <w:szCs w:val="11"/>
                <w:color w:val="auto"/>
              </w:rPr>
              <w:t>Maryland</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Stellar Newco,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Stellar Sub, LLC</w:t>
            </w:r>
          </w:p>
        </w:tc>
        <w:tc>
          <w:tcPr>
            <w:tcW w:w="6120" w:type="dxa"/>
            <w:vAlign w:val="bottom"/>
            <w:tcBorders>
              <w:bottom w:val="single" w:sz="8" w:color="8FAADC"/>
            </w:tcBorders>
            <w:shd w:val="clear" w:color="auto" w:fill="DAE3F3"/>
          </w:tcPr>
          <w:p>
            <w:pPr>
              <w:jc w:val="center"/>
              <w:ind w:left="3403"/>
              <w:spacing w:after="0"/>
              <w:rPr>
                <w:sz w:val="20"/>
                <w:szCs w:val="20"/>
                <w:color w:val="auto"/>
              </w:rPr>
            </w:pPr>
            <w:r>
              <w:rPr>
                <w:rFonts w:ascii="Arial" w:cs="Arial" w:eastAsia="Arial" w:hAnsi="Arial"/>
                <w:sz w:val="11"/>
                <w:szCs w:val="11"/>
                <w:color w:val="auto"/>
              </w:rPr>
              <w:t>Maryland</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Sterling Premier,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Stout Holding,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Tokyo 1 TMK</w:t>
            </w:r>
          </w:p>
        </w:tc>
        <w:tc>
          <w:tcPr>
            <w:tcW w:w="6120" w:type="dxa"/>
            <w:vAlign w:val="bottom"/>
            <w:tcBorders>
              <w:bottom w:val="single" w:sz="8" w:color="8FAADC"/>
            </w:tcBorders>
          </w:tcPr>
          <w:p>
            <w:pPr>
              <w:jc w:val="center"/>
              <w:ind w:left="3403"/>
              <w:spacing w:after="0"/>
              <w:rPr>
                <w:sz w:val="20"/>
                <w:szCs w:val="20"/>
                <w:color w:val="auto"/>
              </w:rPr>
            </w:pPr>
            <w:r>
              <w:rPr>
                <w:rFonts w:ascii="Arial" w:cs="Arial" w:eastAsia="Arial" w:hAnsi="Arial"/>
                <w:sz w:val="11"/>
                <w:szCs w:val="11"/>
                <w:color w:val="auto"/>
                <w:w w:val="99"/>
              </w:rPr>
              <w:t>Japan</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Tokyo 2 TMK</w:t>
            </w:r>
          </w:p>
        </w:tc>
        <w:tc>
          <w:tcPr>
            <w:tcW w:w="6120" w:type="dxa"/>
            <w:vAlign w:val="bottom"/>
            <w:tcBorders>
              <w:bottom w:val="single" w:sz="8" w:color="8FAADC"/>
            </w:tcBorders>
            <w:shd w:val="clear" w:color="auto" w:fill="DAE3F3"/>
          </w:tcPr>
          <w:p>
            <w:pPr>
              <w:jc w:val="center"/>
              <w:ind w:left="3403"/>
              <w:spacing w:after="0"/>
              <w:rPr>
                <w:sz w:val="20"/>
                <w:szCs w:val="20"/>
                <w:color w:val="auto"/>
              </w:rPr>
            </w:pPr>
            <w:r>
              <w:rPr>
                <w:rFonts w:ascii="Arial" w:cs="Arial" w:eastAsia="Arial" w:hAnsi="Arial"/>
                <w:sz w:val="11"/>
                <w:szCs w:val="11"/>
                <w:color w:val="auto"/>
                <w:w w:val="99"/>
              </w:rPr>
              <w:t>Japan</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Toronto Nominee, Inc.</w:t>
            </w:r>
          </w:p>
        </w:tc>
        <w:tc>
          <w:tcPr>
            <w:tcW w:w="6120" w:type="dxa"/>
            <w:vAlign w:val="bottom"/>
            <w:tcBorders>
              <w:bottom w:val="single" w:sz="8" w:color="8FAADC"/>
            </w:tcBorders>
          </w:tcPr>
          <w:p>
            <w:pPr>
              <w:jc w:val="center"/>
              <w:ind w:left="3403"/>
              <w:spacing w:after="0"/>
              <w:rPr>
                <w:sz w:val="20"/>
                <w:szCs w:val="20"/>
                <w:color w:val="auto"/>
              </w:rPr>
            </w:pPr>
            <w:r>
              <w:rPr>
                <w:rFonts w:ascii="Arial" w:cs="Arial" w:eastAsia="Arial" w:hAnsi="Arial"/>
                <w:sz w:val="11"/>
                <w:szCs w:val="11"/>
                <w:color w:val="auto"/>
              </w:rPr>
              <w:t>British Columbia</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Totowa,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Towerview,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Trade Street,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UK Finco,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Walsh Holding,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Waterview,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WBX 2,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Western Lands,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Winter,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WL 0419,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WL 1968,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WL 2322,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WL 2834,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 WL 5459,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 WL 5628,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Digital-Bryan Street,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Digital-GCEAR1 (Ashburn),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Digital-PR Beaumeade Circle,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Digital-PR Devin Shafron E,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Digital-PR Dorothy,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Digital-PR FAA,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Digital-PR Mason King Court,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Digital-PR Old Ironsides 1,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Digital-PR Old Ironsides 2,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Digital-PR Toyama,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Digital-PR Venture,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Digital-PR Zanker,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Dipper Ventures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DLR 800 Central,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DLR LLC</w:t>
            </w:r>
          </w:p>
        </w:tc>
        <w:tc>
          <w:tcPr>
            <w:tcW w:w="6120" w:type="dxa"/>
            <w:vAlign w:val="bottom"/>
            <w:tcBorders>
              <w:bottom w:val="single" w:sz="8" w:color="8FAADC"/>
            </w:tcBorders>
          </w:tcPr>
          <w:p>
            <w:pPr>
              <w:jc w:val="center"/>
              <w:ind w:left="3403"/>
              <w:spacing w:after="0"/>
              <w:rPr>
                <w:sz w:val="20"/>
                <w:szCs w:val="20"/>
                <w:color w:val="auto"/>
              </w:rPr>
            </w:pPr>
            <w:r>
              <w:rPr>
                <w:rFonts w:ascii="Arial" w:cs="Arial" w:eastAsia="Arial" w:hAnsi="Arial"/>
                <w:sz w:val="11"/>
                <w:szCs w:val="11"/>
                <w:color w:val="auto"/>
              </w:rPr>
              <w:t>Maryland</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DRT Greenspoint, LLC</w:t>
            </w:r>
          </w:p>
        </w:tc>
        <w:tc>
          <w:tcPr>
            <w:tcW w:w="6120" w:type="dxa"/>
            <w:vAlign w:val="bottom"/>
            <w:tcBorders>
              <w:bottom w:val="single" w:sz="8" w:color="8FAADC"/>
            </w:tcBorders>
            <w:shd w:val="clear" w:color="auto" w:fill="DAE3F3"/>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DRT-Bryan Street,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132"/>
        </w:trPr>
        <w:tc>
          <w:tcPr>
            <w:tcW w:w="25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DuPont Fabros Technology, L.P.</w:t>
            </w:r>
          </w:p>
        </w:tc>
        <w:tc>
          <w:tcPr>
            <w:tcW w:w="6120" w:type="dxa"/>
            <w:vAlign w:val="bottom"/>
            <w:tcBorders>
              <w:bottom w:val="single" w:sz="8" w:color="8FAADC"/>
            </w:tcBorders>
            <w:shd w:val="clear" w:color="auto" w:fill="DAE3F3"/>
          </w:tcPr>
          <w:p>
            <w:pPr>
              <w:jc w:val="center"/>
              <w:ind w:left="3403"/>
              <w:spacing w:after="0"/>
              <w:rPr>
                <w:sz w:val="20"/>
                <w:szCs w:val="20"/>
                <w:color w:val="auto"/>
              </w:rPr>
            </w:pPr>
            <w:r>
              <w:rPr>
                <w:rFonts w:ascii="Arial" w:cs="Arial" w:eastAsia="Arial" w:hAnsi="Arial"/>
                <w:sz w:val="11"/>
                <w:szCs w:val="11"/>
                <w:color w:val="auto"/>
              </w:rPr>
              <w:t>Maryland</w:t>
            </w:r>
          </w:p>
        </w:tc>
      </w:tr>
      <w:tr>
        <w:trPr>
          <w:trHeight w:val="132"/>
        </w:trPr>
        <w:tc>
          <w:tcPr>
            <w:tcW w:w="25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Elk Ventures LLC</w:t>
            </w:r>
          </w:p>
        </w:tc>
        <w:tc>
          <w:tcPr>
            <w:tcW w:w="6120" w:type="dxa"/>
            <w:vAlign w:val="bottom"/>
            <w:tcBorders>
              <w:bottom w:val="single" w:sz="8" w:color="8FAADC"/>
            </w:tcBorders>
          </w:tcPr>
          <w:p>
            <w:pPr>
              <w:jc w:val="center"/>
              <w:ind w:left="3383"/>
              <w:spacing w:after="0"/>
              <w:rPr>
                <w:sz w:val="20"/>
                <w:szCs w:val="20"/>
                <w:color w:val="auto"/>
              </w:rPr>
            </w:pPr>
            <w:r>
              <w:rPr>
                <w:rFonts w:ascii="Arial" w:cs="Arial" w:eastAsia="Arial" w:hAnsi="Arial"/>
                <w:sz w:val="11"/>
                <w:szCs w:val="11"/>
                <w:color w:val="auto"/>
              </w:rPr>
              <w:t>Delaware</w:t>
            </w:r>
          </w:p>
        </w:tc>
      </w:tr>
      <w:tr>
        <w:trPr>
          <w:trHeight w:val="378"/>
        </w:trPr>
        <w:tc>
          <w:tcPr>
            <w:tcW w:w="25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4" w:right="1440" w:bottom="1440" w:gutter="0" w:footer="0" w:header="0"/>
        </w:sectPr>
      </w:pPr>
    </w:p>
    <w:bookmarkStart w:id="254" w:name="page255"/>
    <w:bookmarkEnd w:id="254"/>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21.2</w:t>
      </w:r>
    </w:p>
    <w:p>
      <w:pPr>
        <w:spacing w:after="0" w:line="9" w:lineRule="exact"/>
        <w:rPr>
          <w:sz w:val="20"/>
          <w:szCs w:val="20"/>
          <w:color w:val="auto"/>
        </w:rPr>
      </w:pPr>
    </w:p>
    <w:tbl>
      <w:tblPr>
        <w:tblLayout w:type="fixed"/>
        <w:tblInd w:w="190" w:type="dxa"/>
        <w:tblCellMar>
          <w:top w:w="0" w:type="dxa"/>
          <w:left w:w="0" w:type="dxa"/>
          <w:bottom w:w="0" w:type="dxa"/>
          <w:right w:w="0" w:type="dxa"/>
        </w:tblCellMar>
      </w:tblPr>
      <w:tr>
        <w:trPr>
          <w:trHeight w:val="167"/>
        </w:trPr>
        <w:tc>
          <w:tcPr>
            <w:tcW w:w="2720" w:type="dxa"/>
            <w:vAlign w:val="bottom"/>
          </w:tcPr>
          <w:p>
            <w:pPr>
              <w:spacing w:after="0"/>
              <w:rPr>
                <w:sz w:val="14"/>
                <w:szCs w:val="14"/>
                <w:color w:val="auto"/>
              </w:rPr>
            </w:pPr>
          </w:p>
        </w:tc>
        <w:tc>
          <w:tcPr>
            <w:tcW w:w="592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List of Subsidiaries of Digital Realty Trust, L.P.</w:t>
            </w:r>
          </w:p>
        </w:tc>
      </w:tr>
      <w:tr>
        <w:trPr>
          <w:trHeight w:val="155"/>
        </w:trPr>
        <w:tc>
          <w:tcPr>
            <w:tcW w:w="2720" w:type="dxa"/>
            <w:vAlign w:val="bottom"/>
          </w:tcPr>
          <w:p>
            <w:pPr>
              <w:spacing w:after="0"/>
              <w:rPr>
                <w:sz w:val="13"/>
                <w:szCs w:val="13"/>
                <w:color w:val="auto"/>
              </w:rPr>
            </w:pPr>
          </w:p>
        </w:tc>
        <w:tc>
          <w:tcPr>
            <w:tcW w:w="5920" w:type="dxa"/>
            <w:vAlign w:val="bottom"/>
          </w:tcPr>
          <w:p>
            <w:pPr>
              <w:spacing w:after="0"/>
              <w:rPr>
                <w:sz w:val="13"/>
                <w:szCs w:val="13"/>
                <w:color w:val="auto"/>
              </w:rPr>
            </w:pPr>
          </w:p>
        </w:tc>
      </w:tr>
      <w:tr>
        <w:trPr>
          <w:trHeight w:val="14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Fawn Ventures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Fox Properties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Gazelle Ventures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GIP 7th Street Holding Company,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GIP 7th Street,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GIP Alpha General Partner,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GIP Alpha Limited Partner,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GIP Alpha, L.P.</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w w:val="99"/>
              </w:rPr>
              <w:t>Texas</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GIP Fairmont Holding Company,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GIP Stoughton,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Global Lafayette Street Holding Company,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Global Marsh General Partner,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Global Marsh Limited Partner,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Global Marsh Member,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Global Marsh Property Owner, L.P.</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w w:val="99"/>
              </w:rPr>
              <w:t>Texas</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Global Miami Acquisition Company,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Global Miami Holding Company, LLC</w:t>
            </w:r>
          </w:p>
        </w:tc>
        <w:tc>
          <w:tcPr>
            <w:tcW w:w="5920" w:type="dxa"/>
            <w:vAlign w:val="bottom"/>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42"/>
        </w:trPr>
        <w:tc>
          <w:tcPr>
            <w:tcW w:w="272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Global Stanford Place II,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Global Webb, L.P.</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w w:val="99"/>
              </w:rPr>
              <w:t>Texas</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Global Webb,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Global Weehawken Acquisition Company,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Global Weehawken Holding Company,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Grizzly Ventures LLC</w:t>
            </w:r>
          </w:p>
        </w:tc>
        <w:tc>
          <w:tcPr>
            <w:tcW w:w="5920" w:type="dxa"/>
            <w:vAlign w:val="bottom"/>
            <w:tcBorders>
              <w:bottom w:val="single" w:sz="8" w:color="8FAADC"/>
            </w:tcBorders>
            <w:shd w:val="clear" w:color="auto" w:fill="DAE3F3"/>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Hawk Ventures LLC</w:t>
            </w:r>
          </w:p>
        </w:tc>
        <w:tc>
          <w:tcPr>
            <w:tcW w:w="5920" w:type="dxa"/>
            <w:vAlign w:val="bottom"/>
            <w:tcBorders>
              <w:bottom w:val="single" w:sz="8" w:color="8FAADC"/>
            </w:tcBorders>
          </w:tcPr>
          <w:p>
            <w:pPr>
              <w:jc w:val="center"/>
              <w:ind w:left="3183"/>
              <w:spacing w:after="0"/>
              <w:rPr>
                <w:sz w:val="20"/>
                <w:szCs w:val="20"/>
                <w:color w:val="auto"/>
              </w:rPr>
            </w:pPr>
            <w:r>
              <w:rPr>
                <w:rFonts w:ascii="Arial" w:cs="Arial" w:eastAsia="Arial" w:hAnsi="Arial"/>
                <w:sz w:val="11"/>
                <w:szCs w:val="11"/>
                <w:color w:val="auto"/>
              </w:rPr>
              <w:t>Delaware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Icolo Ltd (Mauritius)</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Mauritius</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Icolo Ltd. (Kenya)</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Kenya</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B.V.</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Netherlands</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Belgium B.V.</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Belgium</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Carrier Hotel Ltd.</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United Kingdom (England and Wales)</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Consultancy Sevices B.V.</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Netherlands</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Croatia LLC</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Croatia</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Danmark ApS</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Denmark</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Datacenters B.V.</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Netherlands</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Deutschland GmbH</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Germany</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España S.L.U.</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Spain</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Europe Ltd.</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United Kingdom (England and Wales)</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France SAS</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w w:val="99"/>
              </w:rPr>
              <w:t>France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Greece JV B.V.</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Netherlands</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HeadQuarters B.V.</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Netherlands</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II B.V.</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Netherlands</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Ireland DAC</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Ireland</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Nederland B.V.</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Netherlands</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Operational B.V.</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Netherlands</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Österreich GmbH</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w w:val="99"/>
              </w:rPr>
              <w:t>Austria</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Participation 1 B.V.</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Netherlands</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Real Estate Holding B.V.</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Netherlands</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Real Estate I B.V.</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Netherlands</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Real Estate II SARL</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w w:val="99"/>
              </w:rPr>
              <w:t>France</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Real Estate III SARL</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w w:val="99"/>
              </w:rPr>
              <w:t>France</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Real Estate IV B.V.</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Netherlands</w:t>
            </w:r>
          </w:p>
        </w:tc>
      </w:tr>
      <w:tr>
        <w:trPr>
          <w:trHeight w:val="132"/>
        </w:trPr>
        <w:tc>
          <w:tcPr>
            <w:tcW w:w="27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Real Estate IX B.V.</w:t>
            </w:r>
          </w:p>
        </w:tc>
        <w:tc>
          <w:tcPr>
            <w:tcW w:w="5920" w:type="dxa"/>
            <w:vAlign w:val="bottom"/>
            <w:tcBorders>
              <w:bottom w:val="single" w:sz="8" w:color="8FAADC"/>
            </w:tcBorders>
            <w:shd w:val="clear" w:color="auto" w:fill="DAE3F3"/>
          </w:tcPr>
          <w:p>
            <w:pPr>
              <w:jc w:val="center"/>
              <w:ind w:left="3203"/>
              <w:spacing w:after="0"/>
              <w:rPr>
                <w:sz w:val="20"/>
                <w:szCs w:val="20"/>
                <w:color w:val="auto"/>
              </w:rPr>
            </w:pPr>
            <w:r>
              <w:rPr>
                <w:rFonts w:ascii="Arial" w:cs="Arial" w:eastAsia="Arial" w:hAnsi="Arial"/>
                <w:sz w:val="11"/>
                <w:szCs w:val="11"/>
                <w:color w:val="auto"/>
              </w:rPr>
              <w:t>Belgium</w:t>
            </w:r>
          </w:p>
        </w:tc>
      </w:tr>
      <w:tr>
        <w:trPr>
          <w:trHeight w:val="132"/>
        </w:trPr>
        <w:tc>
          <w:tcPr>
            <w:tcW w:w="27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Real Estate Limited</w:t>
            </w:r>
          </w:p>
        </w:tc>
        <w:tc>
          <w:tcPr>
            <w:tcW w:w="5920" w:type="dxa"/>
            <w:vAlign w:val="bottom"/>
            <w:tcBorders>
              <w:bottom w:val="single" w:sz="8" w:color="8FAADC"/>
            </w:tcBorders>
          </w:tcPr>
          <w:p>
            <w:pPr>
              <w:jc w:val="center"/>
              <w:ind w:left="3203"/>
              <w:spacing w:after="0"/>
              <w:rPr>
                <w:sz w:val="20"/>
                <w:szCs w:val="20"/>
                <w:color w:val="auto"/>
              </w:rPr>
            </w:pPr>
            <w:r>
              <w:rPr>
                <w:rFonts w:ascii="Arial" w:cs="Arial" w:eastAsia="Arial" w:hAnsi="Arial"/>
                <w:sz w:val="11"/>
                <w:szCs w:val="11"/>
                <w:color w:val="auto"/>
              </w:rPr>
              <w:t>Kenya</w:t>
            </w:r>
          </w:p>
        </w:tc>
      </w:tr>
      <w:tr>
        <w:trPr>
          <w:trHeight w:val="378"/>
        </w:trPr>
        <w:tc>
          <w:tcPr>
            <w:tcW w:w="27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4" w:right="1440" w:bottom="1440" w:gutter="0" w:footer="0" w:header="0"/>
        </w:sectPr>
      </w:pPr>
    </w:p>
    <w:bookmarkStart w:id="255" w:name="page256"/>
    <w:bookmarkEnd w:id="255"/>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21.2</w:t>
      </w:r>
    </w:p>
    <w:p>
      <w:pPr>
        <w:spacing w:after="0" w:line="9" w:lineRule="exact"/>
        <w:rPr>
          <w:sz w:val="20"/>
          <w:szCs w:val="20"/>
          <w:color w:val="auto"/>
        </w:rPr>
      </w:pPr>
    </w:p>
    <w:tbl>
      <w:tblPr>
        <w:tblLayout w:type="fixed"/>
        <w:tblInd w:w="190" w:type="dxa"/>
        <w:tblCellMar>
          <w:top w:w="0" w:type="dxa"/>
          <w:left w:w="0" w:type="dxa"/>
          <w:bottom w:w="0" w:type="dxa"/>
          <w:right w:w="0" w:type="dxa"/>
        </w:tblCellMar>
      </w:tblPr>
      <w:tr>
        <w:trPr>
          <w:trHeight w:val="167"/>
        </w:trPr>
        <w:tc>
          <w:tcPr>
            <w:tcW w:w="2660" w:type="dxa"/>
            <w:vAlign w:val="bottom"/>
          </w:tcPr>
          <w:p>
            <w:pPr>
              <w:spacing w:after="0"/>
              <w:rPr>
                <w:sz w:val="14"/>
                <w:szCs w:val="14"/>
                <w:color w:val="auto"/>
              </w:rPr>
            </w:pPr>
          </w:p>
        </w:tc>
        <w:tc>
          <w:tcPr>
            <w:tcW w:w="598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List of Subsidiaries of Digital Realty Trust, L.P.</w:t>
            </w:r>
          </w:p>
        </w:tc>
      </w:tr>
      <w:tr>
        <w:trPr>
          <w:trHeight w:val="155"/>
        </w:trPr>
        <w:tc>
          <w:tcPr>
            <w:tcW w:w="2660" w:type="dxa"/>
            <w:vAlign w:val="bottom"/>
          </w:tcPr>
          <w:p>
            <w:pPr>
              <w:spacing w:after="0"/>
              <w:rPr>
                <w:sz w:val="13"/>
                <w:szCs w:val="13"/>
                <w:color w:val="auto"/>
              </w:rPr>
            </w:pPr>
          </w:p>
        </w:tc>
        <w:tc>
          <w:tcPr>
            <w:tcW w:w="5980" w:type="dxa"/>
            <w:vAlign w:val="bottom"/>
          </w:tcPr>
          <w:p>
            <w:pPr>
              <w:spacing w:after="0"/>
              <w:rPr>
                <w:sz w:val="13"/>
                <w:szCs w:val="13"/>
                <w:color w:val="auto"/>
              </w:rPr>
            </w:pPr>
          </w:p>
        </w:tc>
      </w:tr>
      <w:tr>
        <w:trPr>
          <w:trHeight w:val="14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Real Estate V B.V.</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Netherlands</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Real Estate VI ApS</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Denmark</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Real Estate VII GmbH</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w w:val="99"/>
              </w:rPr>
              <w:t>Austria</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Real Estate VIII GmbH</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Switzerland</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Real Estate X B.V.</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Netherlands</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Real Estate XI SARL</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w w:val="99"/>
              </w:rPr>
              <w:t>France</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Real Estate XII B.V.</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Netherlands</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Real Estate XIII B.V.</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Netherlands</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Real Estate XIV B.V.</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Netherlands</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Real Estate XIX GmbH</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w w:val="99"/>
              </w:rPr>
              <w:t>Austria</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Real Estate XV S.L.U.</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Spain</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Real Estate XVI B.V.</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Netherlands</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Real Estate XVII ApS</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Denmark</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Real Estate XVIII B.V.</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Netherlands</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Real Estate XX SAS</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w w:val="99"/>
              </w:rPr>
              <w:t>France</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Real Estate XXI GmbH</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Switzerland</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Real Estate XXII B.V.</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Netherlands</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Real Estate XXIII ApS</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Denmark</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Real Estate XXIV S.R.L.</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Italy</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Real Estate XXV SAS</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w w:val="99"/>
              </w:rPr>
              <w:t>France</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Schweiz GmbH</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Switzerland</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Science Park B.V.</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Netherlands</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Sverige AB</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Sweden</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Telecom B.V.</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Netherlands</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Telecom Ltd.</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United Kingdom (England and Wales)</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Telecom S.R.L.</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Italy</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InterXion Trademarks B.V.</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Netherlands</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InterXion Trading B.V.</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Netherlands</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Lamda Hellix S.A.</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Greece</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Lemur Properties LLC</w:t>
            </w:r>
          </w:p>
        </w:tc>
        <w:tc>
          <w:tcPr>
            <w:tcW w:w="5980" w:type="dxa"/>
            <w:vAlign w:val="bottom"/>
            <w:tcBorders>
              <w:bottom w:val="single" w:sz="8" w:color="8FAADC"/>
            </w:tcBorders>
            <w:shd w:val="clear" w:color="auto" w:fill="DAE3F3"/>
          </w:tcPr>
          <w:p>
            <w:pPr>
              <w:jc w:val="center"/>
              <w:ind w:left="3243"/>
              <w:spacing w:after="0"/>
              <w:rPr>
                <w:sz w:val="20"/>
                <w:szCs w:val="20"/>
                <w:color w:val="auto"/>
              </w:rPr>
            </w:pPr>
            <w:r>
              <w:rPr>
                <w:rFonts w:ascii="Arial" w:cs="Arial" w:eastAsia="Arial" w:hAnsi="Arial"/>
                <w:sz w:val="11"/>
                <w:szCs w:val="11"/>
                <w:color w:val="auto"/>
              </w:rPr>
              <w:t>Delaware</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Loudoun Exchange Owners Association, Inc.</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Virginia</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MC Digital Realty Inc.</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w w:val="99"/>
              </w:rPr>
              <w:t>Japan</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Moose Ventures LP</w:t>
            </w:r>
          </w:p>
        </w:tc>
        <w:tc>
          <w:tcPr>
            <w:tcW w:w="5980" w:type="dxa"/>
            <w:vAlign w:val="bottom"/>
            <w:tcBorders>
              <w:bottom w:val="single" w:sz="8" w:color="8FAADC"/>
            </w:tcBorders>
          </w:tcPr>
          <w:p>
            <w:pPr>
              <w:jc w:val="center"/>
              <w:ind w:left="3243"/>
              <w:spacing w:after="0"/>
              <w:rPr>
                <w:sz w:val="20"/>
                <w:szCs w:val="20"/>
                <w:color w:val="auto"/>
              </w:rPr>
            </w:pPr>
            <w:r>
              <w:rPr>
                <w:rFonts w:ascii="Arial" w:cs="Arial" w:eastAsia="Arial" w:hAnsi="Arial"/>
                <w:sz w:val="11"/>
                <w:szCs w:val="11"/>
                <w:color w:val="auto"/>
              </w:rPr>
              <w:t>Delaware</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Moran Road Partners, LLC</w:t>
            </w:r>
          </w:p>
        </w:tc>
        <w:tc>
          <w:tcPr>
            <w:tcW w:w="5980" w:type="dxa"/>
            <w:vAlign w:val="bottom"/>
            <w:tcBorders>
              <w:bottom w:val="single" w:sz="8" w:color="8FAADC"/>
            </w:tcBorders>
            <w:shd w:val="clear" w:color="auto" w:fill="DAE3F3"/>
          </w:tcPr>
          <w:p>
            <w:pPr>
              <w:jc w:val="center"/>
              <w:ind w:left="3243"/>
              <w:spacing w:after="0"/>
              <w:rPr>
                <w:sz w:val="20"/>
                <w:szCs w:val="20"/>
                <w:color w:val="auto"/>
              </w:rPr>
            </w:pPr>
            <w:r>
              <w:rPr>
                <w:rFonts w:ascii="Arial" w:cs="Arial" w:eastAsia="Arial" w:hAnsi="Arial"/>
                <w:sz w:val="11"/>
                <w:szCs w:val="11"/>
                <w:color w:val="auto"/>
              </w:rPr>
              <w:t>Delaware</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Penguins OP Sub 2, LLC</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Maryland</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Porpoise Ventures LLC</w:t>
            </w:r>
          </w:p>
        </w:tc>
        <w:tc>
          <w:tcPr>
            <w:tcW w:w="5980" w:type="dxa"/>
            <w:vAlign w:val="bottom"/>
            <w:tcBorders>
              <w:bottom w:val="single" w:sz="8" w:color="8FAADC"/>
            </w:tcBorders>
            <w:shd w:val="clear" w:color="auto" w:fill="DAE3F3"/>
          </w:tcPr>
          <w:p>
            <w:pPr>
              <w:jc w:val="center"/>
              <w:ind w:left="3243"/>
              <w:spacing w:after="0"/>
              <w:rPr>
                <w:sz w:val="20"/>
                <w:szCs w:val="20"/>
                <w:color w:val="auto"/>
              </w:rPr>
            </w:pPr>
            <w:r>
              <w:rPr>
                <w:rFonts w:ascii="Arial" w:cs="Arial" w:eastAsia="Arial" w:hAnsi="Arial"/>
                <w:sz w:val="11"/>
                <w:szCs w:val="11"/>
                <w:color w:val="auto"/>
              </w:rPr>
              <w:t>Delaware</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Quill Equity LLC</w:t>
            </w:r>
          </w:p>
        </w:tc>
        <w:tc>
          <w:tcPr>
            <w:tcW w:w="5980" w:type="dxa"/>
            <w:vAlign w:val="bottom"/>
            <w:tcBorders>
              <w:bottom w:val="single" w:sz="8" w:color="8FAADC"/>
            </w:tcBorders>
          </w:tcPr>
          <w:p>
            <w:pPr>
              <w:jc w:val="center"/>
              <w:ind w:left="3243"/>
              <w:spacing w:after="0"/>
              <w:rPr>
                <w:sz w:val="20"/>
                <w:szCs w:val="20"/>
                <w:color w:val="auto"/>
              </w:rPr>
            </w:pPr>
            <w:r>
              <w:rPr>
                <w:rFonts w:ascii="Arial" w:cs="Arial" w:eastAsia="Arial" w:hAnsi="Arial"/>
                <w:sz w:val="11"/>
                <w:szCs w:val="11"/>
                <w:color w:val="auto"/>
              </w:rPr>
              <w:t>Delaware</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Redhill Park Limited</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United Kingdom (England and Wales)</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Rhino Equity LLC</w:t>
            </w:r>
          </w:p>
        </w:tc>
        <w:tc>
          <w:tcPr>
            <w:tcW w:w="5980" w:type="dxa"/>
            <w:vAlign w:val="bottom"/>
            <w:tcBorders>
              <w:bottom w:val="single" w:sz="8" w:color="8FAADC"/>
            </w:tcBorders>
          </w:tcPr>
          <w:p>
            <w:pPr>
              <w:jc w:val="center"/>
              <w:ind w:left="3243"/>
              <w:spacing w:after="0"/>
              <w:rPr>
                <w:sz w:val="20"/>
                <w:szCs w:val="20"/>
                <w:color w:val="auto"/>
              </w:rPr>
            </w:pPr>
            <w:r>
              <w:rPr>
                <w:rFonts w:ascii="Arial" w:cs="Arial" w:eastAsia="Arial" w:hAnsi="Arial"/>
                <w:sz w:val="11"/>
                <w:szCs w:val="11"/>
                <w:color w:val="auto"/>
              </w:rPr>
              <w:t>Delaware</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Sentrum (Croydon) Limited</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Isle of Man</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Sentrum Holdings Limited</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British Virgin Islands</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Sentrum III Limited</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British Virgin Islands</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Sentrum IV Limited</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British Virgin Islands</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Sentrum Limited</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United Kingdom (England and Wales)</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Sixth &amp; Virginia Holdings, LLC</w:t>
            </w:r>
          </w:p>
        </w:tc>
        <w:tc>
          <w:tcPr>
            <w:tcW w:w="5980" w:type="dxa"/>
            <w:vAlign w:val="bottom"/>
            <w:tcBorders>
              <w:bottom w:val="single" w:sz="8" w:color="8FAADC"/>
            </w:tcBorders>
          </w:tcPr>
          <w:p>
            <w:pPr>
              <w:jc w:val="center"/>
              <w:ind w:left="3243"/>
              <w:spacing w:after="0"/>
              <w:rPr>
                <w:sz w:val="20"/>
                <w:szCs w:val="20"/>
                <w:color w:val="auto"/>
              </w:rPr>
            </w:pPr>
            <w:r>
              <w:rPr>
                <w:rFonts w:ascii="Arial" w:cs="Arial" w:eastAsia="Arial" w:hAnsi="Arial"/>
                <w:sz w:val="11"/>
                <w:szCs w:val="11"/>
                <w:color w:val="auto"/>
              </w:rPr>
              <w:t>Delaware</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Sixth &amp; Virginia Properties</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w w:val="99"/>
              </w:rPr>
              <w:t>Washington</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Sovereign House Jersey Limited</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Jersey</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SplitsCo 2020 B.V.</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Netherlands</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Stellar Canada Holding, LLC</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Maryland</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Stellar JV GP, LLC</w:t>
            </w:r>
          </w:p>
        </w:tc>
        <w:tc>
          <w:tcPr>
            <w:tcW w:w="5980" w:type="dxa"/>
            <w:vAlign w:val="bottom"/>
            <w:tcBorders>
              <w:bottom w:val="single" w:sz="8" w:color="8FAADC"/>
            </w:tcBorders>
            <w:shd w:val="clear" w:color="auto" w:fill="DAE3F3"/>
          </w:tcPr>
          <w:p>
            <w:pPr>
              <w:jc w:val="center"/>
              <w:ind w:left="3243"/>
              <w:spacing w:after="0"/>
              <w:rPr>
                <w:sz w:val="20"/>
                <w:szCs w:val="20"/>
                <w:color w:val="auto"/>
              </w:rPr>
            </w:pPr>
            <w:r>
              <w:rPr>
                <w:rFonts w:ascii="Arial" w:cs="Arial" w:eastAsia="Arial" w:hAnsi="Arial"/>
                <w:sz w:val="11"/>
                <w:szCs w:val="11"/>
                <w:color w:val="auto"/>
              </w:rPr>
              <w:t>Delaware</w:t>
            </w:r>
          </w:p>
        </w:tc>
      </w:tr>
      <w:tr>
        <w:trPr>
          <w:trHeight w:val="132"/>
        </w:trPr>
        <w:tc>
          <w:tcPr>
            <w:tcW w:w="26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1"/>
                <w:szCs w:val="11"/>
                <w:color w:val="auto"/>
              </w:rPr>
              <w:t>Stellar JV, LP</w:t>
            </w:r>
          </w:p>
        </w:tc>
        <w:tc>
          <w:tcPr>
            <w:tcW w:w="5980" w:type="dxa"/>
            <w:vAlign w:val="bottom"/>
            <w:tcBorders>
              <w:bottom w:val="single" w:sz="8" w:color="8FAADC"/>
            </w:tcBorders>
          </w:tcPr>
          <w:p>
            <w:pPr>
              <w:jc w:val="center"/>
              <w:ind w:left="3263"/>
              <w:spacing w:after="0"/>
              <w:rPr>
                <w:sz w:val="20"/>
                <w:szCs w:val="20"/>
                <w:color w:val="auto"/>
              </w:rPr>
            </w:pPr>
            <w:r>
              <w:rPr>
                <w:rFonts w:ascii="Arial" w:cs="Arial" w:eastAsia="Arial" w:hAnsi="Arial"/>
                <w:sz w:val="11"/>
                <w:szCs w:val="11"/>
                <w:color w:val="auto"/>
              </w:rPr>
              <w:t>Ontario</w:t>
            </w:r>
          </w:p>
        </w:tc>
      </w:tr>
      <w:tr>
        <w:trPr>
          <w:trHeight w:val="132"/>
        </w:trPr>
        <w:tc>
          <w:tcPr>
            <w:tcW w:w="26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1"/>
                <w:szCs w:val="11"/>
                <w:color w:val="auto"/>
              </w:rPr>
              <w:t>Stellar Participações S.A.</w:t>
            </w:r>
          </w:p>
        </w:tc>
        <w:tc>
          <w:tcPr>
            <w:tcW w:w="5980" w:type="dxa"/>
            <w:vAlign w:val="bottom"/>
            <w:tcBorders>
              <w:bottom w:val="single" w:sz="8" w:color="8FAADC"/>
            </w:tcBorders>
            <w:shd w:val="clear" w:color="auto" w:fill="DAE3F3"/>
          </w:tcPr>
          <w:p>
            <w:pPr>
              <w:jc w:val="center"/>
              <w:ind w:left="3263"/>
              <w:spacing w:after="0"/>
              <w:rPr>
                <w:sz w:val="20"/>
                <w:szCs w:val="20"/>
                <w:color w:val="auto"/>
              </w:rPr>
            </w:pPr>
            <w:r>
              <w:rPr>
                <w:rFonts w:ascii="Arial" w:cs="Arial" w:eastAsia="Arial" w:hAnsi="Arial"/>
                <w:sz w:val="11"/>
                <w:szCs w:val="11"/>
                <w:color w:val="auto"/>
              </w:rPr>
              <w:t>Brazil</w:t>
            </w:r>
          </w:p>
        </w:tc>
      </w:tr>
      <w:tr>
        <w:trPr>
          <w:trHeight w:val="378"/>
        </w:trPr>
        <w:tc>
          <w:tcPr>
            <w:tcW w:w="26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5" w:right="1440" w:bottom="1440" w:gutter="0" w:footer="0" w:header="0"/>
        </w:sectPr>
      </w:pPr>
    </w:p>
    <w:bookmarkStart w:id="256" w:name="page257"/>
    <w:bookmarkEnd w:id="256"/>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21.2</w:t>
      </w:r>
    </w:p>
    <w:p>
      <w:pPr>
        <w:spacing w:after="0" w:line="9"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List of Subsidiaries of Digital Realty Trust, L.P.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60" w:type="dxa"/>
            <w:vAlign w:val="bottom"/>
            <w:vMerge w:val="restart"/>
          </w:tcPr>
          <w:p>
            <w:pPr>
              <w:spacing w:after="0"/>
              <w:rPr>
                <w:sz w:val="20"/>
                <w:szCs w:val="20"/>
                <w:color w:val="auto"/>
              </w:rPr>
            </w:pPr>
            <w:r>
              <w:rPr>
                <w:rFonts w:ascii="Arial" w:cs="Arial" w:eastAsia="Arial" w:hAnsi="Arial"/>
                <w:sz w:val="11"/>
                <w:szCs w:val="11"/>
                <w:color w:val="auto"/>
              </w:rPr>
              <w:t>Stichting Administratiekantoor Management InterXion</w:t>
            </w:r>
          </w:p>
        </w:tc>
        <w:tc>
          <w:tcPr>
            <w:tcW w:w="5760" w:type="dxa"/>
            <w:vAlign w:val="bottom"/>
            <w:vMerge w:val="restart"/>
          </w:tcPr>
          <w:p>
            <w:pPr>
              <w:jc w:val="center"/>
              <w:ind w:left="3043"/>
              <w:spacing w:after="0"/>
              <w:rPr>
                <w:sz w:val="20"/>
                <w:szCs w:val="20"/>
                <w:color w:val="auto"/>
              </w:rPr>
            </w:pPr>
            <w:r>
              <w:rPr>
                <w:rFonts w:ascii="Arial" w:cs="Arial" w:eastAsia="Arial" w:hAnsi="Arial"/>
                <w:sz w:val="11"/>
                <w:szCs w:val="11"/>
                <w:color w:val="auto"/>
              </w:rPr>
              <w:t>Netherlands</w:t>
            </w:r>
          </w:p>
        </w:tc>
        <w:tc>
          <w:tcPr>
            <w:tcW w:w="0" w:type="dxa"/>
            <w:vAlign w:val="bottom"/>
          </w:tcPr>
          <w:p>
            <w:pPr>
              <w:spacing w:after="0"/>
              <w:rPr>
                <w:sz w:val="1"/>
                <w:szCs w:val="1"/>
                <w:color w:val="auto"/>
              </w:rPr>
            </w:pPr>
          </w:p>
        </w:tc>
      </w:tr>
      <w:tr>
        <w:trPr>
          <w:trHeight w:val="141"/>
        </w:trPr>
        <w:tc>
          <w:tcPr>
            <w:tcW w:w="20" w:type="dxa"/>
            <w:vAlign w:val="bottom"/>
            <w:tcBorders>
              <w:bottom w:val="single" w:sz="8" w:color="8FAADC"/>
            </w:tcBorders>
            <w:shd w:val="clear" w:color="auto" w:fill="8FAADC"/>
          </w:tcPr>
          <w:p>
            <w:pPr>
              <w:spacing w:after="0"/>
              <w:rPr>
                <w:sz w:val="12"/>
                <w:szCs w:val="12"/>
                <w:color w:val="auto"/>
              </w:rPr>
            </w:pPr>
          </w:p>
        </w:tc>
        <w:tc>
          <w:tcPr>
            <w:tcW w:w="2860" w:type="dxa"/>
            <w:vAlign w:val="bottom"/>
            <w:tcBorders>
              <w:bottom w:val="single" w:sz="8" w:color="8FAADC"/>
            </w:tcBorders>
            <w:vMerge w:val="continue"/>
          </w:tcPr>
          <w:p>
            <w:pPr>
              <w:spacing w:after="0"/>
              <w:rPr>
                <w:sz w:val="12"/>
                <w:szCs w:val="12"/>
                <w:color w:val="auto"/>
              </w:rPr>
            </w:pPr>
          </w:p>
        </w:tc>
        <w:tc>
          <w:tcPr>
            <w:tcW w:w="5760" w:type="dxa"/>
            <w:vAlign w:val="bottom"/>
            <w:tcBorders>
              <w:bottom w:val="single" w:sz="8" w:color="8FAAD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Storm ICT Outsourcing S.A.</w:t>
            </w:r>
          </w:p>
        </w:tc>
        <w:tc>
          <w:tcPr>
            <w:tcW w:w="576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Greece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Tarantula Ventures LLC</w:t>
            </w:r>
          </w:p>
        </w:tc>
        <w:tc>
          <w:tcPr>
            <w:tcW w:w="5760" w:type="dxa"/>
            <w:vAlign w:val="bottom"/>
            <w:tcBorders>
              <w:bottom w:val="single" w:sz="8" w:color="8FAADC"/>
            </w:tcBorders>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Techno Park Holdings LLC</w:t>
            </w:r>
          </w:p>
        </w:tc>
        <w:tc>
          <w:tcPr>
            <w:tcW w:w="5760" w:type="dxa"/>
            <w:vAlign w:val="bottom"/>
            <w:tcBorders>
              <w:bottom w:val="single" w:sz="8" w:color="8FAADC"/>
            </w:tcBorders>
            <w:shd w:val="clear" w:color="auto" w:fill="DAE3F3"/>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Technologies Company LLC</w:t>
            </w:r>
          </w:p>
        </w:tc>
        <w:tc>
          <w:tcPr>
            <w:tcW w:w="576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w w:val="99"/>
              </w:rPr>
              <w:t>Washington</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Telx - Charlotte, LLC</w:t>
            </w:r>
          </w:p>
        </w:tc>
        <w:tc>
          <w:tcPr>
            <w:tcW w:w="5760" w:type="dxa"/>
            <w:vAlign w:val="bottom"/>
            <w:tcBorders>
              <w:bottom w:val="single" w:sz="8" w:color="8FAADC"/>
            </w:tcBorders>
            <w:shd w:val="clear" w:color="auto" w:fill="DAE3F3"/>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Telx - Chicago Federal, LLC</w:t>
            </w:r>
          </w:p>
        </w:tc>
        <w:tc>
          <w:tcPr>
            <w:tcW w:w="5760" w:type="dxa"/>
            <w:vAlign w:val="bottom"/>
            <w:tcBorders>
              <w:bottom w:val="single" w:sz="8" w:color="8FAADC"/>
            </w:tcBorders>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Telx - Chicago Lakeside, LLC</w:t>
            </w:r>
          </w:p>
        </w:tc>
        <w:tc>
          <w:tcPr>
            <w:tcW w:w="5760" w:type="dxa"/>
            <w:vAlign w:val="bottom"/>
            <w:tcBorders>
              <w:bottom w:val="single" w:sz="8" w:color="8FAADC"/>
            </w:tcBorders>
            <w:shd w:val="clear" w:color="auto" w:fill="DAE3F3"/>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Telx - Clifton, LLC</w:t>
            </w:r>
          </w:p>
        </w:tc>
        <w:tc>
          <w:tcPr>
            <w:tcW w:w="5760" w:type="dxa"/>
            <w:vAlign w:val="bottom"/>
            <w:tcBorders>
              <w:bottom w:val="single" w:sz="8" w:color="8FAADC"/>
            </w:tcBorders>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Telx - Clifton-I, LLC</w:t>
            </w:r>
          </w:p>
        </w:tc>
        <w:tc>
          <w:tcPr>
            <w:tcW w:w="5760" w:type="dxa"/>
            <w:vAlign w:val="bottom"/>
            <w:tcBorders>
              <w:bottom w:val="single" w:sz="8" w:color="8FAADC"/>
            </w:tcBorders>
            <w:shd w:val="clear" w:color="auto" w:fill="DAE3F3"/>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Telx - Dallas, LLC</w:t>
            </w:r>
          </w:p>
        </w:tc>
        <w:tc>
          <w:tcPr>
            <w:tcW w:w="5760" w:type="dxa"/>
            <w:vAlign w:val="bottom"/>
            <w:tcBorders>
              <w:bottom w:val="single" w:sz="8" w:color="8FAADC"/>
            </w:tcBorders>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Telx - Los Angeles, LLC</w:t>
            </w:r>
          </w:p>
        </w:tc>
        <w:tc>
          <w:tcPr>
            <w:tcW w:w="5760" w:type="dxa"/>
            <w:vAlign w:val="bottom"/>
            <w:tcBorders>
              <w:bottom w:val="single" w:sz="8" w:color="8FAADC"/>
            </w:tcBorders>
            <w:shd w:val="clear" w:color="auto" w:fill="DAE3F3"/>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Telx - Miami, LLC</w:t>
            </w:r>
          </w:p>
        </w:tc>
        <w:tc>
          <w:tcPr>
            <w:tcW w:w="5760" w:type="dxa"/>
            <w:vAlign w:val="bottom"/>
            <w:tcBorders>
              <w:bottom w:val="single" w:sz="8" w:color="8FAADC"/>
            </w:tcBorders>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Telx - New York 111 8th, LLC</w:t>
            </w:r>
          </w:p>
        </w:tc>
        <w:tc>
          <w:tcPr>
            <w:tcW w:w="5760" w:type="dxa"/>
            <w:vAlign w:val="bottom"/>
            <w:tcBorders>
              <w:bottom w:val="single" w:sz="8" w:color="8FAADC"/>
            </w:tcBorders>
            <w:shd w:val="clear" w:color="auto" w:fill="DAE3F3"/>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Telx - New York 6th Ave LLC</w:t>
            </w:r>
          </w:p>
        </w:tc>
        <w:tc>
          <w:tcPr>
            <w:tcW w:w="5760" w:type="dxa"/>
            <w:vAlign w:val="bottom"/>
            <w:tcBorders>
              <w:bottom w:val="single" w:sz="8" w:color="8FAADC"/>
            </w:tcBorders>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Telx - New York, LLC</w:t>
            </w:r>
          </w:p>
        </w:tc>
        <w:tc>
          <w:tcPr>
            <w:tcW w:w="5760" w:type="dxa"/>
            <w:vAlign w:val="bottom"/>
            <w:tcBorders>
              <w:bottom w:val="single" w:sz="8" w:color="8FAADC"/>
            </w:tcBorders>
            <w:shd w:val="clear" w:color="auto" w:fill="DAE3F3"/>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Telx - Phoenix, LLC</w:t>
            </w:r>
          </w:p>
        </w:tc>
        <w:tc>
          <w:tcPr>
            <w:tcW w:w="5760" w:type="dxa"/>
            <w:vAlign w:val="bottom"/>
            <w:tcBorders>
              <w:bottom w:val="single" w:sz="8" w:color="8FAADC"/>
            </w:tcBorders>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Telx - Portland, LLC</w:t>
            </w:r>
          </w:p>
        </w:tc>
        <w:tc>
          <w:tcPr>
            <w:tcW w:w="5760" w:type="dxa"/>
            <w:vAlign w:val="bottom"/>
            <w:tcBorders>
              <w:bottom w:val="single" w:sz="8" w:color="8FAADC"/>
            </w:tcBorders>
            <w:shd w:val="clear" w:color="auto" w:fill="DAE3F3"/>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Telx - San Francisco, LLC</w:t>
            </w:r>
          </w:p>
        </w:tc>
        <w:tc>
          <w:tcPr>
            <w:tcW w:w="5760" w:type="dxa"/>
            <w:vAlign w:val="bottom"/>
            <w:tcBorders>
              <w:bottom w:val="single" w:sz="8" w:color="8FAADC"/>
            </w:tcBorders>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Telx - Santa Clara, LLC</w:t>
            </w:r>
          </w:p>
        </w:tc>
        <w:tc>
          <w:tcPr>
            <w:tcW w:w="5760" w:type="dxa"/>
            <w:vAlign w:val="bottom"/>
            <w:tcBorders>
              <w:bottom w:val="single" w:sz="8" w:color="8FAADC"/>
            </w:tcBorders>
            <w:shd w:val="clear" w:color="auto" w:fill="DAE3F3"/>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Telx - Seattle, LLC</w:t>
            </w:r>
          </w:p>
        </w:tc>
        <w:tc>
          <w:tcPr>
            <w:tcW w:w="5760" w:type="dxa"/>
            <w:vAlign w:val="bottom"/>
            <w:tcBorders>
              <w:bottom w:val="single" w:sz="8" w:color="8FAADC"/>
            </w:tcBorders>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Telx - Weehawken, LLC</w:t>
            </w:r>
          </w:p>
        </w:tc>
        <w:tc>
          <w:tcPr>
            <w:tcW w:w="5760" w:type="dxa"/>
            <w:vAlign w:val="bottom"/>
            <w:tcBorders>
              <w:bottom w:val="single" w:sz="8" w:color="8FAADC"/>
            </w:tcBorders>
            <w:shd w:val="clear" w:color="auto" w:fill="DAE3F3"/>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Telx Ashburn, LLC</w:t>
            </w:r>
          </w:p>
        </w:tc>
        <w:tc>
          <w:tcPr>
            <w:tcW w:w="5760" w:type="dxa"/>
            <w:vAlign w:val="bottom"/>
            <w:tcBorders>
              <w:bottom w:val="single" w:sz="8" w:color="8FAADC"/>
            </w:tcBorders>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Telx Atlanta 2, LLC</w:t>
            </w:r>
          </w:p>
        </w:tc>
        <w:tc>
          <w:tcPr>
            <w:tcW w:w="5760" w:type="dxa"/>
            <w:vAlign w:val="bottom"/>
            <w:tcBorders>
              <w:bottom w:val="single" w:sz="8" w:color="8FAADC"/>
            </w:tcBorders>
            <w:shd w:val="clear" w:color="auto" w:fill="DAE3F3"/>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Telx Boston, LLC</w:t>
            </w:r>
          </w:p>
        </w:tc>
        <w:tc>
          <w:tcPr>
            <w:tcW w:w="5760" w:type="dxa"/>
            <w:vAlign w:val="bottom"/>
            <w:tcBorders>
              <w:bottom w:val="single" w:sz="8" w:color="8FAADC"/>
            </w:tcBorders>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Telx Grand Avenue, LLC</w:t>
            </w:r>
          </w:p>
        </w:tc>
        <w:tc>
          <w:tcPr>
            <w:tcW w:w="5760" w:type="dxa"/>
            <w:vAlign w:val="bottom"/>
            <w:tcBorders>
              <w:bottom w:val="single" w:sz="8" w:color="8FAADC"/>
            </w:tcBorders>
            <w:shd w:val="clear" w:color="auto" w:fill="DAE3F3"/>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Telx Real Estate Holdings, LLC</w:t>
            </w:r>
          </w:p>
        </w:tc>
        <w:tc>
          <w:tcPr>
            <w:tcW w:w="5760" w:type="dxa"/>
            <w:vAlign w:val="bottom"/>
            <w:tcBorders>
              <w:bottom w:val="single" w:sz="8" w:color="8FAADC"/>
            </w:tcBorders>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Telx Richardson, LLC</w:t>
            </w:r>
          </w:p>
        </w:tc>
        <w:tc>
          <w:tcPr>
            <w:tcW w:w="5760" w:type="dxa"/>
            <w:vAlign w:val="bottom"/>
            <w:tcBorders>
              <w:bottom w:val="single" w:sz="8" w:color="8FAADC"/>
            </w:tcBorders>
            <w:shd w:val="clear" w:color="auto" w:fill="DAE3F3"/>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Telx, LLC</w:t>
            </w:r>
          </w:p>
        </w:tc>
        <w:tc>
          <w:tcPr>
            <w:tcW w:w="5760" w:type="dxa"/>
            <w:vAlign w:val="bottom"/>
            <w:tcBorders>
              <w:bottom w:val="single" w:sz="8" w:color="8FAADC"/>
            </w:tcBorders>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The Sentinel-Needham Primary Condominium Trust</w:t>
            </w:r>
          </w:p>
        </w:tc>
        <w:tc>
          <w:tcPr>
            <w:tcW w:w="5760" w:type="dxa"/>
            <w:vAlign w:val="bottom"/>
            <w:tcBorders>
              <w:bottom w:val="single" w:sz="8" w:color="8FAADC"/>
            </w:tcBorders>
            <w:shd w:val="clear" w:color="auto" w:fill="DAE3F3"/>
          </w:tcPr>
          <w:p>
            <w:pPr>
              <w:jc w:val="center"/>
              <w:ind w:left="3023"/>
              <w:spacing w:after="0"/>
              <w:rPr>
                <w:sz w:val="20"/>
                <w:szCs w:val="20"/>
                <w:color w:val="auto"/>
              </w:rPr>
            </w:pPr>
            <w:r>
              <w:rPr>
                <w:rFonts w:ascii="Arial" w:cs="Arial" w:eastAsia="Arial" w:hAnsi="Arial"/>
                <w:sz w:val="11"/>
                <w:szCs w:val="11"/>
                <w:color w:val="auto"/>
              </w:rPr>
              <w:t>Massachusetts</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Viridi Data Paris 2 SAS</w:t>
            </w:r>
          </w:p>
        </w:tc>
        <w:tc>
          <w:tcPr>
            <w:tcW w:w="5760" w:type="dxa"/>
            <w:vAlign w:val="bottom"/>
            <w:tcBorders>
              <w:bottom w:val="single" w:sz="8" w:color="8FAADC"/>
            </w:tcBorders>
          </w:tcPr>
          <w:p>
            <w:pPr>
              <w:jc w:val="center"/>
              <w:ind w:left="3043"/>
              <w:spacing w:after="0"/>
              <w:rPr>
                <w:sz w:val="20"/>
                <w:szCs w:val="20"/>
                <w:color w:val="auto"/>
              </w:rPr>
            </w:pPr>
            <w:r>
              <w:rPr>
                <w:rFonts w:ascii="Arial" w:cs="Arial" w:eastAsia="Arial" w:hAnsi="Arial"/>
                <w:sz w:val="11"/>
                <w:szCs w:val="11"/>
                <w:color w:val="auto"/>
                <w:w w:val="99"/>
              </w:rPr>
              <w:t>France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Waspar Limited</w:t>
            </w:r>
          </w:p>
        </w:tc>
        <w:tc>
          <w:tcPr>
            <w:tcW w:w="5760" w:type="dxa"/>
            <w:vAlign w:val="bottom"/>
            <w:tcBorders>
              <w:bottom w:val="single" w:sz="8" w:color="8FAADC"/>
            </w:tcBorders>
            <w:shd w:val="clear" w:color="auto" w:fill="DAE3F3"/>
          </w:tcPr>
          <w:p>
            <w:pPr>
              <w:jc w:val="center"/>
              <w:ind w:left="3043"/>
              <w:spacing w:after="0"/>
              <w:rPr>
                <w:sz w:val="20"/>
                <w:szCs w:val="20"/>
                <w:color w:val="auto"/>
              </w:rPr>
            </w:pPr>
            <w:r>
              <w:rPr>
                <w:rFonts w:ascii="Arial" w:cs="Arial" w:eastAsia="Arial" w:hAnsi="Arial"/>
                <w:sz w:val="11"/>
                <w:szCs w:val="11"/>
                <w:color w:val="auto"/>
              </w:rPr>
              <w:t>Ireland</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tcPr>
          <w:p>
            <w:pPr>
              <w:spacing w:after="0"/>
              <w:rPr>
                <w:sz w:val="20"/>
                <w:szCs w:val="20"/>
                <w:color w:val="auto"/>
              </w:rPr>
            </w:pPr>
            <w:r>
              <w:rPr>
                <w:rFonts w:ascii="Arial" w:cs="Arial" w:eastAsia="Arial" w:hAnsi="Arial"/>
                <w:sz w:val="11"/>
                <w:szCs w:val="11"/>
                <w:color w:val="auto"/>
              </w:rPr>
              <w:t>Xeres Management LLC</w:t>
            </w:r>
          </w:p>
        </w:tc>
        <w:tc>
          <w:tcPr>
            <w:tcW w:w="5760" w:type="dxa"/>
            <w:vAlign w:val="bottom"/>
            <w:tcBorders>
              <w:bottom w:val="single" w:sz="8" w:color="8FAADC"/>
            </w:tcBorders>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tcBorders>
              <w:bottom w:val="single" w:sz="8" w:color="8FAADC"/>
            </w:tcBorders>
            <w:shd w:val="clear" w:color="auto" w:fill="8FAADC"/>
          </w:tcPr>
          <w:p>
            <w:pPr>
              <w:spacing w:after="0"/>
              <w:rPr>
                <w:sz w:val="11"/>
                <w:szCs w:val="11"/>
                <w:color w:val="auto"/>
              </w:rPr>
            </w:pPr>
          </w:p>
        </w:tc>
        <w:tc>
          <w:tcPr>
            <w:tcW w:w="28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1"/>
                <w:szCs w:val="11"/>
                <w:color w:val="auto"/>
              </w:rPr>
              <w:t>Xeres Ventures LP</w:t>
            </w:r>
          </w:p>
        </w:tc>
        <w:tc>
          <w:tcPr>
            <w:tcW w:w="5760" w:type="dxa"/>
            <w:vAlign w:val="bottom"/>
            <w:tcBorders>
              <w:bottom w:val="single" w:sz="8" w:color="8FAADC"/>
            </w:tcBorders>
            <w:shd w:val="clear" w:color="auto" w:fill="DAE3F3"/>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132"/>
        </w:trPr>
        <w:tc>
          <w:tcPr>
            <w:tcW w:w="20" w:type="dxa"/>
            <w:vAlign w:val="bottom"/>
            <w:shd w:val="clear" w:color="auto" w:fill="8FAADC"/>
          </w:tcPr>
          <w:p>
            <w:pPr>
              <w:spacing w:after="0"/>
              <w:rPr>
                <w:sz w:val="11"/>
                <w:szCs w:val="11"/>
                <w:color w:val="auto"/>
              </w:rPr>
            </w:pPr>
          </w:p>
        </w:tc>
        <w:tc>
          <w:tcPr>
            <w:tcW w:w="2860" w:type="dxa"/>
            <w:vAlign w:val="bottom"/>
          </w:tcPr>
          <w:p>
            <w:pPr>
              <w:spacing w:after="0"/>
              <w:rPr>
                <w:sz w:val="20"/>
                <w:szCs w:val="20"/>
                <w:color w:val="auto"/>
              </w:rPr>
            </w:pPr>
            <w:r>
              <w:rPr>
                <w:rFonts w:ascii="Arial" w:cs="Arial" w:eastAsia="Arial" w:hAnsi="Arial"/>
                <w:sz w:val="11"/>
                <w:szCs w:val="11"/>
                <w:color w:val="auto"/>
              </w:rPr>
              <w:t>Yak Ventures LLC</w:t>
            </w:r>
          </w:p>
        </w:tc>
        <w:tc>
          <w:tcPr>
            <w:tcW w:w="5760" w:type="dxa"/>
            <w:vAlign w:val="bottom"/>
          </w:tcPr>
          <w:p>
            <w:pPr>
              <w:jc w:val="center"/>
              <w:ind w:left="3023"/>
              <w:spacing w:after="0"/>
              <w:rPr>
                <w:sz w:val="20"/>
                <w:szCs w:val="20"/>
                <w:color w:val="auto"/>
              </w:rPr>
            </w:pPr>
            <w:r>
              <w:rPr>
                <w:rFonts w:ascii="Arial" w:cs="Arial" w:eastAsia="Arial" w:hAnsi="Arial"/>
                <w:sz w:val="11"/>
                <w:szCs w:val="11"/>
                <w:color w:val="auto"/>
              </w:rPr>
              <w:t>Delaware</w:t>
            </w:r>
          </w:p>
        </w:tc>
        <w:tc>
          <w:tcPr>
            <w:tcW w:w="0" w:type="dxa"/>
            <w:vAlign w:val="bottom"/>
          </w:tcPr>
          <w:p>
            <w:pPr>
              <w:spacing w:after="0"/>
              <w:rPr>
                <w:sz w:val="1"/>
                <w:szCs w:val="1"/>
                <w:color w:val="auto"/>
              </w:rPr>
            </w:pPr>
          </w:p>
        </w:tc>
      </w:tr>
      <w:tr>
        <w:trPr>
          <w:trHeight w:val="559"/>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5" w:right="1440" w:bottom="1440" w:gutter="0" w:footer="0" w:header="0"/>
        </w:sectPr>
      </w:pPr>
    </w:p>
    <w:bookmarkStart w:id="257" w:name="page258"/>
    <w:bookmarkEnd w:id="257"/>
    <w:p>
      <w:pPr>
        <w:jc w:val="right"/>
        <w:spacing w:after="0"/>
        <w:rPr>
          <w:sz w:val="20"/>
          <w:szCs w:val="20"/>
          <w:color w:val="auto"/>
        </w:rPr>
      </w:pPr>
      <w:r>
        <w:rPr>
          <w:rFonts w:ascii="Arial" w:cs="Arial" w:eastAsia="Arial" w:hAnsi="Arial"/>
          <w:sz w:val="13"/>
          <w:szCs w:val="13"/>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The Board of Directors</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and</w:t>
      </w: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The Board of Directors of the General Partner</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Digital Realty Trust, L.P.:</w:t>
      </w:r>
    </w:p>
    <w:p>
      <w:pPr>
        <w:spacing w:after="0" w:line="122" w:lineRule="exact"/>
        <w:rPr>
          <w:sz w:val="20"/>
          <w:szCs w:val="20"/>
          <w:color w:val="auto"/>
        </w:rPr>
      </w:pPr>
    </w:p>
    <w:p>
      <w:pPr>
        <w:ind w:left="60" w:right="60"/>
        <w:spacing w:after="0" w:line="256" w:lineRule="auto"/>
        <w:rPr>
          <w:sz w:val="20"/>
          <w:szCs w:val="20"/>
          <w:color w:val="auto"/>
        </w:rPr>
      </w:pPr>
      <w:r>
        <w:rPr>
          <w:rFonts w:ascii="Times New Roman" w:cs="Times New Roman" w:eastAsia="Times New Roman" w:hAnsi="Times New Roman"/>
          <w:sz w:val="13"/>
          <w:szCs w:val="13"/>
          <w:color w:val="auto"/>
        </w:rPr>
        <w:t>We consent to the incorporation by reference in the registration statement (Nos. 333-237038, 333-220577, 333-207330 and 333-195524) on Form S-8 of Digital Realty Trust, Inc., (Nos. 333-237232, 333-220887, and 333-129688) on Form S-3 of Digital Realty Trust, Inc., and (No. 333-237232-01) on Form S-3 of Digital Realty Trust, L.P. of our reports dated March 1, 2021, with respect to:</w:t>
      </w:r>
    </w:p>
    <w:p>
      <w:pPr>
        <w:spacing w:after="0" w:line="101" w:lineRule="exact"/>
        <w:rPr>
          <w:sz w:val="20"/>
          <w:szCs w:val="20"/>
          <w:color w:val="auto"/>
        </w:rPr>
      </w:pPr>
    </w:p>
    <w:p>
      <w:pPr>
        <w:ind w:left="740" w:right="60" w:hanging="460"/>
        <w:spacing w:after="0" w:line="256" w:lineRule="auto"/>
        <w:tabs>
          <w:tab w:leader="none" w:pos="74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consolidated balance sheets of Digital Realty Trust, Inc. and subsidiaries as of December 31, 2020 and 2019, and the related consolidated income statements and statements of comprehensive income, equity, and cash flows for each of the years in the three-year period ended December 31, 2020, and the related notes and financial statement schedule III, properties and accumulated depreciation;</w:t>
      </w:r>
    </w:p>
    <w:p>
      <w:pPr>
        <w:spacing w:after="0" w:line="100" w:lineRule="exact"/>
        <w:rPr>
          <w:rFonts w:ascii="Times New Roman" w:cs="Times New Roman" w:eastAsia="Times New Roman" w:hAnsi="Times New Roman"/>
          <w:sz w:val="13"/>
          <w:szCs w:val="13"/>
          <w:color w:val="auto"/>
        </w:rPr>
      </w:pPr>
    </w:p>
    <w:p>
      <w:pPr>
        <w:ind w:left="740" w:hanging="460"/>
        <w:spacing w:after="0"/>
        <w:tabs>
          <w:tab w:leader="none" w:pos="74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effectiveness of Digital Realty Trust, Inc. and subsidiaries’ internal control over financial reporting as of December 31, 2020; and</w:t>
      </w:r>
    </w:p>
    <w:p>
      <w:pPr>
        <w:spacing w:after="0" w:line="125" w:lineRule="exact"/>
        <w:rPr>
          <w:rFonts w:ascii="Times New Roman" w:cs="Times New Roman" w:eastAsia="Times New Roman" w:hAnsi="Times New Roman"/>
          <w:sz w:val="13"/>
          <w:szCs w:val="13"/>
          <w:color w:val="auto"/>
        </w:rPr>
      </w:pPr>
    </w:p>
    <w:p>
      <w:pPr>
        <w:ind w:left="740" w:right="60" w:hanging="460"/>
        <w:spacing w:after="0" w:line="256" w:lineRule="auto"/>
        <w:tabs>
          <w:tab w:leader="none" w:pos="74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consolidated balance sheets of Digital Realty Trust, L.P. and subsidiaries as of December 31, 2020 and 2019, and the related consolidated income statements and statements of comprehensive income, capital, and cash flows for each of the years in the three-year period ended December 31, 2020, and the related notes and financial statement schedule III, properties and accumulated depreciation.</w:t>
      </w:r>
    </w:p>
    <w:p>
      <w:pPr>
        <w:spacing w:after="0" w:line="1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which reports appear in the December 31, 2020 annual report on Form 10-K of Digital Realty Trust, Inc. and Digital Realty Trust, L.P.</w:t>
      </w:r>
    </w:p>
    <w:p>
      <w:pPr>
        <w:spacing w:after="0" w:line="126" w:lineRule="exact"/>
        <w:rPr>
          <w:sz w:val="20"/>
          <w:szCs w:val="20"/>
          <w:color w:val="auto"/>
        </w:rPr>
      </w:pPr>
    </w:p>
    <w:p>
      <w:pPr>
        <w:ind w:left="60" w:right="140"/>
        <w:spacing w:after="0" w:line="268" w:lineRule="auto"/>
        <w:rPr>
          <w:sz w:val="20"/>
          <w:szCs w:val="20"/>
          <w:color w:val="auto"/>
        </w:rPr>
      </w:pPr>
      <w:r>
        <w:rPr>
          <w:rFonts w:ascii="Times New Roman" w:cs="Times New Roman" w:eastAsia="Times New Roman" w:hAnsi="Times New Roman"/>
          <w:sz w:val="13"/>
          <w:szCs w:val="13"/>
          <w:color w:val="auto"/>
        </w:rPr>
        <w:t xml:space="preserve">Our reports with respect to the December 31, 2019 consolidated financial statements of Digital Realty Trust, Inc. and Digital Realty Trust, L.P. refer to a change in the method of accounting for leases as of January 1, 2019 due to the adoption of ASU No. 2016-02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xml:space="preserve"> and related accounting standards updates (collectively Topic 842).</w:t>
      </w:r>
    </w:p>
    <w:p>
      <w:pPr>
        <w:spacing w:after="0" w:line="103" w:lineRule="exact"/>
        <w:rPr>
          <w:sz w:val="20"/>
          <w:szCs w:val="20"/>
          <w:color w:val="auto"/>
        </w:rPr>
      </w:pPr>
    </w:p>
    <w:p>
      <w:pPr>
        <w:ind w:left="60" w:right="120"/>
        <w:spacing w:after="0" w:line="249" w:lineRule="auto"/>
        <w:rPr>
          <w:sz w:val="20"/>
          <w:szCs w:val="20"/>
          <w:color w:val="auto"/>
        </w:rPr>
      </w:pPr>
      <w:r>
        <w:rPr>
          <w:rFonts w:ascii="Times New Roman" w:cs="Times New Roman" w:eastAsia="Times New Roman" w:hAnsi="Times New Roman"/>
          <w:sz w:val="13"/>
          <w:szCs w:val="13"/>
          <w:color w:val="auto"/>
        </w:rPr>
        <w:t>Our report dated March 1, 2021, on the effectiveness of internal control over financial reporting as of December 31, 2020, contains an explanatory paragraph that states management excluded from its assessment of the effectiveness of Digital Realty Trust, Inc.’s internal control over financial reporting as of December 31, 2020, Interxion Holding N.V. and subsidiaries’ internal control over financial reporting associated with total assets of $12 billion and total revenues of $691 million included in the consolidated financial statements of Digital Realty Trust, Inc. and subsidiaries as of and for the year ended December 31, 2020. Our audit of internal control over financial reporting of Digital Realty Trust, Inc. also excluded an evaluation of the internal control over financial reporting of Interxion Holding N.V. and subsidiaries.</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/s/ KPMG LLP</w:t>
      </w: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San Francisco, California</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March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242570</wp:posOffset>
            </wp:positionV>
            <wp:extent cx="5780405" cy="177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9">
                      <a:extLst>
                        <a:ext uri="{28A0092B-C50C-407E-A947-70E740481C1C}"/>
                      </a:extLst>
                    </a:blip>
                    <a:srcRect/>
                    <a:stretch>
                      <a:fillRect/>
                    </a:stretch>
                  </pic:blipFill>
                  <pic:spPr bwMode="auto">
                    <a:xfrm>
                      <a:off x="0" y="0"/>
                      <a:ext cx="5780405" cy="17780"/>
                    </a:xfrm>
                    <a:prstGeom prst="rect">
                      <a:avLst/>
                    </a:prstGeom>
                    <a:noFill/>
                  </pic:spPr>
                </pic:pic>
              </a:graphicData>
            </a:graphic>
          </wp:anchor>
        </w:drawing>
      </w:r>
    </w:p>
    <w:p>
      <w:pPr>
        <w:sectPr>
          <w:pgSz w:w="11900" w:h="16838" w:orient="portrait"/>
          <w:cols w:equalWidth="0" w:num="1">
            <w:col w:w="9160"/>
          </w:cols>
          <w:pgMar w:left="1440" w:top="122" w:right="1299" w:bottom="1440" w:gutter="0" w:footer="0" w:header="0"/>
        </w:sectPr>
      </w:pPr>
    </w:p>
    <w:bookmarkStart w:id="258" w:name="page259"/>
    <w:bookmarkEnd w:id="258"/>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I, A. William Stein, certify that:</w:t>
      </w:r>
    </w:p>
    <w:p>
      <w:pPr>
        <w:spacing w:after="0" w:line="156" w:lineRule="exact"/>
        <w:rPr>
          <w:sz w:val="20"/>
          <w:szCs w:val="20"/>
          <w:color w:val="auto"/>
        </w:rPr>
      </w:pPr>
    </w:p>
    <w:p>
      <w:pPr>
        <w:ind w:left="640" w:hanging="456"/>
        <w:spacing w:after="0"/>
        <w:tabs>
          <w:tab w:leader="none" w:pos="64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Digital Realty Trust, Inc.;</w:t>
      </w:r>
    </w:p>
    <w:p>
      <w:pPr>
        <w:spacing w:after="0" w:line="156" w:lineRule="exact"/>
        <w:rPr>
          <w:rFonts w:ascii="Times New Roman" w:cs="Times New Roman" w:eastAsia="Times New Roman" w:hAnsi="Times New Roman"/>
          <w:sz w:val="12"/>
          <w:szCs w:val="12"/>
          <w:color w:val="auto"/>
        </w:rPr>
      </w:pPr>
    </w:p>
    <w:p>
      <w:pPr>
        <w:ind w:left="640" w:right="419" w:hanging="456"/>
        <w:spacing w:after="0" w:line="277" w:lineRule="auto"/>
        <w:tabs>
          <w:tab w:leader="none" w:pos="635"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Times New Roman" w:cs="Times New Roman" w:eastAsia="Times New Roman" w:hAnsi="Times New Roman"/>
          <w:sz w:val="12"/>
          <w:szCs w:val="12"/>
          <w:color w:val="auto"/>
        </w:rPr>
      </w:pPr>
    </w:p>
    <w:p>
      <w:pPr>
        <w:ind w:left="640" w:right="399" w:hanging="456"/>
        <w:spacing w:after="0" w:line="277" w:lineRule="auto"/>
        <w:tabs>
          <w:tab w:leader="none" w:pos="635"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Times New Roman" w:cs="Times New Roman" w:eastAsia="Times New Roman" w:hAnsi="Times New Roman"/>
          <w:sz w:val="12"/>
          <w:szCs w:val="12"/>
          <w:color w:val="auto"/>
        </w:rPr>
      </w:pPr>
    </w:p>
    <w:p>
      <w:pPr>
        <w:ind w:left="640" w:hanging="456"/>
        <w:spacing w:after="0"/>
        <w:tabs>
          <w:tab w:leader="none" w:pos="64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w:t>
      </w:r>
    </w:p>
    <w:p>
      <w:pPr>
        <w:spacing w:after="0" w:line="1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13a-15(e) and 15d-15(e)) and internal control over financial reporting (as defined in Exchange Act Rules 13a-15(f) and 15d-15(f)) for the registrant and have:</w:t>
      </w:r>
    </w:p>
    <w:p>
      <w:pPr>
        <w:spacing w:after="0" w:line="144" w:lineRule="exact"/>
        <w:rPr>
          <w:rFonts w:ascii="Times New Roman" w:cs="Times New Roman" w:eastAsia="Times New Roman" w:hAnsi="Times New Roman"/>
          <w:sz w:val="12"/>
          <w:szCs w:val="12"/>
          <w:color w:val="auto"/>
        </w:rPr>
      </w:pPr>
    </w:p>
    <w:p>
      <w:pPr>
        <w:ind w:left="640" w:right="299" w:hanging="228"/>
        <w:spacing w:after="0" w:line="262" w:lineRule="auto"/>
        <w:tabs>
          <w:tab w:leader="none" w:pos="640" w:val="left"/>
        </w:tabs>
        <w:numPr>
          <w:ilvl w:val="1"/>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2"/>
          <w:szCs w:val="12"/>
          <w:color w:val="auto"/>
        </w:rPr>
      </w:pPr>
    </w:p>
    <w:p>
      <w:pPr>
        <w:ind w:left="640" w:right="619" w:hanging="228"/>
        <w:spacing w:after="0" w:line="262" w:lineRule="auto"/>
        <w:tabs>
          <w:tab w:leader="none" w:pos="640" w:val="left"/>
        </w:tabs>
        <w:numPr>
          <w:ilvl w:val="1"/>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Times New Roman" w:cs="Times New Roman" w:eastAsia="Times New Roman" w:hAnsi="Times New Roman"/>
          <w:sz w:val="12"/>
          <w:szCs w:val="12"/>
          <w:color w:val="auto"/>
        </w:rPr>
      </w:pPr>
    </w:p>
    <w:p>
      <w:pPr>
        <w:ind w:left="640" w:right="419" w:hanging="228"/>
        <w:spacing w:after="0" w:line="277" w:lineRule="auto"/>
        <w:tabs>
          <w:tab w:leader="none" w:pos="640" w:val="left"/>
        </w:tabs>
        <w:numPr>
          <w:ilvl w:val="1"/>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Times New Roman" w:cs="Times New Roman" w:eastAsia="Times New Roman" w:hAnsi="Times New Roman"/>
          <w:sz w:val="12"/>
          <w:szCs w:val="12"/>
          <w:color w:val="auto"/>
        </w:rPr>
      </w:pPr>
    </w:p>
    <w:p>
      <w:pPr>
        <w:ind w:left="640" w:right="399" w:hanging="228"/>
        <w:spacing w:after="0" w:line="262" w:lineRule="auto"/>
        <w:tabs>
          <w:tab w:leader="none" w:pos="640" w:val="left"/>
        </w:tabs>
        <w:numPr>
          <w:ilvl w:val="1"/>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Times New Roman" w:cs="Times New Roman" w:eastAsia="Times New Roman" w:hAnsi="Times New Roman"/>
          <w:sz w:val="12"/>
          <w:szCs w:val="12"/>
          <w:color w:val="auto"/>
        </w:rPr>
      </w:pPr>
    </w:p>
    <w:p>
      <w:pPr>
        <w:ind w:left="640" w:right="219" w:hanging="456"/>
        <w:spacing w:after="0" w:line="277" w:lineRule="auto"/>
        <w:tabs>
          <w:tab w:leader="none" w:pos="633"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Times New Roman" w:cs="Times New Roman" w:eastAsia="Times New Roman" w:hAnsi="Times New Roman"/>
          <w:sz w:val="12"/>
          <w:szCs w:val="12"/>
          <w:color w:val="auto"/>
        </w:rPr>
      </w:pPr>
    </w:p>
    <w:p>
      <w:pPr>
        <w:ind w:left="640" w:right="279" w:hanging="228"/>
        <w:spacing w:after="0" w:line="277" w:lineRule="auto"/>
        <w:tabs>
          <w:tab w:leader="none" w:pos="640" w:val="left"/>
        </w:tabs>
        <w:numPr>
          <w:ilvl w:val="1"/>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Times New Roman" w:cs="Times New Roman" w:eastAsia="Times New Roman" w:hAnsi="Times New Roman"/>
          <w:sz w:val="12"/>
          <w:szCs w:val="12"/>
          <w:color w:val="auto"/>
        </w:rPr>
      </w:pPr>
    </w:p>
    <w:p>
      <w:pPr>
        <w:ind w:left="180" w:right="279" w:firstLine="232"/>
        <w:spacing w:after="0" w:line="536" w:lineRule="auto"/>
        <w:tabs>
          <w:tab w:leader="none" w:pos="636" w:val="left"/>
        </w:tabs>
        <w:numPr>
          <w:ilvl w:val="1"/>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 Date: March 1, 2021</w:t>
      </w:r>
    </w:p>
    <w:p>
      <w:pPr>
        <w:spacing w:after="0" w:line="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2"/>
          <w:szCs w:val="12"/>
          <w:color w:val="auto"/>
        </w:rPr>
        <w:t>/s/ A. WILLIAM STEIN</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22225</wp:posOffset>
            </wp:positionV>
            <wp:extent cx="321881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50">
                      <a:extLst>
                        <a:ext uri="{28A0092B-C50C-407E-A947-70E740481C1C}"/>
                      </a:extLst>
                    </a:blip>
                    <a:srcRect/>
                    <a:stretch>
                      <a:fillRect/>
                    </a:stretch>
                  </pic:blipFill>
                  <pic:spPr bwMode="auto">
                    <a:xfrm>
                      <a:off x="0" y="0"/>
                      <a:ext cx="3218815" cy="5715"/>
                    </a:xfrm>
                    <a:prstGeom prst="rect">
                      <a:avLst/>
                    </a:prstGeom>
                    <a:noFill/>
                  </pic:spPr>
                </pic:pic>
              </a:graphicData>
            </a:graphic>
          </wp:anchor>
        </w:drawing>
      </w:r>
    </w:p>
    <w:p>
      <w:pPr>
        <w:spacing w:after="0" w:line="2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A. William Stein</w:t>
      </w:r>
    </w:p>
    <w:p>
      <w:pPr>
        <w:spacing w:after="0" w:line="16"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4"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257810</wp:posOffset>
            </wp:positionV>
            <wp:extent cx="5485130" cy="177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51">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1031875</wp:posOffset>
            </wp:positionH>
            <wp:positionV relativeFrom="page">
              <wp:posOffset>438785</wp:posOffset>
            </wp:positionV>
            <wp:extent cx="5485130" cy="177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52">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I, Andrew P. Power, certify that:</w:t>
      </w:r>
    </w:p>
    <w:p>
      <w:pPr>
        <w:spacing w:after="0" w:line="156" w:lineRule="exact"/>
        <w:rPr>
          <w:sz w:val="20"/>
          <w:szCs w:val="20"/>
          <w:color w:val="auto"/>
        </w:rPr>
      </w:pPr>
    </w:p>
    <w:p>
      <w:pPr>
        <w:ind w:left="640" w:hanging="456"/>
        <w:spacing w:after="0"/>
        <w:tabs>
          <w:tab w:leader="none" w:pos="64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Digital Realty Trust, Inc.;</w:t>
      </w:r>
    </w:p>
    <w:p>
      <w:pPr>
        <w:spacing w:after="0" w:line="156" w:lineRule="exact"/>
        <w:rPr>
          <w:rFonts w:ascii="Times New Roman" w:cs="Times New Roman" w:eastAsia="Times New Roman" w:hAnsi="Times New Roman"/>
          <w:sz w:val="12"/>
          <w:szCs w:val="12"/>
          <w:color w:val="auto"/>
        </w:rPr>
      </w:pPr>
    </w:p>
    <w:p>
      <w:pPr>
        <w:ind w:left="640" w:right="419" w:hanging="456"/>
        <w:spacing w:after="0" w:line="277" w:lineRule="auto"/>
        <w:tabs>
          <w:tab w:leader="none" w:pos="635"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Times New Roman" w:cs="Times New Roman" w:eastAsia="Times New Roman" w:hAnsi="Times New Roman"/>
          <w:sz w:val="12"/>
          <w:szCs w:val="12"/>
          <w:color w:val="auto"/>
        </w:rPr>
      </w:pPr>
    </w:p>
    <w:p>
      <w:pPr>
        <w:ind w:left="640" w:right="399" w:hanging="456"/>
        <w:spacing w:after="0" w:line="277" w:lineRule="auto"/>
        <w:tabs>
          <w:tab w:leader="none" w:pos="635"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Times New Roman" w:cs="Times New Roman" w:eastAsia="Times New Roman" w:hAnsi="Times New Roman"/>
          <w:sz w:val="12"/>
          <w:szCs w:val="12"/>
          <w:color w:val="auto"/>
        </w:rPr>
      </w:pPr>
    </w:p>
    <w:p>
      <w:pPr>
        <w:ind w:left="640" w:hanging="456"/>
        <w:spacing w:after="0"/>
        <w:tabs>
          <w:tab w:leader="none" w:pos="64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w:t>
      </w:r>
    </w:p>
    <w:p>
      <w:pPr>
        <w:spacing w:after="0" w:line="1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13a-15(e) and 15d-15(e)) and internal control over financial reporting (as defined in Exchange Act Rules 13a-15(f) and 15d-15(f)) for the registrant and have:</w:t>
      </w:r>
    </w:p>
    <w:p>
      <w:pPr>
        <w:spacing w:after="0" w:line="144" w:lineRule="exact"/>
        <w:rPr>
          <w:rFonts w:ascii="Times New Roman" w:cs="Times New Roman" w:eastAsia="Times New Roman" w:hAnsi="Times New Roman"/>
          <w:sz w:val="12"/>
          <w:szCs w:val="12"/>
          <w:color w:val="auto"/>
        </w:rPr>
      </w:pPr>
    </w:p>
    <w:p>
      <w:pPr>
        <w:ind w:left="640" w:right="299" w:hanging="228"/>
        <w:spacing w:after="0" w:line="262" w:lineRule="auto"/>
        <w:tabs>
          <w:tab w:leader="none" w:pos="640" w:val="left"/>
        </w:tabs>
        <w:numPr>
          <w:ilvl w:val="1"/>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2"/>
          <w:szCs w:val="12"/>
          <w:color w:val="auto"/>
        </w:rPr>
      </w:pPr>
    </w:p>
    <w:p>
      <w:pPr>
        <w:ind w:left="640" w:right="619" w:hanging="228"/>
        <w:spacing w:after="0" w:line="262" w:lineRule="auto"/>
        <w:tabs>
          <w:tab w:leader="none" w:pos="640" w:val="left"/>
        </w:tabs>
        <w:numPr>
          <w:ilvl w:val="1"/>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Times New Roman" w:cs="Times New Roman" w:eastAsia="Times New Roman" w:hAnsi="Times New Roman"/>
          <w:sz w:val="12"/>
          <w:szCs w:val="12"/>
          <w:color w:val="auto"/>
        </w:rPr>
      </w:pPr>
    </w:p>
    <w:p>
      <w:pPr>
        <w:ind w:left="640" w:right="419" w:hanging="228"/>
        <w:spacing w:after="0" w:line="277" w:lineRule="auto"/>
        <w:tabs>
          <w:tab w:leader="none" w:pos="640" w:val="left"/>
        </w:tabs>
        <w:numPr>
          <w:ilvl w:val="1"/>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Times New Roman" w:cs="Times New Roman" w:eastAsia="Times New Roman" w:hAnsi="Times New Roman"/>
          <w:sz w:val="12"/>
          <w:szCs w:val="12"/>
          <w:color w:val="auto"/>
        </w:rPr>
      </w:pPr>
    </w:p>
    <w:p>
      <w:pPr>
        <w:ind w:left="640" w:right="399" w:hanging="228"/>
        <w:spacing w:after="0" w:line="262" w:lineRule="auto"/>
        <w:tabs>
          <w:tab w:leader="none" w:pos="640" w:val="left"/>
        </w:tabs>
        <w:numPr>
          <w:ilvl w:val="1"/>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Times New Roman" w:cs="Times New Roman" w:eastAsia="Times New Roman" w:hAnsi="Times New Roman"/>
          <w:sz w:val="12"/>
          <w:szCs w:val="12"/>
          <w:color w:val="auto"/>
        </w:rPr>
      </w:pPr>
    </w:p>
    <w:p>
      <w:pPr>
        <w:ind w:left="640" w:right="219" w:hanging="456"/>
        <w:spacing w:after="0" w:line="277" w:lineRule="auto"/>
        <w:tabs>
          <w:tab w:leader="none" w:pos="633"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Times New Roman" w:cs="Times New Roman" w:eastAsia="Times New Roman" w:hAnsi="Times New Roman"/>
          <w:sz w:val="12"/>
          <w:szCs w:val="12"/>
          <w:color w:val="auto"/>
        </w:rPr>
      </w:pPr>
    </w:p>
    <w:p>
      <w:pPr>
        <w:ind w:left="640" w:right="279" w:hanging="228"/>
        <w:spacing w:after="0" w:line="277" w:lineRule="auto"/>
        <w:tabs>
          <w:tab w:leader="none" w:pos="640" w:val="left"/>
        </w:tabs>
        <w:numPr>
          <w:ilvl w:val="1"/>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Times New Roman" w:cs="Times New Roman" w:eastAsia="Times New Roman" w:hAnsi="Times New Roman"/>
          <w:sz w:val="12"/>
          <w:szCs w:val="12"/>
          <w:color w:val="auto"/>
        </w:rPr>
      </w:pPr>
    </w:p>
    <w:p>
      <w:pPr>
        <w:ind w:left="180" w:right="279" w:firstLine="232"/>
        <w:spacing w:after="0" w:line="536" w:lineRule="auto"/>
        <w:tabs>
          <w:tab w:leader="none" w:pos="636" w:val="left"/>
        </w:tabs>
        <w:numPr>
          <w:ilvl w:val="1"/>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 Date: March 1, 2021</w:t>
      </w:r>
    </w:p>
    <w:p>
      <w:pPr>
        <w:spacing w:after="0" w:line="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2"/>
          <w:szCs w:val="12"/>
          <w:color w:val="auto"/>
        </w:rPr>
        <w:t>/s/ANDREW P. POWER</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22225</wp:posOffset>
            </wp:positionV>
            <wp:extent cx="321881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53">
                      <a:extLst>
                        <a:ext uri="{28A0092B-C50C-407E-A947-70E740481C1C}"/>
                      </a:extLst>
                    </a:blip>
                    <a:srcRect/>
                    <a:stretch>
                      <a:fillRect/>
                    </a:stretch>
                  </pic:blipFill>
                  <pic:spPr bwMode="auto">
                    <a:xfrm>
                      <a:off x="0" y="0"/>
                      <a:ext cx="3218815" cy="5715"/>
                    </a:xfrm>
                    <a:prstGeom prst="rect">
                      <a:avLst/>
                    </a:prstGeom>
                    <a:noFill/>
                  </pic:spPr>
                </pic:pic>
              </a:graphicData>
            </a:graphic>
          </wp:anchor>
        </w:drawing>
      </w:r>
    </w:p>
    <w:p>
      <w:pPr>
        <w:spacing w:after="0" w:line="2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Andrew P. Power</w:t>
      </w:r>
    </w:p>
    <w:p>
      <w:pPr>
        <w:spacing w:after="0" w:line="16"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4"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257810</wp:posOffset>
            </wp:positionV>
            <wp:extent cx="5485130" cy="177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54">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1031875</wp:posOffset>
            </wp:positionH>
            <wp:positionV relativeFrom="page">
              <wp:posOffset>438785</wp:posOffset>
            </wp:positionV>
            <wp:extent cx="5485130" cy="177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55">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Exhibit 31.3</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I, A. William Stein, certify that:</w:t>
      </w:r>
    </w:p>
    <w:p>
      <w:pPr>
        <w:spacing w:after="0" w:line="156" w:lineRule="exact"/>
        <w:rPr>
          <w:sz w:val="20"/>
          <w:szCs w:val="20"/>
          <w:color w:val="auto"/>
        </w:rPr>
      </w:pPr>
    </w:p>
    <w:p>
      <w:pPr>
        <w:ind w:left="640" w:hanging="456"/>
        <w:spacing w:after="0"/>
        <w:tabs>
          <w:tab w:leader="none" w:pos="640"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Digital Realty Trust, L.P.;</w:t>
      </w:r>
    </w:p>
    <w:p>
      <w:pPr>
        <w:spacing w:after="0" w:line="156" w:lineRule="exact"/>
        <w:rPr>
          <w:rFonts w:ascii="Times New Roman" w:cs="Times New Roman" w:eastAsia="Times New Roman" w:hAnsi="Times New Roman"/>
          <w:sz w:val="12"/>
          <w:szCs w:val="12"/>
          <w:color w:val="auto"/>
        </w:rPr>
      </w:pPr>
    </w:p>
    <w:p>
      <w:pPr>
        <w:ind w:left="640" w:right="419" w:hanging="456"/>
        <w:spacing w:after="0" w:line="277" w:lineRule="auto"/>
        <w:tabs>
          <w:tab w:leader="none" w:pos="635"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Times New Roman" w:cs="Times New Roman" w:eastAsia="Times New Roman" w:hAnsi="Times New Roman"/>
          <w:sz w:val="12"/>
          <w:szCs w:val="12"/>
          <w:color w:val="auto"/>
        </w:rPr>
      </w:pPr>
    </w:p>
    <w:p>
      <w:pPr>
        <w:ind w:left="640" w:right="399" w:hanging="456"/>
        <w:spacing w:after="0" w:line="277" w:lineRule="auto"/>
        <w:tabs>
          <w:tab w:leader="none" w:pos="635"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Times New Roman" w:cs="Times New Roman" w:eastAsia="Times New Roman" w:hAnsi="Times New Roman"/>
          <w:sz w:val="12"/>
          <w:szCs w:val="12"/>
          <w:color w:val="auto"/>
        </w:rPr>
      </w:pPr>
    </w:p>
    <w:p>
      <w:pPr>
        <w:ind w:left="640" w:hanging="456"/>
        <w:spacing w:after="0"/>
        <w:tabs>
          <w:tab w:leader="none" w:pos="640"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w:t>
      </w:r>
    </w:p>
    <w:p>
      <w:pPr>
        <w:spacing w:after="0" w:line="1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13a-15(e) and 15d-15(e)) and internal control over financial reporting (as defined in Exchange Act Rules 13a-15(f) and 15d-15(f)) for the registrant and have:</w:t>
      </w:r>
    </w:p>
    <w:p>
      <w:pPr>
        <w:spacing w:after="0" w:line="144" w:lineRule="exact"/>
        <w:rPr>
          <w:rFonts w:ascii="Times New Roman" w:cs="Times New Roman" w:eastAsia="Times New Roman" w:hAnsi="Times New Roman"/>
          <w:sz w:val="12"/>
          <w:szCs w:val="12"/>
          <w:color w:val="auto"/>
        </w:rPr>
      </w:pPr>
    </w:p>
    <w:p>
      <w:pPr>
        <w:ind w:left="640" w:right="299" w:hanging="228"/>
        <w:spacing w:after="0" w:line="262" w:lineRule="auto"/>
        <w:tabs>
          <w:tab w:leader="none" w:pos="640" w:val="left"/>
        </w:tabs>
        <w:numPr>
          <w:ilvl w:val="1"/>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2"/>
          <w:szCs w:val="12"/>
          <w:color w:val="auto"/>
        </w:rPr>
      </w:pPr>
    </w:p>
    <w:p>
      <w:pPr>
        <w:ind w:left="640" w:right="619" w:hanging="228"/>
        <w:spacing w:after="0" w:line="262" w:lineRule="auto"/>
        <w:tabs>
          <w:tab w:leader="none" w:pos="640" w:val="left"/>
        </w:tabs>
        <w:numPr>
          <w:ilvl w:val="1"/>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Times New Roman" w:cs="Times New Roman" w:eastAsia="Times New Roman" w:hAnsi="Times New Roman"/>
          <w:sz w:val="12"/>
          <w:szCs w:val="12"/>
          <w:color w:val="auto"/>
        </w:rPr>
      </w:pPr>
    </w:p>
    <w:p>
      <w:pPr>
        <w:ind w:left="640" w:right="419" w:hanging="228"/>
        <w:spacing w:after="0" w:line="277" w:lineRule="auto"/>
        <w:tabs>
          <w:tab w:leader="none" w:pos="640" w:val="left"/>
        </w:tabs>
        <w:numPr>
          <w:ilvl w:val="1"/>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Times New Roman" w:cs="Times New Roman" w:eastAsia="Times New Roman" w:hAnsi="Times New Roman"/>
          <w:sz w:val="12"/>
          <w:szCs w:val="12"/>
          <w:color w:val="auto"/>
        </w:rPr>
      </w:pPr>
    </w:p>
    <w:p>
      <w:pPr>
        <w:ind w:left="640" w:right="399" w:hanging="228"/>
        <w:spacing w:after="0" w:line="262" w:lineRule="auto"/>
        <w:tabs>
          <w:tab w:leader="none" w:pos="640" w:val="left"/>
        </w:tabs>
        <w:numPr>
          <w:ilvl w:val="1"/>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Times New Roman" w:cs="Times New Roman" w:eastAsia="Times New Roman" w:hAnsi="Times New Roman"/>
          <w:sz w:val="12"/>
          <w:szCs w:val="12"/>
          <w:color w:val="auto"/>
        </w:rPr>
      </w:pPr>
    </w:p>
    <w:p>
      <w:pPr>
        <w:ind w:left="640" w:right="219" w:hanging="456"/>
        <w:spacing w:after="0" w:line="277" w:lineRule="auto"/>
        <w:tabs>
          <w:tab w:leader="none" w:pos="633"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Times New Roman" w:cs="Times New Roman" w:eastAsia="Times New Roman" w:hAnsi="Times New Roman"/>
          <w:sz w:val="12"/>
          <w:szCs w:val="12"/>
          <w:color w:val="auto"/>
        </w:rPr>
      </w:pPr>
    </w:p>
    <w:p>
      <w:pPr>
        <w:ind w:left="640" w:right="279" w:hanging="228"/>
        <w:spacing w:after="0" w:line="277" w:lineRule="auto"/>
        <w:tabs>
          <w:tab w:leader="none" w:pos="640" w:val="left"/>
        </w:tabs>
        <w:numPr>
          <w:ilvl w:val="1"/>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Times New Roman" w:cs="Times New Roman" w:eastAsia="Times New Roman" w:hAnsi="Times New Roman"/>
          <w:sz w:val="12"/>
          <w:szCs w:val="12"/>
          <w:color w:val="auto"/>
        </w:rPr>
      </w:pPr>
    </w:p>
    <w:p>
      <w:pPr>
        <w:ind w:left="640" w:hanging="228"/>
        <w:spacing w:after="0"/>
        <w:tabs>
          <w:tab w:leader="none" w:pos="640" w:val="left"/>
        </w:tabs>
        <w:numPr>
          <w:ilvl w:val="1"/>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Date: March 1, 2021</w:t>
      </w:r>
    </w:p>
    <w:p>
      <w:pPr>
        <w:spacing w:after="0" w:line="2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2"/>
          <w:szCs w:val="12"/>
          <w:color w:val="auto"/>
        </w:rPr>
        <w:t>/s/ A. WILLIAM STEIN</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22225</wp:posOffset>
            </wp:positionV>
            <wp:extent cx="321881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6">
                      <a:extLst>
                        <a:ext uri="{28A0092B-C50C-407E-A947-70E740481C1C}"/>
                      </a:extLst>
                    </a:blip>
                    <a:srcRect/>
                    <a:stretch>
                      <a:fillRect/>
                    </a:stretch>
                  </pic:blipFill>
                  <pic:spPr bwMode="auto">
                    <a:xfrm>
                      <a:off x="0" y="0"/>
                      <a:ext cx="3218815" cy="5715"/>
                    </a:xfrm>
                    <a:prstGeom prst="rect">
                      <a:avLst/>
                    </a:prstGeom>
                    <a:noFill/>
                  </pic:spPr>
                </pic:pic>
              </a:graphicData>
            </a:graphic>
          </wp:anchor>
        </w:drawing>
      </w:r>
    </w:p>
    <w:p>
      <w:pPr>
        <w:spacing w:after="0" w:line="2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A. William Stein</w:t>
      </w:r>
    </w:p>
    <w:p>
      <w:pPr>
        <w:spacing w:after="0" w:line="16"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4"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4"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Digital Realty Trust, Inc., sole general partner of</w:t>
      </w:r>
    </w:p>
    <w:p>
      <w:pPr>
        <w:spacing w:after="0" w:line="4"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257810</wp:posOffset>
            </wp:positionV>
            <wp:extent cx="5485130" cy="177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7">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1031875</wp:posOffset>
            </wp:positionH>
            <wp:positionV relativeFrom="page">
              <wp:posOffset>438150</wp:posOffset>
            </wp:positionV>
            <wp:extent cx="5485130" cy="177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8">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Exhibit 31.4</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I, Andrew P. Power, certify that:</w:t>
      </w:r>
    </w:p>
    <w:p>
      <w:pPr>
        <w:spacing w:after="0" w:line="156" w:lineRule="exact"/>
        <w:rPr>
          <w:sz w:val="20"/>
          <w:szCs w:val="20"/>
          <w:color w:val="auto"/>
        </w:rPr>
      </w:pPr>
    </w:p>
    <w:p>
      <w:pPr>
        <w:ind w:left="640" w:hanging="456"/>
        <w:spacing w:after="0"/>
        <w:tabs>
          <w:tab w:leader="none" w:pos="64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Digital Realty Trust, L.P.;</w:t>
      </w:r>
    </w:p>
    <w:p>
      <w:pPr>
        <w:spacing w:after="0" w:line="156" w:lineRule="exact"/>
        <w:rPr>
          <w:rFonts w:ascii="Times New Roman" w:cs="Times New Roman" w:eastAsia="Times New Roman" w:hAnsi="Times New Roman"/>
          <w:sz w:val="12"/>
          <w:szCs w:val="12"/>
          <w:color w:val="auto"/>
        </w:rPr>
      </w:pPr>
    </w:p>
    <w:p>
      <w:pPr>
        <w:ind w:left="640" w:right="419" w:hanging="456"/>
        <w:spacing w:after="0" w:line="277" w:lineRule="auto"/>
        <w:tabs>
          <w:tab w:leader="none" w:pos="635"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Times New Roman" w:cs="Times New Roman" w:eastAsia="Times New Roman" w:hAnsi="Times New Roman"/>
          <w:sz w:val="12"/>
          <w:szCs w:val="12"/>
          <w:color w:val="auto"/>
        </w:rPr>
      </w:pPr>
    </w:p>
    <w:p>
      <w:pPr>
        <w:ind w:left="640" w:right="399" w:hanging="456"/>
        <w:spacing w:after="0" w:line="277" w:lineRule="auto"/>
        <w:tabs>
          <w:tab w:leader="none" w:pos="635"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Times New Roman" w:cs="Times New Roman" w:eastAsia="Times New Roman" w:hAnsi="Times New Roman"/>
          <w:sz w:val="12"/>
          <w:szCs w:val="12"/>
          <w:color w:val="auto"/>
        </w:rPr>
      </w:pPr>
    </w:p>
    <w:p>
      <w:pPr>
        <w:ind w:left="640" w:hanging="456"/>
        <w:spacing w:after="0"/>
        <w:tabs>
          <w:tab w:leader="none" w:pos="64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w:t>
      </w:r>
    </w:p>
    <w:p>
      <w:pPr>
        <w:spacing w:after="0" w:line="1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13a-15(e) and 15d-15(e)) and internal control over financial reporting (as defined in Exchange Act Rules 13a-15(f) and 15d-15(f)) for the registrant and have:</w:t>
      </w:r>
    </w:p>
    <w:p>
      <w:pPr>
        <w:spacing w:after="0" w:line="144" w:lineRule="exact"/>
        <w:rPr>
          <w:rFonts w:ascii="Times New Roman" w:cs="Times New Roman" w:eastAsia="Times New Roman" w:hAnsi="Times New Roman"/>
          <w:sz w:val="12"/>
          <w:szCs w:val="12"/>
          <w:color w:val="auto"/>
        </w:rPr>
      </w:pPr>
    </w:p>
    <w:p>
      <w:pPr>
        <w:ind w:left="640" w:right="299" w:hanging="228"/>
        <w:spacing w:after="0" w:line="262" w:lineRule="auto"/>
        <w:tabs>
          <w:tab w:leader="none" w:pos="640" w:val="left"/>
        </w:tabs>
        <w:numPr>
          <w:ilvl w:val="1"/>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2"/>
          <w:szCs w:val="12"/>
          <w:color w:val="auto"/>
        </w:rPr>
      </w:pPr>
    </w:p>
    <w:p>
      <w:pPr>
        <w:ind w:left="640" w:right="619" w:hanging="228"/>
        <w:spacing w:after="0" w:line="262" w:lineRule="auto"/>
        <w:tabs>
          <w:tab w:leader="none" w:pos="640" w:val="left"/>
        </w:tabs>
        <w:numPr>
          <w:ilvl w:val="1"/>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Times New Roman" w:cs="Times New Roman" w:eastAsia="Times New Roman" w:hAnsi="Times New Roman"/>
          <w:sz w:val="12"/>
          <w:szCs w:val="12"/>
          <w:color w:val="auto"/>
        </w:rPr>
      </w:pPr>
    </w:p>
    <w:p>
      <w:pPr>
        <w:ind w:left="640" w:right="419" w:hanging="228"/>
        <w:spacing w:after="0" w:line="277" w:lineRule="auto"/>
        <w:tabs>
          <w:tab w:leader="none" w:pos="640" w:val="left"/>
        </w:tabs>
        <w:numPr>
          <w:ilvl w:val="1"/>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Times New Roman" w:cs="Times New Roman" w:eastAsia="Times New Roman" w:hAnsi="Times New Roman"/>
          <w:sz w:val="12"/>
          <w:szCs w:val="12"/>
          <w:color w:val="auto"/>
        </w:rPr>
      </w:pPr>
    </w:p>
    <w:p>
      <w:pPr>
        <w:ind w:left="640" w:right="399" w:hanging="228"/>
        <w:spacing w:after="0" w:line="262" w:lineRule="auto"/>
        <w:tabs>
          <w:tab w:leader="none" w:pos="640" w:val="left"/>
        </w:tabs>
        <w:numPr>
          <w:ilvl w:val="1"/>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Times New Roman" w:cs="Times New Roman" w:eastAsia="Times New Roman" w:hAnsi="Times New Roman"/>
          <w:sz w:val="12"/>
          <w:szCs w:val="12"/>
          <w:color w:val="auto"/>
        </w:rPr>
      </w:pPr>
    </w:p>
    <w:p>
      <w:pPr>
        <w:ind w:left="640" w:right="219" w:hanging="456"/>
        <w:spacing w:after="0" w:line="277" w:lineRule="auto"/>
        <w:tabs>
          <w:tab w:leader="none" w:pos="633"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Times New Roman" w:cs="Times New Roman" w:eastAsia="Times New Roman" w:hAnsi="Times New Roman"/>
          <w:sz w:val="12"/>
          <w:szCs w:val="12"/>
          <w:color w:val="auto"/>
        </w:rPr>
      </w:pPr>
    </w:p>
    <w:p>
      <w:pPr>
        <w:ind w:left="640" w:right="279" w:hanging="228"/>
        <w:spacing w:after="0" w:line="277" w:lineRule="auto"/>
        <w:tabs>
          <w:tab w:leader="none" w:pos="640" w:val="left"/>
        </w:tabs>
        <w:numPr>
          <w:ilvl w:val="1"/>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Times New Roman" w:cs="Times New Roman" w:eastAsia="Times New Roman" w:hAnsi="Times New Roman"/>
          <w:sz w:val="12"/>
          <w:szCs w:val="12"/>
          <w:color w:val="auto"/>
        </w:rPr>
      </w:pPr>
    </w:p>
    <w:p>
      <w:pPr>
        <w:ind w:left="640" w:hanging="228"/>
        <w:spacing w:after="0"/>
        <w:tabs>
          <w:tab w:leader="none" w:pos="640" w:val="left"/>
        </w:tabs>
        <w:numPr>
          <w:ilvl w:val="1"/>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Date: March 1, 2021</w:t>
      </w:r>
    </w:p>
    <w:p>
      <w:pPr>
        <w:spacing w:after="0" w:line="2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2"/>
          <w:szCs w:val="12"/>
          <w:color w:val="auto"/>
        </w:rPr>
        <w:t>/s/ ANDREW P. POWER</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22225</wp:posOffset>
            </wp:positionV>
            <wp:extent cx="321881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9">
                      <a:extLst>
                        <a:ext uri="{28A0092B-C50C-407E-A947-70E740481C1C}"/>
                      </a:extLst>
                    </a:blip>
                    <a:srcRect/>
                    <a:stretch>
                      <a:fillRect/>
                    </a:stretch>
                  </pic:blipFill>
                  <pic:spPr bwMode="auto">
                    <a:xfrm>
                      <a:off x="0" y="0"/>
                      <a:ext cx="3218815" cy="5715"/>
                    </a:xfrm>
                    <a:prstGeom prst="rect">
                      <a:avLst/>
                    </a:prstGeom>
                    <a:noFill/>
                  </pic:spPr>
                </pic:pic>
              </a:graphicData>
            </a:graphic>
          </wp:anchor>
        </w:drawing>
      </w:r>
    </w:p>
    <w:p>
      <w:pPr>
        <w:spacing w:after="0" w:line="2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Andrew P. Power</w:t>
      </w:r>
    </w:p>
    <w:p>
      <w:pPr>
        <w:spacing w:after="0" w:line="16"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4"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(Principal Financial Officer)</w:t>
      </w:r>
    </w:p>
    <w:p>
      <w:pPr>
        <w:spacing w:after="0" w:line="4"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Digital Realty Trust, Inc., sole general partner of</w:t>
      </w:r>
    </w:p>
    <w:p>
      <w:pPr>
        <w:spacing w:after="0" w:line="4"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2"/>
          <w:szCs w:val="12"/>
          <w:color w:val="auto"/>
        </w:rPr>
        <w:t>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257810</wp:posOffset>
            </wp:positionV>
            <wp:extent cx="5485130" cy="177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60">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1031875</wp:posOffset>
            </wp:positionH>
            <wp:positionV relativeFrom="page">
              <wp:posOffset>438785</wp:posOffset>
            </wp:positionV>
            <wp:extent cx="5485130" cy="177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61">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Exhibit 32.1</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Certification of Chief Executive Officer Pursuant to 18 U.S.C. Section 1350, as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Adopted Pursuant to Section 906 of the Sarbanes-Oxley Act of 2002</w:t>
      </w:r>
    </w:p>
    <w:p>
      <w:pPr>
        <w:spacing w:after="0" w:line="137" w:lineRule="exact"/>
        <w:rPr>
          <w:sz w:val="20"/>
          <w:szCs w:val="20"/>
          <w:color w:val="auto"/>
        </w:rPr>
      </w:pPr>
    </w:p>
    <w:p>
      <w:pPr>
        <w:ind w:left="180" w:right="319"/>
        <w:spacing w:after="0" w:line="292" w:lineRule="auto"/>
        <w:rPr>
          <w:sz w:val="20"/>
          <w:szCs w:val="20"/>
          <w:color w:val="auto"/>
        </w:rPr>
      </w:pPr>
      <w:r>
        <w:rPr>
          <w:rFonts w:ascii="Times New Roman" w:cs="Times New Roman" w:eastAsia="Times New Roman" w:hAnsi="Times New Roman"/>
          <w:sz w:val="11"/>
          <w:szCs w:val="11"/>
          <w:color w:val="auto"/>
        </w:rPr>
        <w:t>Pursuant to 18 U.S.C. § 1350, as created by Section 906 of the Sarbanes-Oxley Act of 2002, the undersigned officer of Digital Realty Trust, Inc. (the “Company”) hereby certifies, to such officer’s knowledge, that:</w:t>
      </w:r>
    </w:p>
    <w:p>
      <w:pPr>
        <w:spacing w:after="0" w:line="100" w:lineRule="exact"/>
        <w:rPr>
          <w:sz w:val="20"/>
          <w:szCs w:val="20"/>
          <w:color w:val="auto"/>
        </w:rPr>
      </w:pPr>
    </w:p>
    <w:p>
      <w:pPr>
        <w:ind w:left="420" w:right="559" w:hanging="236"/>
        <w:spacing w:after="0" w:line="292" w:lineRule="auto"/>
        <w:tabs>
          <w:tab w:leader="none" w:pos="442" w:val="left"/>
        </w:tabs>
        <w:numPr>
          <w:ilvl w:val="0"/>
          <w:numId w:val="1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accompanying Annual Report on Form 10-K of the Company for the year ended December 31, 2020 (the “Report”) fully complies with the requirements of Section 13(a) or Section 15(d) of the Securities Exchange Act of 1934, as amended; and</w:t>
      </w:r>
    </w:p>
    <w:p>
      <w:pPr>
        <w:spacing w:after="0" w:line="109" w:lineRule="exact"/>
        <w:rPr>
          <w:rFonts w:ascii="Times New Roman" w:cs="Times New Roman" w:eastAsia="Times New Roman" w:hAnsi="Times New Roman"/>
          <w:sz w:val="11"/>
          <w:szCs w:val="11"/>
          <w:color w:val="auto"/>
        </w:rPr>
      </w:pPr>
    </w:p>
    <w:p>
      <w:pPr>
        <w:ind w:left="420" w:right="599" w:hanging="236"/>
        <w:spacing w:after="0" w:line="292" w:lineRule="auto"/>
        <w:tabs>
          <w:tab w:leader="none" w:pos="445" w:val="left"/>
        </w:tabs>
        <w:numPr>
          <w:ilvl w:val="0"/>
          <w:numId w:val="1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information contained in the Report fairly presents, in all material respects, the financial condition and results of operations of the Company at the dates and for the periods indicated.</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Date: March 1, 2021</w:t>
      </w:r>
    </w:p>
    <w:p>
      <w:pPr>
        <w:spacing w:after="0" w:line="32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/s/ A. WILLIAM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27940</wp:posOffset>
            </wp:positionV>
            <wp:extent cx="278511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62">
                      <a:extLst>
                        <a:ext uri="{28A0092B-C50C-407E-A947-70E740481C1C}"/>
                      </a:extLst>
                    </a:blip>
                    <a:srcRect/>
                    <a:stretch>
                      <a:fillRect/>
                    </a:stretch>
                  </pic:blipFill>
                  <pic:spPr bwMode="auto">
                    <a:xfrm>
                      <a:off x="0" y="0"/>
                      <a:ext cx="2785110" cy="5715"/>
                    </a:xfrm>
                    <a:prstGeom prst="rect">
                      <a:avLst/>
                    </a:prstGeom>
                    <a:noFill/>
                  </pic:spPr>
                </pic:pic>
              </a:graphicData>
            </a:graphic>
          </wp:anchor>
        </w:drawing>
      </w:r>
    </w:p>
    <w:p>
      <w:pPr>
        <w:spacing w:after="0" w:line="4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1"/>
          <w:szCs w:val="11"/>
          <w:color w:val="auto"/>
        </w:rPr>
        <w:t>A. William Stein</w:t>
      </w:r>
    </w:p>
    <w:p>
      <w:pPr>
        <w:spacing w:after="0" w:line="5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1"/>
          <w:szCs w:val="11"/>
          <w:color w:val="auto"/>
        </w:rPr>
        <w:t>Chief Executive Officer</w:t>
      </w:r>
    </w:p>
    <w:p>
      <w:pPr>
        <w:spacing w:after="0" w:line="168" w:lineRule="exact"/>
        <w:rPr>
          <w:sz w:val="20"/>
          <w:szCs w:val="20"/>
          <w:color w:val="auto"/>
        </w:rPr>
      </w:pPr>
    </w:p>
    <w:p>
      <w:pPr>
        <w:ind w:left="180" w:right="359"/>
        <w:spacing w:after="0" w:line="282" w:lineRule="auto"/>
        <w:rPr>
          <w:sz w:val="20"/>
          <w:szCs w:val="20"/>
          <w:color w:val="auto"/>
        </w:rPr>
      </w:pPr>
      <w:r>
        <w:rPr>
          <w:rFonts w:ascii="Times New Roman" w:cs="Times New Roman" w:eastAsia="Times New Roman" w:hAnsi="Times New Roman"/>
          <w:sz w:val="11"/>
          <w:szCs w:val="11"/>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244" w:lineRule="exact"/>
        <w:rPr>
          <w:sz w:val="20"/>
          <w:szCs w:val="20"/>
          <w:color w:val="auto"/>
        </w:rPr>
      </w:pPr>
    </w:p>
    <w:p>
      <w:pPr>
        <w:ind w:left="180" w:right="379"/>
        <w:spacing w:after="0" w:line="292" w:lineRule="auto"/>
        <w:rPr>
          <w:sz w:val="20"/>
          <w:szCs w:val="20"/>
          <w:color w:val="auto"/>
        </w:rPr>
      </w:pPr>
      <w:r>
        <w:rPr>
          <w:rFonts w:ascii="Times New Roman" w:cs="Times New Roman" w:eastAsia="Times New Roman" w:hAnsi="Times New Roman"/>
          <w:sz w:val="11"/>
          <w:szCs w:val="11"/>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220345</wp:posOffset>
            </wp:positionV>
            <wp:extent cx="5485130" cy="177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63">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67" w:name="page268"/>
    <w:bookmarkEnd w:id="267"/>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Exhibit 32.2</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Certification of Chief Financial Officer Pursuant to 18 U.S.C. Section 1350, as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Adopted Pursuant to Section 906 of the Sarbanes-Oxley Act of 2002</w:t>
      </w:r>
    </w:p>
    <w:p>
      <w:pPr>
        <w:spacing w:after="0" w:line="137" w:lineRule="exact"/>
        <w:rPr>
          <w:sz w:val="20"/>
          <w:szCs w:val="20"/>
          <w:color w:val="auto"/>
        </w:rPr>
      </w:pPr>
    </w:p>
    <w:p>
      <w:pPr>
        <w:ind w:left="180" w:right="319"/>
        <w:spacing w:after="0" w:line="292" w:lineRule="auto"/>
        <w:rPr>
          <w:sz w:val="20"/>
          <w:szCs w:val="20"/>
          <w:color w:val="auto"/>
        </w:rPr>
      </w:pPr>
      <w:r>
        <w:rPr>
          <w:rFonts w:ascii="Times New Roman" w:cs="Times New Roman" w:eastAsia="Times New Roman" w:hAnsi="Times New Roman"/>
          <w:sz w:val="11"/>
          <w:szCs w:val="11"/>
          <w:color w:val="auto"/>
        </w:rPr>
        <w:t>Pursuant to 18 U.S.C. § 1350, as created by Section 906 of the Sarbanes-Oxley Act of 2002, the undersigned officer of Digital Realty Trust, Inc. (the “Company”) hereby certifies, to such officer’s knowledge, that:</w:t>
      </w:r>
    </w:p>
    <w:p>
      <w:pPr>
        <w:spacing w:after="0" w:line="100" w:lineRule="exact"/>
        <w:rPr>
          <w:sz w:val="20"/>
          <w:szCs w:val="20"/>
          <w:color w:val="auto"/>
        </w:rPr>
      </w:pPr>
    </w:p>
    <w:p>
      <w:pPr>
        <w:ind w:left="420" w:right="559" w:hanging="236"/>
        <w:spacing w:after="0" w:line="292" w:lineRule="auto"/>
        <w:tabs>
          <w:tab w:leader="none" w:pos="442" w:val="left"/>
        </w:tabs>
        <w:numPr>
          <w:ilvl w:val="0"/>
          <w:numId w:val="1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accompanying Annual Report on Form 10-K of the Company for the year ended December 31, 2020 (the “Report”) fully complies with the requirements of Section 13(a) or Section 15(d) of the Securities Exchange Act of 1934, as amended; and</w:t>
      </w:r>
    </w:p>
    <w:p>
      <w:pPr>
        <w:spacing w:after="0" w:line="109" w:lineRule="exact"/>
        <w:rPr>
          <w:rFonts w:ascii="Times New Roman" w:cs="Times New Roman" w:eastAsia="Times New Roman" w:hAnsi="Times New Roman"/>
          <w:sz w:val="11"/>
          <w:szCs w:val="11"/>
          <w:color w:val="auto"/>
        </w:rPr>
      </w:pPr>
    </w:p>
    <w:p>
      <w:pPr>
        <w:ind w:left="420" w:right="599" w:hanging="236"/>
        <w:spacing w:after="0" w:line="292" w:lineRule="auto"/>
        <w:tabs>
          <w:tab w:leader="none" w:pos="445" w:val="left"/>
        </w:tabs>
        <w:numPr>
          <w:ilvl w:val="0"/>
          <w:numId w:val="1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information contained in the Report fairly presents, in all material respects, the financial condition and results of operations of the Company at the dates and for the periods indicated.</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Date: March 1, 2021</w:t>
      </w:r>
    </w:p>
    <w:p>
      <w:pPr>
        <w:spacing w:after="0" w:line="3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1"/>
          <w:szCs w:val="11"/>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27940</wp:posOffset>
            </wp:positionV>
            <wp:extent cx="278511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64">
                      <a:extLst>
                        <a:ext uri="{28A0092B-C50C-407E-A947-70E740481C1C}"/>
                      </a:extLst>
                    </a:blip>
                    <a:srcRect/>
                    <a:stretch>
                      <a:fillRect/>
                    </a:stretch>
                  </pic:blipFill>
                  <pic:spPr bwMode="auto">
                    <a:xfrm>
                      <a:off x="0" y="0"/>
                      <a:ext cx="2785110" cy="5715"/>
                    </a:xfrm>
                    <a:prstGeom prst="rect">
                      <a:avLst/>
                    </a:prstGeom>
                    <a:noFill/>
                  </pic:spPr>
                </pic:pic>
              </a:graphicData>
            </a:graphic>
          </wp:anchor>
        </w:drawing>
      </w:r>
    </w:p>
    <w:p>
      <w:pPr>
        <w:spacing w:after="0" w:line="4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1"/>
          <w:szCs w:val="11"/>
          <w:color w:val="auto"/>
        </w:rPr>
        <w:t>Andrew P. Power</w:t>
      </w:r>
    </w:p>
    <w:p>
      <w:pPr>
        <w:spacing w:after="0" w:line="5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1"/>
          <w:szCs w:val="11"/>
          <w:color w:val="auto"/>
        </w:rPr>
        <w:t>Chief Financial Officer</w:t>
      </w:r>
    </w:p>
    <w:p>
      <w:pPr>
        <w:spacing w:after="0" w:line="168" w:lineRule="exact"/>
        <w:rPr>
          <w:sz w:val="20"/>
          <w:szCs w:val="20"/>
          <w:color w:val="auto"/>
        </w:rPr>
      </w:pPr>
    </w:p>
    <w:p>
      <w:pPr>
        <w:ind w:left="180" w:right="359"/>
        <w:spacing w:after="0" w:line="282" w:lineRule="auto"/>
        <w:rPr>
          <w:sz w:val="20"/>
          <w:szCs w:val="20"/>
          <w:color w:val="auto"/>
        </w:rPr>
      </w:pPr>
      <w:r>
        <w:rPr>
          <w:rFonts w:ascii="Times New Roman" w:cs="Times New Roman" w:eastAsia="Times New Roman" w:hAnsi="Times New Roman"/>
          <w:sz w:val="11"/>
          <w:szCs w:val="11"/>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244" w:lineRule="exact"/>
        <w:rPr>
          <w:sz w:val="20"/>
          <w:szCs w:val="20"/>
          <w:color w:val="auto"/>
        </w:rPr>
      </w:pPr>
    </w:p>
    <w:p>
      <w:pPr>
        <w:ind w:left="180" w:right="379"/>
        <w:spacing w:after="0" w:line="292" w:lineRule="auto"/>
        <w:rPr>
          <w:sz w:val="20"/>
          <w:szCs w:val="20"/>
          <w:color w:val="auto"/>
        </w:rPr>
      </w:pPr>
      <w:r>
        <w:rPr>
          <w:rFonts w:ascii="Times New Roman" w:cs="Times New Roman" w:eastAsia="Times New Roman" w:hAnsi="Times New Roman"/>
          <w:sz w:val="11"/>
          <w:szCs w:val="11"/>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220345</wp:posOffset>
            </wp:positionV>
            <wp:extent cx="5485130" cy="177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5">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268" w:name="page269"/>
    <w:bookmarkEnd w:id="268"/>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Exhibit 32.3</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Certification of Chief Executive Officer Pursuant to 18 U.S.C. Section 1350, as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Adopted Pursuant to Section 906 of the Sarbanes-Oxley Act of 2002</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Pursuant to 18 U.S.C. § 1350, as created by Section 906 of the Sarbanes-Oxley Act of 2002, the undersigned officer of Digital Realty Trust, Inc., in its capacity as the sole general partner of</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Digital Realty Trust, L.P. (the “Operating Partnership”), hereby certifies, to such officer’s knowledge, that:</w:t>
      </w:r>
    </w:p>
    <w:p>
      <w:pPr>
        <w:spacing w:after="0" w:line="137" w:lineRule="exact"/>
        <w:rPr>
          <w:sz w:val="20"/>
          <w:szCs w:val="20"/>
          <w:color w:val="auto"/>
        </w:rPr>
      </w:pPr>
    </w:p>
    <w:p>
      <w:pPr>
        <w:ind w:left="420" w:right="379" w:hanging="236"/>
        <w:spacing w:after="0" w:line="292" w:lineRule="auto"/>
        <w:tabs>
          <w:tab w:leader="none" w:pos="442" w:val="left"/>
        </w:tabs>
        <w:numPr>
          <w:ilvl w:val="0"/>
          <w:numId w:val="1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accompanying Annual Report on Form 10-K of the Operating Partnership for the year ended December 31, 2020 (the “Report”) fully complies with the requirements of Section 13(a) or Section 15(d) of the Securities Exchange Act of 1934, as amended; and</w:t>
      </w:r>
    </w:p>
    <w:p>
      <w:pPr>
        <w:spacing w:after="0" w:line="109" w:lineRule="exact"/>
        <w:rPr>
          <w:rFonts w:ascii="Times New Roman" w:cs="Times New Roman" w:eastAsia="Times New Roman" w:hAnsi="Times New Roman"/>
          <w:sz w:val="11"/>
          <w:szCs w:val="11"/>
          <w:color w:val="auto"/>
        </w:rPr>
      </w:pPr>
    </w:p>
    <w:p>
      <w:pPr>
        <w:ind w:left="420" w:right="399" w:hanging="236"/>
        <w:spacing w:after="0" w:line="292" w:lineRule="auto"/>
        <w:tabs>
          <w:tab w:leader="none" w:pos="445" w:val="left"/>
        </w:tabs>
        <w:numPr>
          <w:ilvl w:val="0"/>
          <w:numId w:val="1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information contained in the Report fairly presents, in all material respects, the financial condition and results of operations of the Operating Partnership at the dates and for the periods indicated.</w:t>
      </w: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Date: March 1, 2021</w:t>
      </w:r>
    </w:p>
    <w:p>
      <w:pPr>
        <w:spacing w:after="0" w:line="32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/s/ A. WILLIAM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27940</wp:posOffset>
            </wp:positionV>
            <wp:extent cx="278511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6">
                      <a:extLst>
                        <a:ext uri="{28A0092B-C50C-407E-A947-70E740481C1C}"/>
                      </a:extLst>
                    </a:blip>
                    <a:srcRect/>
                    <a:stretch>
                      <a:fillRect/>
                    </a:stretch>
                  </pic:blipFill>
                  <pic:spPr bwMode="auto">
                    <a:xfrm>
                      <a:off x="0" y="0"/>
                      <a:ext cx="2785110" cy="5715"/>
                    </a:xfrm>
                    <a:prstGeom prst="rect">
                      <a:avLst/>
                    </a:prstGeom>
                    <a:noFill/>
                  </pic:spPr>
                </pic:pic>
              </a:graphicData>
            </a:graphic>
          </wp:anchor>
        </w:drawing>
      </w:r>
    </w:p>
    <w:p>
      <w:pPr>
        <w:spacing w:after="0" w:line="4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1"/>
          <w:szCs w:val="11"/>
          <w:color w:val="auto"/>
        </w:rPr>
        <w:t>A. William Stein</w:t>
      </w:r>
    </w:p>
    <w:p>
      <w:pPr>
        <w:spacing w:after="0" w:line="44"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1"/>
          <w:szCs w:val="11"/>
          <w:color w:val="auto"/>
        </w:rPr>
        <w:t>Chief Executive Officer</w:t>
      </w:r>
    </w:p>
    <w:p>
      <w:pPr>
        <w:spacing w:after="0" w:line="18"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1"/>
          <w:szCs w:val="11"/>
          <w:color w:val="auto"/>
        </w:rPr>
        <w:t>Digital Realty Trust, Inc., sole general partner of</w:t>
      </w:r>
    </w:p>
    <w:p>
      <w:pPr>
        <w:spacing w:after="0" w:line="6"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1"/>
          <w:szCs w:val="11"/>
          <w:color w:val="auto"/>
        </w:rPr>
        <w:t>Digital Realty Trust, L.P.</w:t>
      </w:r>
    </w:p>
    <w:p>
      <w:pPr>
        <w:spacing w:after="0" w:line="156" w:lineRule="exact"/>
        <w:rPr>
          <w:sz w:val="20"/>
          <w:szCs w:val="20"/>
          <w:color w:val="auto"/>
        </w:rPr>
      </w:pPr>
    </w:p>
    <w:p>
      <w:pPr>
        <w:ind w:left="180" w:right="359"/>
        <w:spacing w:after="0" w:line="272" w:lineRule="auto"/>
        <w:rPr>
          <w:sz w:val="20"/>
          <w:szCs w:val="20"/>
          <w:color w:val="auto"/>
        </w:rPr>
      </w:pPr>
      <w:r>
        <w:rPr>
          <w:rFonts w:ascii="Times New Roman" w:cs="Times New Roman" w:eastAsia="Times New Roman" w:hAnsi="Times New Roman"/>
          <w:sz w:val="11"/>
          <w:szCs w:val="11"/>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spacing w:after="0" w:line="111" w:lineRule="exact"/>
        <w:rPr>
          <w:sz w:val="20"/>
          <w:szCs w:val="20"/>
          <w:color w:val="auto"/>
        </w:rPr>
      </w:pPr>
    </w:p>
    <w:p>
      <w:pPr>
        <w:ind w:left="180" w:right="419"/>
        <w:spacing w:after="0" w:line="292" w:lineRule="auto"/>
        <w:rPr>
          <w:sz w:val="20"/>
          <w:szCs w:val="20"/>
          <w:color w:val="auto"/>
        </w:rPr>
      </w:pPr>
      <w:r>
        <w:rPr>
          <w:rFonts w:ascii="Times New Roman" w:cs="Times New Roman" w:eastAsia="Times New Roman" w:hAnsi="Times New Roman"/>
          <w:sz w:val="11"/>
          <w:szCs w:val="11"/>
          <w:color w:val="auto"/>
        </w:rPr>
        <w:t>A signed original of this written statement required by Section 906 has been provided to the Operating Partnership and will be retained by the Operating Partnership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220345</wp:posOffset>
            </wp:positionV>
            <wp:extent cx="5485130" cy="177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7">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269" w:name="page270"/>
    <w:bookmarkEnd w:id="269"/>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Exhibit 32.4</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Certification of Chief Financial Officer Pursuant to 18 U.S.C. Section 1350, as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Adopted Pursuant to Section 906 of the Sarbanes-Oxley Act of 2002</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Pursuant to 18 U.S.C. § 1350, as created by Section 906 of the Sarbanes-Oxley Act of 2002, the undersigned officer of Digital Realty Trust, Inc., in its capacity as the sole general partner of</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Digital Realty Trust, L.P. (the “Operating Partnership”), hereby certifies, to such officer’s knowledge, that:</w:t>
      </w:r>
    </w:p>
    <w:p>
      <w:pPr>
        <w:spacing w:after="0" w:line="137" w:lineRule="exact"/>
        <w:rPr>
          <w:sz w:val="20"/>
          <w:szCs w:val="20"/>
          <w:color w:val="auto"/>
        </w:rPr>
      </w:pPr>
    </w:p>
    <w:p>
      <w:pPr>
        <w:ind w:left="420" w:right="379" w:hanging="236"/>
        <w:spacing w:after="0" w:line="292" w:lineRule="auto"/>
        <w:tabs>
          <w:tab w:leader="none" w:pos="442" w:val="left"/>
        </w:tabs>
        <w:numPr>
          <w:ilvl w:val="0"/>
          <w:numId w:val="1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accompanying Annual Report on Form 10-K of the Operating Partnership for the year ended December 31, 2020 (the “Report”) fully complies with the requirements of Section 13(a) or Section 15(d) of the Securities Exchange Act of 1934, as amended; and</w:t>
      </w:r>
    </w:p>
    <w:p>
      <w:pPr>
        <w:spacing w:after="0" w:line="109" w:lineRule="exact"/>
        <w:rPr>
          <w:rFonts w:ascii="Times New Roman" w:cs="Times New Roman" w:eastAsia="Times New Roman" w:hAnsi="Times New Roman"/>
          <w:sz w:val="11"/>
          <w:szCs w:val="11"/>
          <w:color w:val="auto"/>
        </w:rPr>
      </w:pPr>
    </w:p>
    <w:p>
      <w:pPr>
        <w:ind w:left="420" w:right="399" w:hanging="236"/>
        <w:spacing w:after="0" w:line="292" w:lineRule="auto"/>
        <w:tabs>
          <w:tab w:leader="none" w:pos="445" w:val="left"/>
        </w:tabs>
        <w:numPr>
          <w:ilvl w:val="0"/>
          <w:numId w:val="1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information contained in the Report fairly presents, in all material respects, the financial condition and results of operations of the Operating Partnership at the dates and for the periods indicated.</w:t>
      </w: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Date: March 1, 2021</w:t>
      </w:r>
    </w:p>
    <w:p>
      <w:pPr>
        <w:spacing w:after="0" w:line="3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1"/>
          <w:szCs w:val="11"/>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27940</wp:posOffset>
            </wp:positionV>
            <wp:extent cx="278511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8">
                      <a:extLst>
                        <a:ext uri="{28A0092B-C50C-407E-A947-70E740481C1C}"/>
                      </a:extLst>
                    </a:blip>
                    <a:srcRect/>
                    <a:stretch>
                      <a:fillRect/>
                    </a:stretch>
                  </pic:blipFill>
                  <pic:spPr bwMode="auto">
                    <a:xfrm>
                      <a:off x="0" y="0"/>
                      <a:ext cx="2785110" cy="5715"/>
                    </a:xfrm>
                    <a:prstGeom prst="rect">
                      <a:avLst/>
                    </a:prstGeom>
                    <a:noFill/>
                  </pic:spPr>
                </pic:pic>
              </a:graphicData>
            </a:graphic>
          </wp:anchor>
        </w:drawing>
      </w:r>
    </w:p>
    <w:p>
      <w:pPr>
        <w:spacing w:after="0" w:line="4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1"/>
          <w:szCs w:val="11"/>
          <w:color w:val="auto"/>
        </w:rPr>
        <w:t>Andrew P. Power</w:t>
      </w:r>
    </w:p>
    <w:p>
      <w:pPr>
        <w:spacing w:after="0" w:line="44"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1"/>
          <w:szCs w:val="11"/>
          <w:color w:val="auto"/>
        </w:rPr>
        <w:t>Chief Financial Officer</w:t>
      </w:r>
    </w:p>
    <w:p>
      <w:pPr>
        <w:spacing w:after="0" w:line="18"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1"/>
          <w:szCs w:val="11"/>
          <w:color w:val="auto"/>
        </w:rPr>
        <w:t>Digital Realty Trust, Inc., sole general partner of</w:t>
      </w:r>
    </w:p>
    <w:p>
      <w:pPr>
        <w:spacing w:after="0" w:line="6"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1"/>
          <w:szCs w:val="11"/>
          <w:color w:val="auto"/>
        </w:rPr>
        <w:t>Digital Realty Trust, L.P.</w:t>
      </w:r>
    </w:p>
    <w:p>
      <w:pPr>
        <w:spacing w:after="0" w:line="156" w:lineRule="exact"/>
        <w:rPr>
          <w:sz w:val="20"/>
          <w:szCs w:val="20"/>
          <w:color w:val="auto"/>
        </w:rPr>
      </w:pPr>
    </w:p>
    <w:p>
      <w:pPr>
        <w:ind w:left="180" w:right="359"/>
        <w:spacing w:after="0" w:line="272" w:lineRule="auto"/>
        <w:rPr>
          <w:sz w:val="20"/>
          <w:szCs w:val="20"/>
          <w:color w:val="auto"/>
        </w:rPr>
      </w:pPr>
      <w:r>
        <w:rPr>
          <w:rFonts w:ascii="Times New Roman" w:cs="Times New Roman" w:eastAsia="Times New Roman" w:hAnsi="Times New Roman"/>
          <w:sz w:val="11"/>
          <w:szCs w:val="11"/>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spacing w:after="0" w:line="111" w:lineRule="exact"/>
        <w:rPr>
          <w:sz w:val="20"/>
          <w:szCs w:val="20"/>
          <w:color w:val="auto"/>
        </w:rPr>
      </w:pPr>
    </w:p>
    <w:p>
      <w:pPr>
        <w:ind w:left="180" w:right="419"/>
        <w:spacing w:after="0" w:line="292" w:lineRule="auto"/>
        <w:rPr>
          <w:sz w:val="20"/>
          <w:szCs w:val="20"/>
          <w:color w:val="auto"/>
        </w:rPr>
      </w:pPr>
      <w:r>
        <w:rPr>
          <w:rFonts w:ascii="Times New Roman" w:cs="Times New Roman" w:eastAsia="Times New Roman" w:hAnsi="Times New Roman"/>
          <w:sz w:val="11"/>
          <w:szCs w:val="11"/>
          <w:color w:val="auto"/>
        </w:rPr>
        <w:t>A signed original of this written statement required by Section 906 has been provided to the Operating Partnership and will be retained by the Operating Partnership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220345</wp:posOffset>
            </wp:positionV>
            <wp:extent cx="5485130" cy="177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9">
                      <a:extLst>
                        <a:ext uri="{28A0092B-C50C-407E-A947-70E740481C1C}"/>
                      </a:extLst>
                    </a:blip>
                    <a:srcRect/>
                    <a:stretch>
                      <a:fillRect/>
                    </a:stretch>
                  </pic:blipFill>
                  <pic:spPr bwMode="auto">
                    <a:xfrm>
                      <a:off x="0" y="0"/>
                      <a:ext cx="5485130" cy="17780"/>
                    </a:xfrm>
                    <a:prstGeom prst="rect">
                      <a:avLst/>
                    </a:prstGeom>
                    <a:noFill/>
                  </pic:spPr>
                </pic:pic>
              </a:graphicData>
            </a:graphic>
          </wp:anchor>
        </w:drawing>
      </w:r>
    </w:p>
    <w:sectPr>
      <w:pgSz w:w="11900" w:h="16838" w:orient="portrait"/>
      <w:cols w:equalWidth="0" w:num="1">
        <w:col w:w="9019"/>
      </w:cols>
      <w:pgMar w:left="144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lvl w:ilvl="1">
      <w:lvlJc w:val="left"/>
      <w:lvlText w:val="●"/>
      <w:numFmt w:val="bullet"/>
      <w:start w:val="1"/>
    </w:lvl>
  </w:abstractNum>
  <w:abstractNum w:abstractNumId="4">
    <w:nsid w:val="42C296BD"/>
    <w:multiLevelType w:val="hybridMultilevel"/>
    <w:lvl w:ilvl="0">
      <w:lvlJc w:val="left"/>
      <w:lvlText w:val="(%1)"/>
      <w:numFmt w:val="decimal"/>
      <w:start w:val="1"/>
    </w:lvl>
  </w:abstractNum>
  <w:abstractNum w:abstractNumId="5">
    <w:nsid w:val="168E121F"/>
    <w:multiLevelType w:val="hybridMultilevel"/>
    <w:lvl w:ilvl="0">
      <w:lvlJc w:val="left"/>
      <w:lvlText w:val="(%1)"/>
      <w:numFmt w:val="decimal"/>
      <w:start w:val="1"/>
    </w:lvl>
  </w:abstractNum>
  <w:abstractNum w:abstractNumId="6">
    <w:nsid w:val="1EBA5D23"/>
    <w:multiLevelType w:val="hybridMultilevel"/>
    <w:lvl w:ilvl="0">
      <w:lvlJc w:val="left"/>
      <w:lvlText w:val="(%1)"/>
      <w:numFmt w:val="decimal"/>
      <w:start w:val="1"/>
    </w:lvl>
  </w:abstractNum>
  <w:abstractNum w:abstractNumId="7">
    <w:nsid w:val="661E3F1E"/>
    <w:multiLevelType w:val="hybridMultilevel"/>
    <w:lvl w:ilvl="0">
      <w:lvlJc w:val="left"/>
      <w:lvlText w:val="%1)"/>
      <w:numFmt w:val="lowerLetter"/>
      <w:start w:val="3"/>
    </w:lvl>
  </w:abstractNum>
  <w:abstractNum w:abstractNumId="8">
    <w:nsid w:val="5DC79EA8"/>
    <w:multiLevelType w:val="hybridMultilevel"/>
    <w:lvl w:ilvl="0">
      <w:lvlJc w:val="left"/>
      <w:lvlText w:val="(%1)"/>
      <w:numFmt w:val="decimal"/>
      <w:start w:val="1"/>
    </w:lvl>
  </w:abstractNum>
  <w:abstractNum w:abstractNumId="9">
    <w:nsid w:val="540A471C"/>
    <w:multiLevelType w:val="hybridMultilevel"/>
    <w:lvl w:ilvl="0">
      <w:lvlJc w:val="left"/>
      <w:lvlText w:val="%1)"/>
      <w:numFmt w:val="lowerLetter"/>
      <w:start w:val="2"/>
    </w:lvl>
  </w:abstractNum>
  <w:abstractNum w:abstractNumId="10">
    <w:nsid w:val="7BD3EE7B"/>
    <w:multiLevelType w:val="hybridMultilevel"/>
    <w:lvl w:ilvl="0">
      <w:lvlJc w:val="left"/>
      <w:lvlText w:val="(%1)"/>
      <w:numFmt w:val="decimal"/>
      <w:start w:val="1"/>
    </w:lvl>
    <w:lvl w:ilvl="1">
      <w:lvlJc w:val="left"/>
      <w:lvlText w:val="%2)"/>
      <w:numFmt w:val="lowerLetter"/>
      <w:start w:val="2"/>
    </w:lvl>
  </w:abstractNum>
  <w:abstractNum w:abstractNumId="11">
    <w:nsid w:val="51D9C564"/>
    <w:multiLevelType w:val="hybridMultilevel"/>
    <w:lvl w:ilvl="0">
      <w:lvlJc w:val="left"/>
      <w:lvlText w:val="%1)"/>
      <w:numFmt w:val="lowerLetter"/>
      <w:start w:val="2"/>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1)"/>
      <w:numFmt w:val="decimal"/>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o"/>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1)"/>
      <w:numFmt w:val="decimal"/>
      <w:start w:val="1"/>
    </w:lvl>
  </w:abstractNum>
  <w:abstractNum w:abstractNumId="31">
    <w:nsid w:val="6F6DD9AC"/>
    <w:multiLevelType w:val="hybridMultilevel"/>
    <w:lvl w:ilvl="0">
      <w:lvlJc w:val="left"/>
      <w:lvlText w:val="(%1)"/>
      <w:numFmt w:val="decimal"/>
      <w:start w:val="1"/>
    </w:lvl>
  </w:abstractNum>
  <w:abstractNum w:abstractNumId="32">
    <w:nsid w:val="94211F2"/>
    <w:multiLevelType w:val="hybridMultilevel"/>
    <w:lvl w:ilvl="0">
      <w:lvlJc w:val="left"/>
      <w:lvlText w:val="(%1)"/>
      <w:numFmt w:val="decimal"/>
      <w:start w:val="1"/>
    </w:lvl>
  </w:abstractNum>
  <w:abstractNum w:abstractNumId="33">
    <w:nsid w:val="885E1B"/>
    <w:multiLevelType w:val="hybridMultilevel"/>
    <w:lvl w:ilvl="0">
      <w:lvlJc w:val="left"/>
      <w:lvlText w:val="(%1)"/>
      <w:numFmt w:val="decimal"/>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1)"/>
      <w:numFmt w:val="decimal"/>
      <w:start w:val="1"/>
    </w:lvl>
  </w:abstractNum>
  <w:abstractNum w:abstractNumId="36">
    <w:nsid w:val="1716703B"/>
    <w:multiLevelType w:val="hybridMultilevel"/>
    <w:lvl w:ilvl="0">
      <w:lvlJc w:val="left"/>
      <w:lvlText w:val="(%1)"/>
      <w:numFmt w:val="decimal"/>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1)"/>
      <w:numFmt w:val="decimal"/>
      <w:start w:val="1"/>
    </w:lvl>
  </w:abstractNum>
  <w:abstractNum w:abstractNumId="39">
    <w:nsid w:val="74DE0EE3"/>
    <w:multiLevelType w:val="hybridMultilevel"/>
    <w:lvl w:ilvl="0">
      <w:lvlJc w:val="left"/>
      <w:lvlText w:val="(%1)"/>
      <w:numFmt w:val="decimal"/>
      <w:start w:val="1"/>
    </w:lvl>
  </w:abstractNum>
  <w:abstractNum w:abstractNumId="40">
    <w:nsid w:val="68EBC550"/>
    <w:multiLevelType w:val="hybridMultilevel"/>
    <w:lvl w:ilvl="0">
      <w:lvlJc w:val="left"/>
      <w:lvlText w:val="(%1)"/>
      <w:numFmt w:val="lowerLetter"/>
      <w:start w:val="1"/>
    </w:lvl>
  </w:abstractNum>
  <w:abstractNum w:abstractNumId="41">
    <w:nsid w:val="2DF6D648"/>
    <w:multiLevelType w:val="hybridMultilevel"/>
    <w:lvl w:ilvl="0">
      <w:lvlJc w:val="left"/>
      <w:lvlText w:val="(%1)"/>
      <w:numFmt w:val="decimal"/>
      <w:start w:val="1"/>
    </w:lvl>
  </w:abstractNum>
  <w:abstractNum w:abstractNumId="42">
    <w:nsid w:val="46B7D447"/>
    <w:multiLevelType w:val="hybridMultilevel"/>
    <w:lvl w:ilvl="0">
      <w:lvlJc w:val="left"/>
      <w:lvlText w:val="(%1)"/>
      <w:numFmt w:val="decimal"/>
      <w:start w:val="1"/>
    </w:lvl>
  </w:abstractNum>
  <w:abstractNum w:abstractNumId="43">
    <w:nsid w:val="4A2AC315"/>
    <w:multiLevelType w:val="hybridMultilevel"/>
    <w:lvl w:ilvl="0">
      <w:lvlJc w:val="left"/>
      <w:lvlText w:val="(%1)"/>
      <w:numFmt w:val="decimal"/>
      <w:start w:val="3"/>
    </w:lvl>
  </w:abstractNum>
  <w:abstractNum w:abstractNumId="44">
    <w:nsid w:val="39EE015C"/>
    <w:multiLevelType w:val="hybridMultilevel"/>
    <w:lvl w:ilvl="0">
      <w:lvlJc w:val="left"/>
      <w:lvlText w:val="(%1)"/>
      <w:numFmt w:val="decimal"/>
      <w:start w:val="1"/>
    </w:lvl>
  </w:abstractNum>
  <w:abstractNum w:abstractNumId="45">
    <w:nsid w:val="57FC4FBB"/>
    <w:multiLevelType w:val="hybridMultilevel"/>
    <w:lvl w:ilvl="0">
      <w:lvlJc w:val="left"/>
      <w:lvlText w:val="(%1)"/>
      <w:numFmt w:val="decimal"/>
      <w:start w:val="1"/>
    </w:lvl>
  </w:abstractNum>
  <w:abstractNum w:abstractNumId="46">
    <w:nsid w:val="CC1016F"/>
    <w:multiLevelType w:val="hybridMultilevel"/>
    <w:lvl w:ilvl="0">
      <w:lvlJc w:val="left"/>
      <w:lvlText w:val="(%1)"/>
      <w:numFmt w:val="decimal"/>
      <w:start w:val="2"/>
    </w:lvl>
  </w:abstractNum>
  <w:abstractNum w:abstractNumId="47">
    <w:nsid w:val="43F18422"/>
    <w:multiLevelType w:val="hybridMultilevel"/>
    <w:lvl w:ilvl="0">
      <w:lvlJc w:val="left"/>
      <w:lvlText w:val="(%1)"/>
      <w:numFmt w:val="decimal"/>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1)"/>
      <w:numFmt w:val="decimal"/>
      <w:start w:val="1"/>
    </w:lvl>
  </w:abstractNum>
  <w:abstractNum w:abstractNumId="51">
    <w:nsid w:val="49DA307D"/>
    <w:multiLevelType w:val="hybridMultilevel"/>
    <w:lvl w:ilvl="0">
      <w:lvlJc w:val="left"/>
      <w:lvlText w:val="%1."/>
      <w:numFmt w:val="decimal"/>
      <w:start w:val="2"/>
    </w:lvl>
    <w:lvl w:ilvl="1">
      <w:lvlJc w:val="left"/>
      <w:lvlText w:val="(%2)"/>
      <w:numFmt w:val="lowerLetter"/>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lvl w:ilvl="1">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1."/>
      <w:numFmt w:val="decimal"/>
      <w:start w:val="840"/>
    </w:lvl>
  </w:abstractNum>
  <w:abstractNum w:abstractNumId="57">
    <w:nsid w:val="6AA78F7F"/>
    <w:multiLevelType w:val="hybridMultilevel"/>
    <w:lvl w:ilvl="0">
      <w:lvlJc w:val="left"/>
      <w:lvlText w:val="%1."/>
      <w:numFmt w:val="lowerRoman"/>
      <w:start w:val="1"/>
    </w:lvl>
  </w:abstractNum>
  <w:abstractNum w:abstractNumId="58">
    <w:nsid w:val="7672BD23"/>
    <w:multiLevelType w:val="hybridMultilevel"/>
    <w:lvl w:ilvl="0">
      <w:lvlJc w:val="left"/>
      <w:lvlText w:val="%1."/>
      <w:numFmt w:val="lowerRoman"/>
      <w:start w:val="1"/>
    </w:lvl>
  </w:abstractNum>
  <w:abstractNum w:abstractNumId="59">
    <w:nsid w:val="6FC75AF8"/>
    <w:multiLevelType w:val="hybridMultilevel"/>
    <w:lvl w:ilvl="0">
      <w:lvlJc w:val="left"/>
      <w:lvlText w:val="%1."/>
      <w:numFmt w:val="lowerRoman"/>
      <w:start w:val="1"/>
    </w:lvl>
  </w:abstractNum>
  <w:abstractNum w:abstractNumId="60">
    <w:nsid w:val="6A5F7029"/>
    <w:multiLevelType w:val="hybridMultilevel"/>
    <w:lvl w:ilvl="0">
      <w:lvlJc w:val="left"/>
      <w:lvlText w:val="%1."/>
      <w:numFmt w:val="decimal"/>
      <w:start w:val="3"/>
    </w:lvl>
  </w:abstractNum>
  <w:abstractNum w:abstractNumId="61">
    <w:nsid w:val="7D5E18F8"/>
    <w:multiLevelType w:val="hybridMultilevel"/>
    <w:lvl w:ilvl="0">
      <w:lvlJc w:val="left"/>
      <w:lvlText w:val="(%1)"/>
      <w:numFmt w:val="decimal"/>
      <w:start w:val="1"/>
    </w:lvl>
  </w:abstractNum>
  <w:abstractNum w:abstractNumId="62">
    <w:nsid w:val="5F3534A4"/>
    <w:multiLevelType w:val="hybridMultilevel"/>
    <w:lvl w:ilvl="0">
      <w:lvlJc w:val="left"/>
      <w:lvlText w:val="(%1)"/>
      <w:numFmt w:val="decimal"/>
      <w:start w:val="1"/>
    </w:lvl>
  </w:abstractNum>
  <w:abstractNum w:abstractNumId="63">
    <w:nsid w:val="73A1821B"/>
    <w:multiLevelType w:val="hybridMultilevel"/>
    <w:lvl w:ilvl="0">
      <w:lvlJc w:val="left"/>
      <w:lvlText w:val="(%1)"/>
      <w:numFmt w:val="decimal"/>
      <w:start w:val="3"/>
    </w:lvl>
  </w:abstractNum>
  <w:abstractNum w:abstractNumId="64">
    <w:nsid w:val="7DE67713"/>
    <w:multiLevelType w:val="hybridMultilevel"/>
    <w:lvl w:ilvl="0">
      <w:lvlJc w:val="left"/>
      <w:lvlText w:val="(%1)"/>
      <w:numFmt w:val="decimal"/>
      <w:start w:val="1"/>
    </w:lvl>
  </w:abstractNum>
  <w:abstractNum w:abstractNumId="65">
    <w:nsid w:val="555C55B5"/>
    <w:multiLevelType w:val="hybridMultilevel"/>
    <w:lvl w:ilvl="0">
      <w:lvlJc w:val="left"/>
      <w:lvlText w:val="(%1)"/>
      <w:numFmt w:val="decimal"/>
      <w:start w:val="1"/>
    </w:lvl>
  </w:abstractNum>
  <w:abstractNum w:abstractNumId="66">
    <w:nsid w:val="3FA62ACA"/>
    <w:multiLevelType w:val="hybridMultilevel"/>
    <w:lvl w:ilvl="0">
      <w:lvlJc w:val="left"/>
      <w:lvlText w:val="(%1)"/>
      <w:numFmt w:val="decimal"/>
      <w:start w:val="1"/>
    </w:lvl>
  </w:abstractNum>
  <w:abstractNum w:abstractNumId="67">
    <w:nsid w:val="14FCE74E"/>
    <w:multiLevelType w:val="hybridMultilevel"/>
    <w:lvl w:ilvl="0">
      <w:lvlJc w:val="left"/>
      <w:lvlText w:val="(%1)"/>
      <w:numFmt w:val="decimal"/>
      <w:start w:val="1"/>
    </w:lvl>
  </w:abstractNum>
  <w:abstractNum w:abstractNumId="68">
    <w:nsid w:val="6A3DD3E8"/>
    <w:multiLevelType w:val="hybridMultilevel"/>
    <w:lvl w:ilvl="0">
      <w:lvlJc w:val="left"/>
      <w:lvlText w:val="%1"/>
      <w:numFmt w:val="decimal"/>
      <w:start w:val="1"/>
    </w:lvl>
    <w:lvl w:ilvl="1">
      <w:lvlJc w:val="left"/>
      <w:lvlText w:val="(%2)"/>
      <w:numFmt w:val="lowerLetter"/>
      <w:start w:val="1"/>
    </w:lvl>
  </w:abstractNum>
  <w:abstractNum w:abstractNumId="69">
    <w:nsid w:val="71C91298"/>
    <w:multiLevelType w:val="hybridMultilevel"/>
    <w:lvl w:ilvl="0">
      <w:lvlJc w:val="left"/>
      <w:lvlText w:val="(%1)"/>
      <w:numFmt w:val="decimal"/>
      <w:start w:val="3"/>
    </w:lvl>
    <w:lvl w:ilvl="1">
      <w:lvlJc w:val="left"/>
      <w:lvlText w:val="%2"/>
      <w:numFmt w:val="lowerLetter"/>
      <w:start w:val="1"/>
    </w:lvl>
  </w:abstractNum>
  <w:abstractNum w:abstractNumId="70">
    <w:nsid w:val="9DAF632"/>
    <w:multiLevelType w:val="hybridMultilevel"/>
    <w:lvl w:ilvl="0">
      <w:lvlJc w:val="left"/>
      <w:lvlText w:val="%1"/>
      <w:numFmt w:val="decimal"/>
      <w:start w:val="1"/>
    </w:lvl>
    <w:lvl w:ilvl="1">
      <w:lvlJc w:val="left"/>
      <w:lvlText w:val="(%2)"/>
      <w:numFmt w:val="lowerLetter"/>
      <w:start w:val="1"/>
    </w:lvl>
  </w:abstractNum>
  <w:abstractNum w:abstractNumId="71">
    <w:nsid w:val="53299938"/>
    <w:multiLevelType w:val="hybridMultilevel"/>
    <w:lvl w:ilvl="0">
      <w:lvlJc w:val="left"/>
      <w:lvlText w:val="(%1)"/>
      <w:numFmt w:val="decimal"/>
      <w:start w:val="6"/>
    </w:lvl>
    <w:lvl w:ilvl="1">
      <w:lvlJc w:val="left"/>
      <w:lvlText w:val="%2"/>
      <w:numFmt w:val="lowerLetter"/>
      <w:start w:val="1"/>
    </w:lvl>
  </w:abstractNum>
  <w:abstractNum w:abstractNumId="72">
    <w:nsid w:val="1FBFE8E0"/>
    <w:multiLevelType w:val="hybridMultilevel"/>
    <w:lvl w:ilvl="0">
      <w:lvlJc w:val="left"/>
      <w:lvlText w:val="(%1)"/>
      <w:numFmt w:val="decimal"/>
      <w:start w:val="1"/>
    </w:lvl>
  </w:abstractNum>
  <w:abstractNum w:abstractNumId="73">
    <w:nsid w:val="5092CA79"/>
    <w:multiLevelType w:val="hybridMultilevel"/>
    <w:lvl w:ilvl="0">
      <w:lvlJc w:val="left"/>
      <w:lvlText w:val="(%1)"/>
      <w:numFmt w:val="decimal"/>
      <w:start w:val="5"/>
    </w:lvl>
  </w:abstractNum>
  <w:abstractNum w:abstractNumId="74">
    <w:nsid w:val="1D545C4D"/>
    <w:multiLevelType w:val="hybridMultilevel"/>
    <w:lvl w:ilvl="0">
      <w:lvlJc w:val="left"/>
      <w:lvlText w:val="(%1)"/>
      <w:numFmt w:val="decimal"/>
      <w:start w:val="1"/>
    </w:lvl>
  </w:abstractNum>
  <w:abstractNum w:abstractNumId="75">
    <w:nsid w:val="59ADEA3D"/>
    <w:multiLevelType w:val="hybridMultilevel"/>
    <w:lvl w:ilvl="0">
      <w:lvlJc w:val="left"/>
      <w:lvlText w:val="%1."/>
      <w:numFmt w:val="decimal"/>
      <w:start w:val="13"/>
    </w:lvl>
    <w:lvl w:ilvl="1">
      <w:lvlJc w:val="left"/>
      <w:lvlText w:val="(%2)"/>
      <w:numFmt w:val="lowerLetter"/>
      <w:start w:val="1"/>
    </w:lvl>
  </w:abstractNum>
  <w:abstractNum w:abstractNumId="76">
    <w:nsid w:val="288F1A34"/>
    <w:multiLevelType w:val="hybridMultilevel"/>
    <w:lvl w:ilvl="0">
      <w:lvlJc w:val="left"/>
      <w:lvlText w:val="(%1)"/>
      <w:numFmt w:val="decimal"/>
      <w:start w:val="1"/>
    </w:lvl>
  </w:abstractNum>
  <w:abstractNum w:abstractNumId="77">
    <w:nsid w:val="2A155DBC"/>
    <w:multiLevelType w:val="hybridMultilevel"/>
    <w:lvl w:ilvl="0">
      <w:lvlJc w:val="left"/>
      <w:lvlText w:val="(%1)"/>
      <w:numFmt w:val="decimal"/>
      <w:start w:val="4"/>
    </w:lvl>
  </w:abstractNum>
  <w:abstractNum w:abstractNumId="78">
    <w:nsid w:val="1D9F6E5F"/>
    <w:multiLevelType w:val="hybridMultilevel"/>
    <w:lvl w:ilvl="0">
      <w:lvlJc w:val="left"/>
      <w:lvlText w:val="(%1)"/>
      <w:numFmt w:val="decimal"/>
      <w:start w:val="1"/>
    </w:lvl>
  </w:abstractNum>
  <w:abstractNum w:abstractNumId="79">
    <w:nsid w:val="97E1B4E"/>
    <w:multiLevelType w:val="hybridMultilevel"/>
    <w:lvl w:ilvl="0">
      <w:lvlJc w:val="left"/>
      <w:lvlText w:val="(%1)"/>
      <w:numFmt w:val="decimal"/>
      <w:start w:val="1"/>
    </w:lvl>
  </w:abstractNum>
  <w:abstractNum w:abstractNumId="80">
    <w:nsid w:val="51088277"/>
    <w:multiLevelType w:val="hybridMultilevel"/>
    <w:lvl w:ilvl="0">
      <w:lvlJc w:val="left"/>
      <w:lvlText w:val="%1."/>
      <w:numFmt w:val="decimal"/>
      <w:start w:val="14"/>
    </w:lvl>
    <w:lvl w:ilvl="1">
      <w:lvlJc w:val="left"/>
      <w:lvlText w:val="(%2)"/>
      <w:numFmt w:val="lowerLetter"/>
      <w:start w:val="1"/>
    </w:lvl>
  </w:abstractNum>
  <w:abstractNum w:abstractNumId="81">
    <w:nsid w:val="1CA0C5FA"/>
    <w:multiLevelType w:val="hybridMultilevel"/>
    <w:lvl w:ilvl="0">
      <w:lvlJc w:val="left"/>
      <w:lvlText w:val="(%1)"/>
      <w:numFmt w:val="decimal"/>
      <w:start w:val="1"/>
    </w:lvl>
  </w:abstractNum>
  <w:abstractNum w:abstractNumId="82">
    <w:nsid w:val="53584BCB"/>
    <w:multiLevelType w:val="hybridMultilevel"/>
    <w:lvl w:ilvl="0">
      <w:lvlJc w:val="left"/>
      <w:lvlText w:val="(%1)"/>
      <w:numFmt w:val="decimal"/>
      <w:start w:val="1"/>
    </w:lvl>
  </w:abstractNum>
  <w:abstractNum w:abstractNumId="83">
    <w:nsid w:val="415E286C"/>
    <w:multiLevelType w:val="hybridMultilevel"/>
    <w:lvl w:ilvl="0">
      <w:lvlJc w:val="left"/>
      <w:lvlText w:val="(%1)"/>
      <w:numFmt w:val="decimal"/>
      <w:start w:val="7"/>
    </w:lvl>
  </w:abstractNum>
  <w:abstractNum w:abstractNumId="84">
    <w:nsid w:val="7C58FD05"/>
    <w:multiLevelType w:val="hybridMultilevel"/>
    <w:lvl w:ilvl="0">
      <w:lvlJc w:val="left"/>
      <w:lvlText w:val="(%1)"/>
      <w:numFmt w:val="decimal"/>
      <w:start w:val="1"/>
    </w:lvl>
  </w:abstractNum>
  <w:abstractNum w:abstractNumId="85">
    <w:nsid w:val="23D86AAC"/>
    <w:multiLevelType w:val="hybridMultilevel"/>
    <w:lvl w:ilvl="0">
      <w:lvlJc w:val="left"/>
      <w:lvlText w:val="(%1)"/>
      <w:numFmt w:val="decimal"/>
      <w:start w:val="1"/>
    </w:lvl>
  </w:abstractNum>
  <w:abstractNum w:abstractNumId="86">
    <w:nsid w:val="45E6D486"/>
    <w:multiLevelType w:val="hybridMultilevel"/>
    <w:lvl w:ilvl="0">
      <w:lvlJc w:val="left"/>
      <w:lvlText w:val="(%1)"/>
      <w:numFmt w:val="decimal"/>
      <w:start w:val="1"/>
    </w:lvl>
  </w:abstractNum>
  <w:abstractNum w:abstractNumId="87">
    <w:nsid w:val="5C10FE21"/>
    <w:multiLevelType w:val="hybridMultilevel"/>
    <w:lvl w:ilvl="0">
      <w:lvlJc w:val="left"/>
      <w:lvlText w:val="(%1)"/>
      <w:numFmt w:val="decimal"/>
      <w:start w:val="1"/>
    </w:lvl>
  </w:abstractNum>
  <w:abstractNum w:abstractNumId="88">
    <w:nsid w:val="E7FFA2B"/>
    <w:multiLevelType w:val="hybridMultilevel"/>
    <w:lvl w:ilvl="0">
      <w:lvlJc w:val="left"/>
      <w:lvlText w:val="(%1)"/>
      <w:numFmt w:val="decimal"/>
      <w:start w:val="3"/>
    </w:lvl>
  </w:abstractNum>
  <w:abstractNum w:abstractNumId="89">
    <w:nsid w:val="3C5991AA"/>
    <w:multiLevelType w:val="hybridMultilevel"/>
    <w:lvl w:ilvl="0">
      <w:lvlJc w:val="left"/>
      <w:lvlText w:val="%1"/>
      <w:numFmt w:val="decimal"/>
      <w:start w:val="101"/>
    </w:lvl>
  </w:abstractNum>
  <w:abstractNum w:abstractNumId="90">
    <w:nsid w:val="4BD8591A"/>
    <w:multiLevelType w:val="hybridMultilevel"/>
    <w:lvl w:ilvl="0">
      <w:lvlJc w:val="left"/>
      <w:lvlText w:val="%1"/>
      <w:numFmt w:val="decimal"/>
      <w:start w:val="104"/>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
      <w:numFmt w:val="bullet"/>
      <w:start w:val="1"/>
    </w:lvl>
  </w:abstractNum>
  <w:abstractNum w:abstractNumId="93">
    <w:nsid w:val="2B0D8DBE"/>
    <w:multiLevelType w:val="hybridMultilevel"/>
    <w:lvl w:ilvl="0">
      <w:lvlJc w:val="left"/>
      <w:lvlText w:val="•"/>
      <w:numFmt w:val="bullet"/>
      <w:start w:val="1"/>
    </w:lvl>
  </w:abstractNum>
  <w:abstractNum w:abstractNumId="94">
    <w:nsid w:val="6C80EC70"/>
    <w:multiLevelType w:val="hybridMultilevel"/>
    <w:lvl w:ilvl="0">
      <w:lvlJc w:val="left"/>
      <w:lvlText w:val="•"/>
      <w:numFmt w:val="bullet"/>
      <w:start w:val="1"/>
    </w:lvl>
  </w:abstractNum>
  <w:abstractNum w:abstractNumId="95">
    <w:nsid w:val="379E21B5"/>
    <w:multiLevelType w:val="hybridMultilevel"/>
    <w:lvl w:ilvl="0">
      <w:lvlJc w:val="left"/>
      <w:lvlText w:val="•"/>
      <w:numFmt w:val="bullet"/>
      <w:start w:val="1"/>
    </w:lvl>
  </w:abstractNum>
  <w:abstractNum w:abstractNumId="96">
    <w:nsid w:val="69E373"/>
    <w:multiLevelType w:val="hybridMultilevel"/>
    <w:lvl w:ilvl="0">
      <w:lvlJc w:val="left"/>
      <w:lvlText w:val="•"/>
      <w:numFmt w:val="bullet"/>
      <w:start w:val="1"/>
    </w:lvl>
  </w:abstractNum>
  <w:abstractNum w:abstractNumId="97">
    <w:nsid w:val="2C27173B"/>
    <w:multiLevelType w:val="hybridMultilevel"/>
    <w:lvl w:ilvl="0">
      <w:lvlJc w:val="left"/>
      <w:lvlText w:val="(%1)"/>
      <w:numFmt w:val="lowerRoman"/>
      <w:start w:val="10"/>
    </w:lvl>
  </w:abstractNum>
  <w:abstractNum w:abstractNumId="98">
    <w:nsid w:val="4C9B0904"/>
    <w:multiLevelType w:val="hybridMultilevel"/>
    <w:lvl w:ilvl="0">
      <w:lvlJc w:val="left"/>
      <w:lvlText w:val="•"/>
      <w:numFmt w:val="bullet"/>
      <w:start w:val="1"/>
    </w:lvl>
  </w:abstractNum>
  <w:abstractNum w:abstractNumId="99">
    <w:nsid w:val="6AA7B75C"/>
    <w:multiLevelType w:val="hybridMultilevel"/>
    <w:lvl w:ilvl="0">
      <w:lvlJc w:val="left"/>
      <w:lvlText w:val="•"/>
      <w:numFmt w:val="bullet"/>
      <w:start w:val="1"/>
    </w:lvl>
  </w:abstractNum>
  <w:abstractNum w:abstractNumId="100">
    <w:nsid w:val="1DF029D3"/>
    <w:multiLevelType w:val="hybridMultilevel"/>
    <w:lvl w:ilvl="0">
      <w:lvlJc w:val="left"/>
      <w:lvlText w:val="(%1)"/>
      <w:numFmt w:val="lowerRoman"/>
      <w:start w:val="10"/>
    </w:lvl>
  </w:abstractNum>
  <w:abstractNum w:abstractNumId="101">
    <w:nsid w:val="5675FF36"/>
    <w:multiLevelType w:val="hybridMultilevel"/>
    <w:lvl w:ilvl="0">
      <w:lvlJc w:val="left"/>
      <w:lvlText w:val="•"/>
      <w:numFmt w:val="bullet"/>
      <w:start w:val="1"/>
    </w:lvl>
  </w:abstractNum>
  <w:abstractNum w:abstractNumId="102">
    <w:nsid w:val="3DD15094"/>
    <w:multiLevelType w:val="hybridMultilevel"/>
    <w:lvl w:ilvl="0">
      <w:lvlJc w:val="left"/>
      <w:lvlText w:val="•"/>
      <w:numFmt w:val="bullet"/>
      <w:start w:val="1"/>
    </w:lvl>
  </w:abstractNum>
  <w:abstractNum w:abstractNumId="103">
    <w:nsid w:val="3DB012B3"/>
    <w:multiLevelType w:val="hybridMultilevel"/>
    <w:lvl w:ilvl="0">
      <w:lvlJc w:val="left"/>
      <w:lvlText w:val="•"/>
      <w:numFmt w:val="bullet"/>
      <w:start w:val="1"/>
    </w:lvl>
  </w:abstractNum>
  <w:abstractNum w:abstractNumId="104">
    <w:nsid w:val="2708C9AF"/>
    <w:multiLevelType w:val="hybridMultilevel"/>
    <w:lvl w:ilvl="0">
      <w:lvlJc w:val="left"/>
      <w:lvlText w:val="(%1)"/>
      <w:numFmt w:val="lowerRoman"/>
      <w:start w:val="10"/>
    </w:lvl>
  </w:abstractNum>
  <w:abstractNum w:abstractNumId="105">
    <w:nsid w:val="5B25ACE2"/>
    <w:multiLevelType w:val="hybridMultilevel"/>
    <w:lvl w:ilvl="0">
      <w:lvlJc w:val="left"/>
      <w:lvlText w:val="•"/>
      <w:numFmt w:val="bullet"/>
      <w:start w:val="1"/>
    </w:lvl>
  </w:abstractNum>
  <w:abstractNum w:abstractNumId="106">
    <w:nsid w:val="175DFCF0"/>
    <w:multiLevelType w:val="hybridMultilevel"/>
    <w:lvl w:ilvl="0">
      <w:lvlJc w:val="left"/>
      <w:lvlText w:val="(%1)"/>
      <w:numFmt w:val="decimal"/>
      <w:start w:val="1"/>
    </w:lvl>
  </w:abstractNum>
  <w:abstractNum w:abstractNumId="107">
    <w:nsid w:val="4F97E3E4"/>
    <w:multiLevelType w:val="hybridMultilevel"/>
    <w:lvl w:ilvl="0">
      <w:lvlJc w:val="left"/>
      <w:lvlText w:val="%1."/>
      <w:numFmt w:val="decimal"/>
      <w:start w:val="1"/>
    </w:lvl>
  </w:abstractNum>
  <w:abstractNum w:abstractNumId="108">
    <w:nsid w:val="53B0A9E"/>
    <w:multiLevelType w:val="hybridMultilevel"/>
    <w:lvl w:ilvl="0">
      <w:lvlJc w:val="left"/>
      <w:lvlText w:val="%1"/>
      <w:numFmt w:val="decimal"/>
      <w:start w:val="1"/>
    </w:lvl>
    <w:lvl w:ilvl="1">
      <w:lvlJc w:val="left"/>
      <w:lvlText w:val="(%2)"/>
      <w:numFmt w:val="upperLetter"/>
      <w:start w:val="2"/>
    </w:lvl>
  </w:abstractNum>
  <w:abstractNum w:abstractNumId="109">
    <w:nsid w:val="34FD6B4F"/>
    <w:multiLevelType w:val="hybridMultilevel"/>
    <w:lvl w:ilvl="0">
      <w:lvlJc w:val="left"/>
      <w:lvlText w:val="%1."/>
      <w:numFmt w:val="decimal"/>
      <w:start w:val="2"/>
    </w:lvl>
    <w:lvl w:ilvl="1">
      <w:lvlJc w:val="left"/>
      <w:lvlText w:val="%2"/>
      <w:numFmt w:val="upperLetter"/>
      <w:start w:val="1"/>
    </w:lvl>
  </w:abstractNum>
  <w:abstractNum w:abstractNumId="110">
    <w:nsid w:val="5915FF32"/>
    <w:multiLevelType w:val="hybridMultilevel"/>
    <w:lvl w:ilvl="0">
      <w:lvlJc w:val="left"/>
      <w:lvlText w:val="%1."/>
      <w:numFmt w:val="decimal"/>
      <w:start w:val="3"/>
    </w:lvl>
  </w:abstractNum>
  <w:abstractNum w:abstractNumId="111">
    <w:nsid w:val="56438D15"/>
    <w:multiLevelType w:val="hybridMultilevel"/>
    <w:lvl w:ilvl="0">
      <w:lvlJc w:val="left"/>
      <w:lvlText w:val="(%1)"/>
      <w:numFmt w:val="lowerLetter"/>
      <w:start w:val="1"/>
    </w:lvl>
  </w:abstractNum>
  <w:abstractNum w:abstractNumId="112">
    <w:nsid w:val="519E3149"/>
    <w:multiLevelType w:val="hybridMultilevel"/>
    <w:lvl w:ilvl="0">
      <w:lvlJc w:val="left"/>
      <w:lvlText w:val="(%1)"/>
      <w:numFmt w:val="lowerLetter"/>
      <w:start w:val="2"/>
    </w:lvl>
  </w:abstractNum>
  <w:abstractNum w:abstractNumId="113">
    <w:nsid w:val="2C6E4AFD"/>
    <w:multiLevelType w:val="hybridMultilevel"/>
    <w:lvl w:ilvl="0">
      <w:lvlJc w:val="left"/>
      <w:lvlText w:val="(%1)"/>
      <w:numFmt w:val="lowerLetter"/>
      <w:start w:val="6"/>
    </w:lvl>
  </w:abstractNum>
  <w:abstractNum w:abstractNumId="114">
    <w:nsid w:val="17A1B582"/>
    <w:multiLevelType w:val="hybridMultilevel"/>
    <w:lvl w:ilvl="0">
      <w:lvlJc w:val="left"/>
      <w:lvlText w:val="(%1)"/>
      <w:numFmt w:val="lowerLetter"/>
      <w:start w:val="2"/>
    </w:lvl>
  </w:abstractNum>
  <w:abstractNum w:abstractNumId="115">
    <w:nsid w:val="4DF72E4E"/>
    <w:multiLevelType w:val="hybridMultilevel"/>
    <w:lvl w:ilvl="0">
      <w:lvlJc w:val="left"/>
      <w:lvlText w:val="(%1)"/>
      <w:numFmt w:val="lowerRoman"/>
      <w:start w:val="2"/>
    </w:lvl>
  </w:abstractNum>
  <w:abstractNum w:abstractNumId="116">
    <w:nsid w:val="5046B5A9"/>
    <w:multiLevelType w:val="hybridMultilevel"/>
    <w:lvl w:ilvl="0">
      <w:lvlJc w:val="left"/>
      <w:lvlText w:val="(%1)"/>
      <w:numFmt w:val="lowerLetter"/>
      <w:start w:val="1"/>
    </w:lvl>
  </w:abstractNum>
  <w:abstractNum w:abstractNumId="117">
    <w:nsid w:val="5D888A08"/>
    <w:multiLevelType w:val="hybridMultilevel"/>
    <w:lvl w:ilvl="0">
      <w:lvlJc w:val="left"/>
      <w:lvlText w:val="(%1)"/>
      <w:numFmt w:val="lowerLetter"/>
      <w:start w:val="1"/>
    </w:lvl>
  </w:abstractNum>
  <w:abstractNum w:abstractNumId="118">
    <w:nsid w:val="2A082C70"/>
    <w:multiLevelType w:val="hybridMultilevel"/>
    <w:lvl w:ilvl="0">
      <w:lvlJc w:val="left"/>
      <w:lvlText w:val="(%1)"/>
      <w:numFmt w:val="lowerLetter"/>
      <w:start w:val="1"/>
    </w:lvl>
  </w:abstractNum>
  <w:abstractNum w:abstractNumId="119">
    <w:nsid w:val="5EC6AFD4"/>
    <w:multiLevelType w:val="hybridMultilevel"/>
    <w:lvl w:ilvl="0">
      <w:lvlJc w:val="left"/>
      <w:lvlText w:val="(%1)"/>
      <w:numFmt w:val="lowerLetter"/>
      <w:start w:val="1"/>
    </w:lvl>
  </w:abstractNum>
  <w:abstractNum w:abstractNumId="120">
    <w:nsid w:val="19E21BB2"/>
    <w:multiLevelType w:val="hybridMultilevel"/>
    <w:lvl w:ilvl="0">
      <w:lvlJc w:val="left"/>
      <w:lvlText w:val="(%1)"/>
      <w:numFmt w:val="lowerLetter"/>
      <w:start w:val="2"/>
    </w:lvl>
  </w:abstractNum>
  <w:abstractNum w:abstractNumId="121">
    <w:nsid w:val="75E0858A"/>
    <w:multiLevelType w:val="hybridMultilevel"/>
    <w:lvl w:ilvl="0">
      <w:lvlJc w:val="left"/>
      <w:lvlText w:val="(%1)"/>
      <w:numFmt w:val="lowerLetter"/>
      <w:start w:val="1"/>
    </w:lvl>
  </w:abstractNum>
  <w:abstractNum w:abstractNumId="122">
    <w:nsid w:val="57A61A29"/>
    <w:multiLevelType w:val="hybridMultilevel"/>
    <w:lvl w:ilvl="0">
      <w:lvlJc w:val="left"/>
      <w:lvlText w:val="(%1)"/>
      <w:numFmt w:val="lowerLetter"/>
      <w:start w:val="3"/>
    </w:lvl>
  </w:abstractNum>
  <w:abstractNum w:abstractNumId="123">
    <w:nsid w:val="5399C654"/>
    <w:multiLevelType w:val="hybridMultilevel"/>
    <w:lvl w:ilvl="0">
      <w:lvlJc w:val="left"/>
      <w:lvlText w:val="(%1)"/>
      <w:numFmt w:val="lowerLetter"/>
      <w:start w:val="1"/>
    </w:lvl>
  </w:abstractNum>
  <w:abstractNum w:abstractNumId="124">
    <w:nsid w:val="20EE1348"/>
    <w:multiLevelType w:val="hybridMultilevel"/>
    <w:lvl w:ilvl="0">
      <w:lvlJc w:val="left"/>
      <w:lvlText w:val="(%1)"/>
      <w:numFmt w:val="lowerLetter"/>
      <w:start w:val="3"/>
    </w:lvl>
  </w:abstractNum>
  <w:abstractNum w:abstractNumId="125">
    <w:nsid w:val="4427069A"/>
    <w:multiLevelType w:val="hybridMultilevel"/>
    <w:lvl w:ilvl="0">
      <w:lvlJc w:val="left"/>
      <w:lvlText w:val="(%1)"/>
      <w:numFmt w:val="lowerLetter"/>
      <w:start w:val="1"/>
    </w:lvl>
  </w:abstractNum>
  <w:abstractNum w:abstractNumId="126">
    <w:nsid w:val="B37E80A"/>
    <w:multiLevelType w:val="hybridMultilevel"/>
    <w:lvl w:ilvl="0">
      <w:lvlJc w:val="left"/>
      <w:lvlText w:val="(%1)"/>
      <w:numFmt w:val="lowerLetter"/>
      <w:start w:val="1"/>
    </w:lvl>
  </w:abstractNum>
  <w:abstractNum w:abstractNumId="127">
    <w:nsid w:val="2157F6BC"/>
    <w:multiLevelType w:val="hybridMultilevel"/>
    <w:lvl w:ilvl="0">
      <w:lvlJc w:val="left"/>
      <w:lvlText w:val="(%1)"/>
      <w:numFmt w:val="lowerLetter"/>
      <w:start w:val="1"/>
    </w:lvl>
  </w:abstractNum>
  <w:abstractNum w:abstractNumId="128">
    <w:nsid w:val="704E1DD5"/>
    <w:multiLevelType w:val="hybridMultilevel"/>
    <w:lvl w:ilvl="0">
      <w:lvlJc w:val="left"/>
      <w:lvlText w:val="(%1)"/>
      <w:numFmt w:val="lowerLetter"/>
      <w:start w:val="1"/>
    </w:lvl>
  </w:abstractNum>
  <w:abstractNum w:abstractNumId="129">
    <w:nsid w:val="57D2F10E"/>
    <w:multiLevelType w:val="hybridMultilevel"/>
    <w:lvl w:ilvl="0">
      <w:lvlJc w:val="left"/>
      <w:lvlText w:val="(%1)"/>
      <w:numFmt w:val="lowerLetter"/>
      <w:start w:val="1"/>
    </w:lvl>
  </w:abstractNum>
  <w:abstractNum w:abstractNumId="130">
    <w:nsid w:val="BFFAE18"/>
    <w:multiLevelType w:val="hybridMultilevel"/>
    <w:lvl w:ilvl="0">
      <w:lvlJc w:val="left"/>
      <w:lvlText w:val="(%1)"/>
      <w:numFmt w:val="lowerRoman"/>
      <w:start w:val="1"/>
    </w:lvl>
  </w:abstractNum>
  <w:abstractNum w:abstractNumId="131">
    <w:nsid w:val="E3E47A8"/>
    <w:multiLevelType w:val="hybridMultilevel"/>
    <w:lvl w:ilvl="0">
      <w:lvlJc w:val="left"/>
      <w:lvlText w:val="%1."/>
      <w:numFmt w:val="decimal"/>
      <w:start w:val="1"/>
    </w:lvl>
    <w:lvl w:ilvl="1">
      <w:lvlJc w:val="left"/>
      <w:lvlText w:val="%2)"/>
      <w:numFmt w:val="lowerLetter"/>
      <w:start w:val="1"/>
    </w:lvl>
  </w:abstractNum>
  <w:abstractNum w:abstractNumId="132">
    <w:nsid w:val="2E48F044"/>
    <w:multiLevelType w:val="hybridMultilevel"/>
    <w:lvl w:ilvl="0">
      <w:lvlJc w:val="left"/>
      <w:lvlText w:val="%1."/>
      <w:numFmt w:val="decimal"/>
      <w:start w:val="1"/>
    </w:lvl>
    <w:lvl w:ilvl="1">
      <w:lvlJc w:val="left"/>
      <w:lvlText w:val="%2)"/>
      <w:numFmt w:val="lowerLetter"/>
      <w:start w:val="1"/>
    </w:lvl>
  </w:abstractNum>
  <w:abstractNum w:abstractNumId="133">
    <w:nsid w:val="49D0FEAC"/>
    <w:multiLevelType w:val="hybridMultilevel"/>
    <w:lvl w:ilvl="0">
      <w:lvlJc w:val="left"/>
      <w:lvlText w:val="%1."/>
      <w:numFmt w:val="decimal"/>
      <w:start w:val="1"/>
    </w:lvl>
    <w:lvl w:ilvl="1">
      <w:lvlJc w:val="left"/>
      <w:lvlText w:val="%2)"/>
      <w:numFmt w:val="lowerLetter"/>
      <w:start w:val="1"/>
    </w:lvl>
  </w:abstractNum>
  <w:abstractNum w:abstractNumId="134">
    <w:nsid w:val="4BEE5A5B"/>
    <w:multiLevelType w:val="hybridMultilevel"/>
    <w:lvl w:ilvl="0">
      <w:lvlJc w:val="left"/>
      <w:lvlText w:val="%1."/>
      <w:numFmt w:val="decimal"/>
      <w:start w:val="1"/>
    </w:lvl>
    <w:lvl w:ilvl="1">
      <w:lvlJc w:val="left"/>
      <w:lvlText w:val="%2)"/>
      <w:numFmt w:val="lowerLetter"/>
      <w:start w:val="1"/>
    </w:lvl>
  </w:abstractNum>
  <w:abstractNum w:abstractNumId="135">
    <w:nsid w:val="5551B9F3"/>
    <w:multiLevelType w:val="hybridMultilevel"/>
    <w:lvl w:ilvl="0">
      <w:lvlJc w:val="left"/>
      <w:lvlText w:val="(%1)"/>
      <w:numFmt w:val="lowerRoman"/>
      <w:start w:val="1"/>
    </w:lvl>
  </w:abstractNum>
  <w:abstractNum w:abstractNumId="136">
    <w:nsid w:val="24F6AB8E"/>
    <w:multiLevelType w:val="hybridMultilevel"/>
    <w:lvl w:ilvl="0">
      <w:lvlJc w:val="left"/>
      <w:lvlText w:val="(%1)"/>
      <w:numFmt w:val="lowerRoman"/>
      <w:start w:val="1"/>
    </w:lvl>
  </w:abstractNum>
  <w:abstractNum w:abstractNumId="137">
    <w:nsid w:val="634C574C"/>
    <w:multiLevelType w:val="hybridMultilevel"/>
    <w:lvl w:ilvl="0">
      <w:lvlJc w:val="left"/>
      <w:lvlText w:val="(%1)"/>
      <w:numFmt w:val="lowerRoman"/>
      <w:start w:val="1"/>
    </w:lvl>
  </w:abstractNum>
  <w:abstractNum w:abstractNumId="138">
    <w:nsid w:val="24E99DD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42" Type="http://schemas.openxmlformats.org/officeDocument/2006/relationships/image" Target="media/image206.png"/><Relationship Id="rId286" Type="http://schemas.openxmlformats.org/officeDocument/2006/relationships/image" Target="media/image207.png"/><Relationship Id="rId295" Type="http://schemas.openxmlformats.org/officeDocument/2006/relationships/image" Target="media/image208.png"/><Relationship Id="rId312" Type="http://schemas.openxmlformats.org/officeDocument/2006/relationships/image" Target="media/image209.png"/><Relationship Id="rId313" Type="http://schemas.openxmlformats.org/officeDocument/2006/relationships/image" Target="media/image210.png"/><Relationship Id="rId314" Type="http://schemas.openxmlformats.org/officeDocument/2006/relationships/image" Target="media/image211.png"/><Relationship Id="rId315" Type="http://schemas.openxmlformats.org/officeDocument/2006/relationships/image" Target="media/image212.png"/><Relationship Id="rId316" Type="http://schemas.openxmlformats.org/officeDocument/2006/relationships/image" Target="media/image213.png"/><Relationship Id="rId317" Type="http://schemas.openxmlformats.org/officeDocument/2006/relationships/image" Target="media/image214.png"/><Relationship Id="rId318" Type="http://schemas.openxmlformats.org/officeDocument/2006/relationships/image" Target="media/image215.png"/><Relationship Id="rId319" Type="http://schemas.openxmlformats.org/officeDocument/2006/relationships/image" Target="media/image216.png"/><Relationship Id="rId320" Type="http://schemas.openxmlformats.org/officeDocument/2006/relationships/image" Target="media/image217.png"/><Relationship Id="rId321" Type="http://schemas.openxmlformats.org/officeDocument/2006/relationships/image" Target="media/image218.png"/><Relationship Id="rId322" Type="http://schemas.openxmlformats.org/officeDocument/2006/relationships/image" Target="media/image219.png"/><Relationship Id="rId323" Type="http://schemas.openxmlformats.org/officeDocument/2006/relationships/image" Target="media/image220.png"/><Relationship Id="rId324" Type="http://schemas.openxmlformats.org/officeDocument/2006/relationships/image" Target="media/image221.png"/><Relationship Id="rId325" Type="http://schemas.openxmlformats.org/officeDocument/2006/relationships/image" Target="media/image222.png"/><Relationship Id="rId326" Type="http://schemas.openxmlformats.org/officeDocument/2006/relationships/image" Target="media/image223.png"/><Relationship Id="rId327" Type="http://schemas.openxmlformats.org/officeDocument/2006/relationships/image" Target="media/image224.png"/><Relationship Id="rId328" Type="http://schemas.openxmlformats.org/officeDocument/2006/relationships/image" Target="media/image225.png"/><Relationship Id="rId329" Type="http://schemas.openxmlformats.org/officeDocument/2006/relationships/image" Target="media/image226.png"/><Relationship Id="rId330" Type="http://schemas.openxmlformats.org/officeDocument/2006/relationships/image" Target="media/image227.png"/><Relationship Id="rId331" Type="http://schemas.openxmlformats.org/officeDocument/2006/relationships/image" Target="media/image228.png"/><Relationship Id="rId332" Type="http://schemas.openxmlformats.org/officeDocument/2006/relationships/image" Target="media/image229.png"/><Relationship Id="rId333" Type="http://schemas.openxmlformats.org/officeDocument/2006/relationships/image" Target="media/image230.png"/><Relationship Id="rId334" Type="http://schemas.openxmlformats.org/officeDocument/2006/relationships/image" Target="media/image231.png"/><Relationship Id="rId335" Type="http://schemas.openxmlformats.org/officeDocument/2006/relationships/image" Target="media/image232.png"/><Relationship Id="rId336" Type="http://schemas.openxmlformats.org/officeDocument/2006/relationships/image" Target="media/image233.png"/><Relationship Id="rId337" Type="http://schemas.openxmlformats.org/officeDocument/2006/relationships/image" Target="media/image234.png"/><Relationship Id="rId338" Type="http://schemas.openxmlformats.org/officeDocument/2006/relationships/image" Target="media/image235.png"/><Relationship Id="rId339" Type="http://schemas.openxmlformats.org/officeDocument/2006/relationships/image" Target="media/image236.png"/><Relationship Id="rId340" Type="http://schemas.openxmlformats.org/officeDocument/2006/relationships/image" Target="media/image237.png"/><Relationship Id="rId341" Type="http://schemas.openxmlformats.org/officeDocument/2006/relationships/image" Target="media/image238.png"/><Relationship Id="rId342" Type="http://schemas.openxmlformats.org/officeDocument/2006/relationships/image" Target="media/image239.png"/><Relationship Id="rId343" Type="http://schemas.openxmlformats.org/officeDocument/2006/relationships/image" Target="media/image240.png"/><Relationship Id="rId344" Type="http://schemas.openxmlformats.org/officeDocument/2006/relationships/image" Target="media/image241.png"/><Relationship Id="rId345" Type="http://schemas.openxmlformats.org/officeDocument/2006/relationships/image" Target="media/image242.png"/><Relationship Id="rId346" Type="http://schemas.openxmlformats.org/officeDocument/2006/relationships/image" Target="media/image243.png"/><Relationship Id="rId347" Type="http://schemas.openxmlformats.org/officeDocument/2006/relationships/image" Target="media/image244.png"/><Relationship Id="rId348" Type="http://schemas.openxmlformats.org/officeDocument/2006/relationships/image" Target="media/image245.png"/><Relationship Id="rId349" Type="http://schemas.openxmlformats.org/officeDocument/2006/relationships/image" Target="media/image246.png"/><Relationship Id="rId350" Type="http://schemas.openxmlformats.org/officeDocument/2006/relationships/image" Target="media/image247.png"/><Relationship Id="rId351" Type="http://schemas.openxmlformats.org/officeDocument/2006/relationships/image" Target="media/image248.png"/><Relationship Id="rId352" Type="http://schemas.openxmlformats.org/officeDocument/2006/relationships/image" Target="media/image249.png"/><Relationship Id="rId353" Type="http://schemas.openxmlformats.org/officeDocument/2006/relationships/image" Target="media/image250.png"/><Relationship Id="rId354" Type="http://schemas.openxmlformats.org/officeDocument/2006/relationships/image" Target="media/image251.png"/><Relationship Id="rId355" Type="http://schemas.openxmlformats.org/officeDocument/2006/relationships/image" Target="media/image252.png"/><Relationship Id="rId356" Type="http://schemas.openxmlformats.org/officeDocument/2006/relationships/image" Target="media/image253.png"/><Relationship Id="rId357" Type="http://schemas.openxmlformats.org/officeDocument/2006/relationships/image" Target="media/image254.png"/><Relationship Id="rId358" Type="http://schemas.openxmlformats.org/officeDocument/2006/relationships/image" Target="media/image255.png"/><Relationship Id="rId359" Type="http://schemas.openxmlformats.org/officeDocument/2006/relationships/image" Target="media/image256.png"/><Relationship Id="rId360" Type="http://schemas.openxmlformats.org/officeDocument/2006/relationships/image" Target="media/image257.png"/><Relationship Id="rId361" Type="http://schemas.openxmlformats.org/officeDocument/2006/relationships/image" Target="media/image258.png"/><Relationship Id="rId362" Type="http://schemas.openxmlformats.org/officeDocument/2006/relationships/image" Target="media/image259.png"/><Relationship Id="rId363" Type="http://schemas.openxmlformats.org/officeDocument/2006/relationships/image" Target="media/image260.png"/><Relationship Id="rId364" Type="http://schemas.openxmlformats.org/officeDocument/2006/relationships/image" Target="media/image261.png"/><Relationship Id="rId365" Type="http://schemas.openxmlformats.org/officeDocument/2006/relationships/image" Target="media/image262.png"/><Relationship Id="rId366" Type="http://schemas.openxmlformats.org/officeDocument/2006/relationships/image" Target="media/image263.png"/><Relationship Id="rId367" Type="http://schemas.openxmlformats.org/officeDocument/2006/relationships/image" Target="media/image264.png"/><Relationship Id="rId368" Type="http://schemas.openxmlformats.org/officeDocument/2006/relationships/image" Target="media/image265.png"/><Relationship Id="rId369" Type="http://schemas.openxmlformats.org/officeDocument/2006/relationships/image" Target="media/image266.png"/><Relationship Id="rId196" Type="http://schemas.openxmlformats.org/officeDocument/2006/relationships/hyperlink" Target="http://www.sec.gov/Archives/edgar/data/1297996/000119312514105146/d662564ddef14a.htm" TargetMode="External"/><Relationship Id="rId214" Type="http://schemas.openxmlformats.org/officeDocument/2006/relationships/hyperlink" Target="https://www.sec.gov/Archives/edgar/data/1297996/000119312520014883/d869197dex21.htm" TargetMode="External"/><Relationship Id="rId215" Type="http://schemas.openxmlformats.org/officeDocument/2006/relationships/hyperlink" Target="https://www.sec.gov/Archives/edgar/data/1297996/000155837020006279/dlr-20200331xex3d1.htm" TargetMode="External"/><Relationship Id="rId216" Type="http://schemas.openxmlformats.org/officeDocument/2006/relationships/hyperlink" Target="http://www.sec.gov/Archives/edgar/data/1297996/000129799619000032/ex302.htm" TargetMode="External"/><Relationship Id="rId217" Type="http://schemas.openxmlformats.org/officeDocument/2006/relationships/hyperlink" Target="http://www.sec.gov/Archives/edgar/data/1494877/000119312510147441/dex31.htm" TargetMode="External"/><Relationship Id="rId218" Type="http://schemas.openxmlformats.org/officeDocument/2006/relationships/hyperlink" Target="http://www.sec.gov/Archives/edgar/data/1297996/000119312519265840/d816342dex31.htm" TargetMode="External"/><Relationship Id="rId219" Type="http://schemas.openxmlformats.org/officeDocument/2006/relationships/hyperlink" Target="http://www.sec.gov/Archives/edgar/data/1297996/000119312504177708/dex41.htm" TargetMode="External"/><Relationship Id="rId220" Type="http://schemas.openxmlformats.org/officeDocument/2006/relationships/hyperlink" Target="http://www.sec.gov/Archives/edgar/data/1297996/000119312504211864/dex102.htm" TargetMode="External"/><Relationship Id="rId221" Type="http://schemas.openxmlformats.org/officeDocument/2006/relationships/hyperlink" Target="http://www.sec.gov/Archives/edgar/data/1297996/000119312511059367/dex41.htm" TargetMode="External"/><Relationship Id="rId222" Type="http://schemas.openxmlformats.org/officeDocument/2006/relationships/hyperlink" Target="http://www.sec.gov/Archives/edgar/data/1297996/000119312512401715/d415285dex41.htm" TargetMode="External"/><Relationship Id="rId223" Type="http://schemas.openxmlformats.org/officeDocument/2006/relationships/hyperlink" Target="http://www.sec.gov/Archives/edgar/data/1297996/000119312512401715/d415285dex42.htm" TargetMode="External"/><Relationship Id="rId224" Type="http://schemas.openxmlformats.org/officeDocument/2006/relationships/hyperlink" Target="http://www.sec.gov/Archives/edgar/data/1297996/000119312513024223/d470403dex41.htm" TargetMode="External"/><Relationship Id="rId225" Type="http://schemas.openxmlformats.org/officeDocument/2006/relationships/hyperlink" Target="http://www.sec.gov/Archives/edgar/data/1297996/000119312513141301/d518592dex41.htm" TargetMode="External"/><Relationship Id="rId226" Type="http://schemas.openxmlformats.org/officeDocument/2006/relationships/hyperlink" Target="http://www.sec.gov/Archives/edgar/data/1297996/000119312514126283/d704944dex41.htm" TargetMode="External"/><Relationship Id="rId227" Type="http://schemas.openxmlformats.org/officeDocument/2006/relationships/hyperlink" Target="http://www.sec.gov/Archives/edgar/data/1297996/000119312515232004/d946856dex41.htm" TargetMode="External"/><Relationship Id="rId228" Type="http://schemas.openxmlformats.org/officeDocument/2006/relationships/hyperlink" Target="http://www.sec.gov/Archives/edgar/data/1297996/000119312515232004/d946856dex42.htm" TargetMode="External"/><Relationship Id="rId229" Type="http://schemas.openxmlformats.org/officeDocument/2006/relationships/hyperlink" Target="http://www.sec.gov/Archives/edgar/data/1297996/000119312515299081/d81584dex41.htm" TargetMode="External"/><Relationship Id="rId230" Type="http://schemas.openxmlformats.org/officeDocument/2006/relationships/hyperlink" Target="http://www.sec.gov/Archives/edgar/data/1297996/000119312515335656/d13464dex41.htm" TargetMode="External"/><Relationship Id="rId231" Type="http://schemas.openxmlformats.org/officeDocument/2006/relationships/hyperlink" Target="http://www.sec.gov/Archives/edgar/data/1297996/000119312515335656/d13464dex42.htm" TargetMode="External"/><Relationship Id="rId232" Type="http://schemas.openxmlformats.org/officeDocument/2006/relationships/hyperlink" Target="http://www.sec.gov/Archives/edgar/data/1297996/000129799616000160/exhibit41indenture.htm" TargetMode="External"/><Relationship Id="rId233" Type="http://schemas.openxmlformats.org/officeDocument/2006/relationships/hyperlink" Target="http://www.sec.gov/Archives/edgar/data/1297996/000119312517251664/d437810dex42.htm" TargetMode="External"/><Relationship Id="rId234" Type="http://schemas.openxmlformats.org/officeDocument/2006/relationships/hyperlink" Target="http://www.sec.gov/Archives/edgar/data/1297996/000119312517285083/d399230dex41.htm" TargetMode="External"/><Relationship Id="rId235" Type="http://schemas.openxmlformats.org/officeDocument/2006/relationships/hyperlink" Target="http://www.sec.gov/Archives/edgar/data/1297996/000119312517285083/d399230dex42.htm" TargetMode="External"/><Relationship Id="rId236" Type="http://schemas.openxmlformats.org/officeDocument/2006/relationships/hyperlink" Target="http://www.sec.gov/Archives/edgar/data/1297996/000129799617000093/ex4x1indenture2024notes.htm" TargetMode="External"/><Relationship Id="rId237" Type="http://schemas.openxmlformats.org/officeDocument/2006/relationships/hyperlink" Target="http://www.sec.gov/Archives/edgar/data/1297996/000129799617000093/ex4x2indenture2029notes.htm" TargetMode="External"/><Relationship Id="rId238" Type="http://schemas.openxmlformats.org/officeDocument/2006/relationships/hyperlink" Target="http://www.sec.gov/Archives/edgar/data/1297996/000119312517283791/d458138dex41.htm" TargetMode="External"/><Relationship Id="rId239" Type="http://schemas.openxmlformats.org/officeDocument/2006/relationships/hyperlink" Target="http://www.sec.gov/Archives/edgar/data/1297996/000119312517248824/d425847dex41.htm" TargetMode="External"/><Relationship Id="rId240" Type="http://schemas.openxmlformats.org/officeDocument/2006/relationships/hyperlink" Target="http://www.sec.gov/Archives/edgar/data/1297996/000119312518199589/d603959dex42.htm" TargetMode="External"/><Relationship Id="rId241" Type="http://schemas.openxmlformats.org/officeDocument/2006/relationships/hyperlink" Target="http://www.sec.gov/Archives/edgar/data/1297996/000119312518302051/d635287dex41.htm" TargetMode="External"/><Relationship Id="rId243" Type="http://schemas.openxmlformats.org/officeDocument/2006/relationships/hyperlink" Target="http://www.sec.gov/Archives/edgar/data/1297996/000119312519010596/d667184dex41.htm" TargetMode="External"/><Relationship Id="rId244" Type="http://schemas.openxmlformats.org/officeDocument/2006/relationships/hyperlink" Target="http://www.sec.gov/Archives/edgar/data/1297996/000119312519072090/d721065dex41.htm" TargetMode="External"/><Relationship Id="rId245" Type="http://schemas.openxmlformats.org/officeDocument/2006/relationships/hyperlink" Target="http://www.sec.gov/Archives/edgar/data/1297996/000119312519173689/d764945dex42.htm" TargetMode="External"/><Relationship Id="rId246" Type="http://schemas.openxmlformats.org/officeDocument/2006/relationships/hyperlink" Target="http://www.sec.gov/Archives/edgar/data/1297996/000119312519265150/d810248dex41.htm" TargetMode="External"/><Relationship Id="rId247" Type="http://schemas.openxmlformats.org/officeDocument/2006/relationships/hyperlink" Target="http://www.sec.gov/Archives/edgar/data/1297996/000119312519265151/d810964dex41.htm" TargetMode="External"/><Relationship Id="rId248" Type="http://schemas.openxmlformats.org/officeDocument/2006/relationships/hyperlink" Target="https://www.sec.gov/Archives/edgar/data/1297996/000119312520010051/d849609dex41.htm" TargetMode="External"/><Relationship Id="rId249" Type="http://schemas.openxmlformats.org/officeDocument/2006/relationships/hyperlink" Target="https://www.sec.gov/Archives/edgar/data/1297996/000119312520010051/d849609dex42.htm" TargetMode="External"/><Relationship Id="rId250" Type="http://schemas.openxmlformats.org/officeDocument/2006/relationships/hyperlink" Target="https://www.sec.gov/Archives/edgar/data/1297996/000119312520010051/d849609dex43.htm" TargetMode="External"/><Relationship Id="rId251" Type="http://schemas.openxmlformats.org/officeDocument/2006/relationships/hyperlink" Target="https://www.sec.gov/Archives/edgar/data/1297996/000119312520180970/d947968dex41.htm" TargetMode="External"/><Relationship Id="rId252" Type="http://schemas.openxmlformats.org/officeDocument/2006/relationships/hyperlink" Target="https://www.sec.gov/Archives/edgar/data/1297996/000119312520252362/d34521dex41.htm" TargetMode="External"/><Relationship Id="rId253" Type="http://schemas.openxmlformats.org/officeDocument/2006/relationships/hyperlink" Target="https://www.sec.gov/Archives/edgar/data/1297996/000119312520252362/d34521dex42.htm" TargetMode="External"/><Relationship Id="rId254" Type="http://schemas.openxmlformats.org/officeDocument/2006/relationships/hyperlink" Target="http://www.sec.gov/Archives/edgar/data/1297996/000119312504170454/dex104.htm" TargetMode="External"/><Relationship Id="rId255" Type="http://schemas.openxmlformats.org/officeDocument/2006/relationships/hyperlink" Target="http://www.sec.gov/Archives/edgar/data/1297996/000119312504157799/dex1012.htm" TargetMode="External"/><Relationship Id="rId256" Type="http://schemas.openxmlformats.org/officeDocument/2006/relationships/hyperlink" Target="http://www.sec.gov/Archives/edgar/data/1297996/000119312504211864/dex1044.htm" TargetMode="External"/><Relationship Id="rId257" Type="http://schemas.openxmlformats.org/officeDocument/2006/relationships/hyperlink" Target="http://www.sec.gov/Archives/edgar/data/1297996/000119312504211864/dex1045.htm" TargetMode="External"/><Relationship Id="rId258" Type="http://schemas.openxmlformats.org/officeDocument/2006/relationships/hyperlink" Target="http://www.sec.gov/Archives/edgar/data/1297996/000119312507176068/dex101.htm" TargetMode="External"/><Relationship Id="rId259" Type="http://schemas.openxmlformats.org/officeDocument/2006/relationships/hyperlink" Target="http://www.sec.gov/Archives/edgar/data/1297996/000119312507070523/ddef14a.htm" TargetMode="External"/><Relationship Id="rId260" Type="http://schemas.openxmlformats.org/officeDocument/2006/relationships/hyperlink" Target="http://www.sec.gov/Archives/edgar/data/1297996/000119312508109829/dex103.htm" TargetMode="External"/><Relationship Id="rId261" Type="http://schemas.openxmlformats.org/officeDocument/2006/relationships/hyperlink" Target="http://www.sec.gov/Archives/edgar/data/1297996/000119312508109829/dex104.htm" TargetMode="External"/><Relationship Id="rId262" Type="http://schemas.openxmlformats.org/officeDocument/2006/relationships/hyperlink" Target="http://www.sec.gov/Archives/edgar/data/1297996/000119312509167347/dex104.htm" TargetMode="External"/><Relationship Id="rId263" Type="http://schemas.openxmlformats.org/officeDocument/2006/relationships/hyperlink" Target="http://www.sec.gov/Archives/edgar/data/1297996/000119312509229492/dex101.htm" TargetMode="External"/><Relationship Id="rId264" Type="http://schemas.openxmlformats.org/officeDocument/2006/relationships/hyperlink" Target="http://www.sec.gov/Archives/edgar/data/1297996/000119312512341197/d380116dex101.htm" TargetMode="External"/><Relationship Id="rId265" Type="http://schemas.openxmlformats.org/officeDocument/2006/relationships/hyperlink" Target="http://www.sec.gov/Archives/edgar/data/1297996/000129799615000010/dlr10kex1046.htm" TargetMode="External"/><Relationship Id="rId266" Type="http://schemas.openxmlformats.org/officeDocument/2006/relationships/hyperlink" Target="http://www.sec.gov/Archives/edgar/data/1297996/000129799619000032/ex1020.htm" TargetMode="External"/><Relationship Id="rId267" Type="http://schemas.openxmlformats.org/officeDocument/2006/relationships/hyperlink" Target="http://www.sec.gov/Archives/edgar/data/1297996/000129799619000032/ex1021.htm" TargetMode="External"/><Relationship Id="rId268" Type="http://schemas.openxmlformats.org/officeDocument/2006/relationships/hyperlink" Target="http://www.sec.gov/Archives/edgar/data/1297996/000119312514078397/d681374dex1033.htm" TargetMode="External"/><Relationship Id="rId269" Type="http://schemas.openxmlformats.org/officeDocument/2006/relationships/hyperlink" Target="http://www.sec.gov/Archives/edgar/data/1297996/000129799615000010/dlr10kex1045.htm" TargetMode="External"/><Relationship Id="rId270" Type="http://schemas.openxmlformats.org/officeDocument/2006/relationships/hyperlink" Target="http://www.sec.gov/Archives/edgar/data/1297996/000129799615000092/ex10309302015.htm" TargetMode="External"/><Relationship Id="rId271" Type="http://schemas.openxmlformats.org/officeDocument/2006/relationships/hyperlink" Target="http://www.sec.gov/Archives/edgar/data/1297996/000119312514078397/d681374dex1034.htm" TargetMode="External"/><Relationship Id="rId272" Type="http://schemas.openxmlformats.org/officeDocument/2006/relationships/hyperlink" Target="http://www.sec.gov/Archives/edgar/data/1297996/000119312514078397/d681374dex1035.htm" TargetMode="External"/><Relationship Id="rId273" Type="http://schemas.openxmlformats.org/officeDocument/2006/relationships/hyperlink" Target="http://www.sec.gov/Archives/edgar/data/1297996/000119312514078397/d681374dex1036.htm" TargetMode="External"/><Relationship Id="rId274" Type="http://schemas.openxmlformats.org/officeDocument/2006/relationships/hyperlink" Target="http://www.sec.gov/Archives/edgar/data/1297996/000129799617000020/dlr10kex1023_2016.htm" TargetMode="External"/><Relationship Id="rId275" Type="http://schemas.openxmlformats.org/officeDocument/2006/relationships/hyperlink" Target="http://www.sec.gov/Archives/edgar/data/1297996/000129799618000026/dlr10kex1027_2017.htm" TargetMode="External"/><Relationship Id="rId276" Type="http://schemas.openxmlformats.org/officeDocument/2006/relationships/hyperlink" Target="http://www.sec.gov/Archives/edgar/data/1297996/000129799619000032/ex1030.htm" TargetMode="External"/><Relationship Id="rId277" Type="http://schemas.openxmlformats.org/officeDocument/2006/relationships/hyperlink" Target="http://www.sec.gov/Archives/edgar/data/1297996/000129799619000032/ex1031.htm" TargetMode="External"/><Relationship Id="rId278" Type="http://schemas.openxmlformats.org/officeDocument/2006/relationships/hyperlink" Target="http://www.sec.gov/Archives/edgar/data/1297996/000129799619000032/ex1032.htm" TargetMode="External"/><Relationship Id="rId279" Type="http://schemas.openxmlformats.org/officeDocument/2006/relationships/hyperlink" Target="http://www.sec.gov/Archives/edgar/data/1297996/000119312514300947/d750893dex101.htm" TargetMode="External"/><Relationship Id="rId280" Type="http://schemas.openxmlformats.org/officeDocument/2006/relationships/hyperlink" Target="http://www.sec.gov/Archives/edgar/data/1297996/000144530514004965/ex10109302014.htm" TargetMode="External"/><Relationship Id="rId281" Type="http://schemas.openxmlformats.org/officeDocument/2006/relationships/hyperlink" Target="http://www.sec.gov/Archives/edgar/data/1297996/000129799615000010/dlr10kex1044.htm" TargetMode="External"/><Relationship Id="rId282" Type="http://schemas.openxmlformats.org/officeDocument/2006/relationships/hyperlink" Target="http://www.sec.gov/Archives/edgar/data/1297996/000129799616000268/ex101thirdamendmentto2014p.htm" TargetMode="External"/><Relationship Id="rId283" Type="http://schemas.openxmlformats.org/officeDocument/2006/relationships/hyperlink" Target="http://www.sec.gov/Archives/edgar/data/1297996/000119312517285083/d399230dex101.htm" TargetMode="External"/><Relationship Id="rId284" Type="http://schemas.openxmlformats.org/officeDocument/2006/relationships/hyperlink" Target="http://www.sec.gov/Archives/edgar/data/1297996/000129799619000032/ex1038.htm" TargetMode="External"/><Relationship Id="rId285" Type="http://schemas.openxmlformats.org/officeDocument/2006/relationships/hyperlink" Target="http://www.sec.gov/Archives/edgar/data/1297996/000129799618000114/exhibit101.htm" TargetMode="External"/><Relationship Id="rId287" Type="http://schemas.openxmlformats.org/officeDocument/2006/relationships/hyperlink" Target="http://www.sec.gov/Archives/edgar/data/1297996/000129799619000105/exhibit10106182019.htm" TargetMode="External"/><Relationship Id="rId288" Type="http://schemas.openxmlformats.org/officeDocument/2006/relationships/hyperlink" Target="http://www.sec.gov/Archives/edgar/data/1297996/000129799617000057/ex101millsemploymentagreem.htm" TargetMode="External"/><Relationship Id="rId289" Type="http://schemas.openxmlformats.org/officeDocument/2006/relationships/hyperlink" Target="http://www.sec.gov/Archives/edgar/data/1297996/000129799618000015/ex101.htm" TargetMode="External"/><Relationship Id="rId290" Type="http://schemas.openxmlformats.org/officeDocument/2006/relationships/hyperlink" Target="http://www.sec.gov/Archives/edgar/data/1297996/000129799619000112/ex102cs.htm" TargetMode="External"/><Relationship Id="rId291" Type="http://schemas.openxmlformats.org/officeDocument/2006/relationships/hyperlink" Target="http://www.sec.gov/Archives/edgar/data/1297996/000129799615000073/ex10606302015.htm" TargetMode="External"/><Relationship Id="rId292" Type="http://schemas.openxmlformats.org/officeDocument/2006/relationships/hyperlink" Target="http://www.sec.gov/Archives/edgar/data/1297996/000119312515339457/d57232dex47.htm" TargetMode="External"/><Relationship Id="rId293" Type="http://schemas.openxmlformats.org/officeDocument/2006/relationships/hyperlink" Target="http://www.sec.gov/Archives/edgar/data/1297996/000129799617000020/dlr10kex1039_2016.htm" TargetMode="External"/><Relationship Id="rId294" Type="http://schemas.openxmlformats.org/officeDocument/2006/relationships/hyperlink" Target="http://www.sec.gov/Archives/edgar/data/1297996/000129799619000032/ex1054.htm" TargetMode="External"/><Relationship Id="rId296" Type="http://schemas.openxmlformats.org/officeDocument/2006/relationships/hyperlink" Target="http://www.sec.gov/Archives/edgar/data/1297996/000129799619000032/ex1055.htm" TargetMode="External"/><Relationship Id="rId297" Type="http://schemas.openxmlformats.org/officeDocument/2006/relationships/hyperlink" Target="http://www.sec.gov/Archives/edgar/data/1297996/000129799619000032/ex1056.htm" TargetMode="External"/><Relationship Id="rId298" Type="http://schemas.openxmlformats.org/officeDocument/2006/relationships/hyperlink" Target="http://www.sec.gov/Archives/edgar/data/1297996/000129799619000112/ex103a1.htm" TargetMode="External"/><Relationship Id="rId299" Type="http://schemas.openxmlformats.org/officeDocument/2006/relationships/hyperlink" Target="https://www.sec.gov/Archives/edgar/data/1297996/000155837020001906/ex-10d56.htm" TargetMode="External"/><Relationship Id="rId300" Type="http://schemas.openxmlformats.org/officeDocument/2006/relationships/hyperlink" Target="https://www.sec.gov/Archives/edgar/data/1297996/000155837020006279/dlr-20200331xex10d1.htm" TargetMode="External"/><Relationship Id="rId301" Type="http://schemas.openxmlformats.org/officeDocument/2006/relationships/hyperlink" Target="https://www.sec.gov/Archives/edgar/data/1297996/000155837020006279/dlr-20200331xex10d2.htm" TargetMode="External"/><Relationship Id="rId302" Type="http://schemas.openxmlformats.org/officeDocument/2006/relationships/hyperlink" Target="https://www.sec.gov/Archives/edgar/data/1297996/000155837020006279/dlr-20200331xex10d3.htm" TargetMode="External"/><Relationship Id="rId303" Type="http://schemas.openxmlformats.org/officeDocument/2006/relationships/hyperlink" Target="https://www.sec.gov/Archives/edgar/data/1297996/000155837020006279/dlr-20200331xex10d4.htm" TargetMode="External"/><Relationship Id="rId304" Type="http://schemas.openxmlformats.org/officeDocument/2006/relationships/hyperlink" Target="https://www.sec.gov/Archives/edgar/data/1297996/000155837020006279/dlr-20200331xex10d5.htm" TargetMode="External"/><Relationship Id="rId305" Type="http://schemas.openxmlformats.org/officeDocument/2006/relationships/hyperlink" Target="https://www.sec.gov/Archives/edgar/data/1297996/000155837020006279/dlr-20200331xex10d6.htm" TargetMode="External"/><Relationship Id="rId306" Type="http://schemas.openxmlformats.org/officeDocument/2006/relationships/hyperlink" Target="https://www.sec.gov/Archives/edgar/data/1297996/000155837020006279/dlr-20200331xex10d7.htm" TargetMode="External"/><Relationship Id="rId307" Type="http://schemas.openxmlformats.org/officeDocument/2006/relationships/hyperlink" Target="https://www.sec.gov/Archives/edgar/data/1297996/000155837020006279/dlr-20200331xex10d8.htm" TargetMode="External"/><Relationship Id="rId308" Type="http://schemas.openxmlformats.org/officeDocument/2006/relationships/hyperlink" Target="https://www.sec.gov/Archives/edgar/data/1297996/000155837020006279/dlr-20200331xex10d9.htm" TargetMode="External"/><Relationship Id="rId309" Type="http://schemas.openxmlformats.org/officeDocument/2006/relationships/hyperlink" Target="https://www.sec.gov/Archives/edgar/data/1297996/000155837020006279/dlr-20200331xex10d10.htm" TargetMode="External"/><Relationship Id="rId310" Type="http://schemas.openxmlformats.org/officeDocument/2006/relationships/hyperlink" Target="https://www.sec.gov/Archives/edgar/data/1297996/000119312520067294/d879853dex45.htm" TargetMode="External"/><Relationship Id="rId311" Type="http://schemas.openxmlformats.org/officeDocument/2006/relationships/hyperlink" Target="https://www.sec.gov/Archives/edgar/data/1297996/000119312520067294/d87985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2021-03-01T16:40:13Z</dcterms:created>
  <dcterms:modified xsi:type="dcterms:W3CDTF">2021-03-01T16:40:13Z</dcterms:modified>
</cp:coreProperties>
</file>