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4417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17695"/>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Power Andrew</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6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DIGITAL REALTY TRUST, L.P.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DLR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620" w:type="dxa"/>
            <w:vAlign w:val="bottom"/>
            <w:tcBorders>
              <w:top w:val="single" w:sz="8" w:color="0000EE"/>
            </w:tcBorders>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440" w:type="dxa"/>
            <w:vAlign w:val="bottom"/>
            <w:tcBorders>
              <w:top w:val="single" w:sz="8" w:color="0000EE"/>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Borders>
              <w:top w:val="single" w:sz="8" w:color="EEEEEE"/>
            </w:tcBorders>
          </w:tcPr>
          <w:p>
            <w:pPr>
              <w:spacing w:after="0"/>
              <w:rPr>
                <w:sz w:val="13"/>
                <w:szCs w:val="13"/>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0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2900" w:type="dxa"/>
            <w:vAlign w:val="bottom"/>
            <w:gridSpan w:val="4"/>
            <w:vMerge w:val="restart"/>
          </w:tcPr>
          <w:p>
            <w:pPr>
              <w:ind w:left="140"/>
              <w:spacing w:after="0" w:line="172" w:lineRule="exact"/>
              <w:rPr>
                <w:sz w:val="20"/>
                <w:szCs w:val="20"/>
                <w:color w:val="auto"/>
              </w:rPr>
            </w:pPr>
            <w:r>
              <w:rPr>
                <w:rFonts w:ascii="Times New Roman" w:cs="Times New Roman" w:eastAsia="Times New Roman" w:hAnsi="Times New Roman"/>
                <w:sz w:val="17"/>
                <w:szCs w:val="17"/>
                <w:color w:val="0000FF"/>
              </w:rPr>
              <w:t>02/20/2026</w:t>
            </w: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9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2323 BRYAN STREET, STE. 1800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0"/>
          <w:szCs w:val="20"/>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0"/>
          <w:szCs w:val="20"/>
          <w:color w:val="auto"/>
        </w:rPr>
      </w:pPr>
    </w:p>
    <w:p>
      <w:pPr>
        <w:ind w:left="744"/>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305" w:lineRule="exact"/>
        <w:rPr>
          <w:sz w:val="20"/>
          <w:szCs w:val="20"/>
          <w:color w:val="auto"/>
        </w:rPr>
      </w:pPr>
    </w:p>
    <w:p>
      <w:pPr>
        <w:sectPr>
          <w:pgSz w:w="11900" w:h="16838" w:orient="portrait"/>
          <w:cols w:equalWidth="0" w:num="2">
            <w:col w:w="7680" w:space="56"/>
            <w:col w:w="334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720" w:type="dxa"/>
            <w:vAlign w:val="bottom"/>
            <w:gridSpan w:val="7"/>
            <w:vMerge w:val="restart"/>
          </w:tcPr>
          <w:p>
            <w:pPr>
              <w:jc w:val="center"/>
              <w:ind w:right="144"/>
              <w:spacing w:after="0"/>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720" w:type="dxa"/>
            <w:vAlign w:val="bottom"/>
            <w:gridSpan w:val="7"/>
            <w:vMerge w:val="continue"/>
          </w:tcPr>
          <w:p>
            <w:pPr>
              <w:spacing w:after="0"/>
              <w:rPr>
                <w:sz w:val="7"/>
                <w:szCs w:val="7"/>
                <w:color w:val="auto"/>
              </w:rPr>
            </w:pPr>
          </w:p>
        </w:tc>
        <w:tc>
          <w:tcPr>
            <w:tcW w:w="36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75201</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7"/>
          </w:tcPr>
          <w:p>
            <w:pPr>
              <w:ind w:left="18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58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1"/>
          </w:tcPr>
          <w:p>
            <w:pPr>
              <w:jc w:val="center"/>
              <w:ind w:left="45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Long-</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Term</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8"/>
                <w:szCs w:val="18"/>
                <w:color w:val="auto"/>
              </w:rPr>
            </w:pPr>
          </w:p>
        </w:tc>
        <w:tc>
          <w:tcPr>
            <w:tcW w:w="10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02/20/2026</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120"/>
              <w:spacing w:after="0" w:line="217" w:lineRule="exact"/>
              <w:rPr>
                <w:sz w:val="20"/>
                <w:szCs w:val="20"/>
                <w:color w:val="auto"/>
              </w:rPr>
            </w:pPr>
            <w:r>
              <w:rPr>
                <w:rFonts w:ascii="Times New Roman" w:cs="Times New Roman" w:eastAsia="Times New Roman" w:hAnsi="Times New Roman"/>
                <w:sz w:val="13"/>
                <w:szCs w:val="13"/>
                <w:color w:val="0000FF"/>
              </w:rPr>
              <w:t>62,145</w:t>
            </w:r>
            <w:r>
              <w:rPr>
                <w:rFonts w:ascii="Times New Roman" w:cs="Times New Roman" w:eastAsia="Times New Roman" w:hAnsi="Times New Roman"/>
                <w:sz w:val="21"/>
                <w:szCs w:val="21"/>
                <w:color w:val="008000"/>
                <w:vertAlign w:val="superscript"/>
              </w:rPr>
              <w:t>(2)</w:t>
            </w:r>
          </w:p>
        </w:tc>
        <w:tc>
          <w:tcPr>
            <w:tcW w:w="28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62,145</w:t>
            </w:r>
          </w:p>
        </w:tc>
        <w:tc>
          <w:tcPr>
            <w:tcW w:w="4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490,090</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gridSpan w:val="2"/>
          </w:tcPr>
          <w:p>
            <w:pPr>
              <w:ind w:left="60"/>
              <w:spacing w:after="0" w:line="72" w:lineRule="exact"/>
              <w:rPr>
                <w:sz w:val="20"/>
                <w:szCs w:val="20"/>
                <w:color w:val="auto"/>
              </w:rPr>
            </w:pPr>
            <w:r>
              <w:rPr>
                <w:rFonts w:ascii="Times New Roman" w:cs="Times New Roman" w:eastAsia="Times New Roman" w:hAnsi="Times New Roman"/>
                <w:sz w:val="7"/>
                <w:szCs w:val="7"/>
                <w:color w:val="0000FF"/>
              </w:rPr>
              <w:t>Incentive</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ind w:left="180"/>
              <w:spacing w:after="0" w:line="72" w:lineRule="exact"/>
              <w:rPr>
                <w:sz w:val="20"/>
                <w:szCs w:val="20"/>
                <w:color w:val="auto"/>
              </w:rPr>
            </w:pPr>
            <w:r>
              <w:rPr>
                <w:rFonts w:ascii="Times New Roman" w:cs="Times New Roman" w:eastAsia="Times New Roman" w:hAnsi="Times New Roman"/>
                <w:sz w:val="7"/>
                <w:szCs w:val="7"/>
                <w:color w:val="0000FF"/>
              </w:rPr>
              <w:t>Units</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220"/>
        <w:spacing w:after="0" w:line="23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Long-Term Incentive Units are profits interest units in the Issuer, of which the Digital Realty Trust, Inc. is the general partner (the "General Partner"). Profits interest units may initially not have full parity with common limited partnership units of Operating Partnership ("Common Units") with respect to liquidating distributions; however upon the occurrence of specified events, profits interest units may achieve full parity with Common Units for all purposes. Vested profits interest units that have achieved full parity with Common Units may be converted into an equal number of Common Units on a 1-for-1 basis at any time. Common Units are redeemable for cash based on the FMV of an equivalent number of shares of common stock of the Issuer, or, at the election of the Issuer, for an equal number of shares of the Issuer's common stock, subject to adjustment in the event of stock splits, stock dividends, issuance of stock rights, specified extraordinary distributions or similar events.</w:t>
      </w:r>
    </w:p>
    <w:p>
      <w:pPr>
        <w:spacing w:after="0" w:line="27" w:lineRule="exact"/>
        <w:rPr>
          <w:rFonts w:ascii="Times New Roman" w:cs="Times New Roman" w:eastAsia="Times New Roman" w:hAnsi="Times New Roman"/>
          <w:sz w:val="13"/>
          <w:szCs w:val="13"/>
          <w:color w:val="008000"/>
        </w:rPr>
      </w:pPr>
    </w:p>
    <w:p>
      <w:pPr>
        <w:jc w:val="both"/>
        <w:ind w:left="40" w:right="32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award initially granted on April 8, 2023 that was subject to a performance-based vesting condition which was determined to be satisfied on February 20, 2026. The number of units reported herein includes 6,059 distribution equivalent units, which vested effective as of December 31, 2025. The remaining 56,086 units are subject to an additional time-based vesting condition, pursuant to which 50% of the units will vest annually over two years, beginning on February 27, 2026. The vested profits interest units have no expiration date.</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statement of changes in beneficial ownership of securities ("Form 4") of the Issuer is being filed to report transactions that are being reported concurrently on a Form 4 for the General Partner.</w:t>
      </w:r>
    </w:p>
    <w:p>
      <w:pPr>
        <w:spacing w:after="0" w:line="51"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Salini Nandipati,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02/23/2026</w:t>
            </w:r>
          </w:p>
        </w:tc>
        <w:tc>
          <w:tcPr>
            <w:tcW w:w="0" w:type="dxa"/>
            <w:vAlign w:val="bottom"/>
          </w:tcPr>
          <w:p>
            <w:pPr>
              <w:spacing w:after="0"/>
              <w:rPr>
                <w:sz w:val="1"/>
                <w:szCs w:val="1"/>
                <w:color w:val="auto"/>
              </w:rPr>
            </w:pPr>
          </w:p>
        </w:tc>
      </w:tr>
      <w:tr>
        <w:trPr>
          <w:trHeight w:val="87"/>
        </w:trPr>
        <w:tc>
          <w:tcPr>
            <w:tcW w:w="480" w:type="dxa"/>
            <w:vAlign w:val="bottom"/>
            <w:tcBorders>
              <w:top w:val="single" w:sz="8" w:color="auto"/>
              <w:bottom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5"/>
              </w:rPr>
              <w:t>in-Fact</w:t>
            </w:r>
          </w:p>
        </w:tc>
        <w:tc>
          <w:tcPr>
            <w:tcW w:w="15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80" w:type="dxa"/>
            <w:vAlign w:val="bottom"/>
            <w:tcBorders>
              <w:bottom w:val="single" w:sz="8" w:color="auto"/>
            </w:tcBorders>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41275" TargetMode="External"/><Relationship Id="rId14" Type="http://schemas.openxmlformats.org/officeDocument/2006/relationships/hyperlink" Target="http://www.sec.gov/cgi-bin/browse-edgar?action=getcompany&amp;CIK=0001494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2026-02-23T16:10:10Z</dcterms:created>
  <dcterms:modified xsi:type="dcterms:W3CDTF">2026-02-23T16:10:10Z</dcterms:modified>
</cp:coreProperties>
</file>