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4"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Filed Pursuant to Rule 424(b)(7)</w:t>
      </w:r>
    </w:p>
    <w:p>
      <w:pPr>
        <w:spacing w:after="0" w:line="22"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Registration No. 333-293494</w:t>
      </w:r>
    </w:p>
    <w:p>
      <w:pPr>
        <w:spacing w:after="0" w:line="102"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b w:val="1"/>
          <w:bCs w:val="1"/>
          <w:u w:val="single" w:color="auto"/>
          <w:color w:val="auto"/>
        </w:rPr>
        <w:t>PROSPECTUS SUPPLEMENT</w:t>
      </w:r>
    </w:p>
    <w:p>
      <w:pPr>
        <w:spacing w:after="0" w:line="22"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(To Prospectus dated February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3016885</wp:posOffset>
            </wp:positionH>
            <wp:positionV relativeFrom="paragraph">
              <wp:posOffset>121920</wp:posOffset>
            </wp:positionV>
            <wp:extent cx="1134745" cy="402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4745"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12,310,249 shares</w:t>
      </w:r>
    </w:p>
    <w:p>
      <w:pPr>
        <w:spacing w:after="0" w:line="1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Digital Realty Trust, Inc.</w:t>
      </w:r>
    </w:p>
    <w:p>
      <w:pPr>
        <w:spacing w:after="0" w:line="18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3016885</wp:posOffset>
            </wp:positionH>
            <wp:positionV relativeFrom="paragraph">
              <wp:posOffset>191770</wp:posOffset>
            </wp:positionV>
            <wp:extent cx="11347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left="1400" w:right="379"/>
        <w:spacing w:after="0" w:line="262" w:lineRule="auto"/>
        <w:rPr>
          <w:sz w:val="20"/>
          <w:szCs w:val="20"/>
          <w:color w:val="auto"/>
        </w:rPr>
      </w:pPr>
      <w:r>
        <w:rPr>
          <w:rFonts w:ascii="Times New Roman" w:cs="Times New Roman" w:eastAsia="Times New Roman" w:hAnsi="Times New Roman"/>
          <w:sz w:val="14"/>
          <w:szCs w:val="14"/>
          <w:color w:val="auto"/>
        </w:rPr>
        <w:t>The selling stockholders identified in this prospectus supplement are selling 12,310,249 shares of our common stock, $0.01 par value per share (“common stock”), in this offering. We are not selling any shares of common stock under this prospectus supplement and will not receive any proceeds from the sale of shares by the selling stockholders. See “Use of Proceeds.”</w:t>
      </w:r>
    </w:p>
    <w:p>
      <w:pPr>
        <w:spacing w:after="0" w:line="138" w:lineRule="exact"/>
        <w:rPr>
          <w:sz w:val="24"/>
          <w:szCs w:val="24"/>
          <w:color w:val="auto"/>
        </w:rPr>
      </w:pPr>
    </w:p>
    <w:p>
      <w:pPr>
        <w:ind w:left="1400" w:right="319"/>
        <w:spacing w:after="0" w:line="257" w:lineRule="auto"/>
        <w:rPr>
          <w:sz w:val="20"/>
          <w:szCs w:val="20"/>
          <w:color w:val="auto"/>
        </w:rPr>
      </w:pPr>
      <w:r>
        <w:rPr>
          <w:rFonts w:ascii="Times New Roman" w:cs="Times New Roman" w:eastAsia="Times New Roman" w:hAnsi="Times New Roman"/>
          <w:sz w:val="14"/>
          <w:szCs w:val="14"/>
          <w:color w:val="auto"/>
        </w:rPr>
        <w:t>We are organized and conduct our operations to qualify as a real estate investment trust (“REIT”), for U.S. federal income tax purposes. To assist us in complying with certain federal income tax requirements applicable to REITs, our charter contains certain restrictions relating to the ownership and transfer of our stock, including an ownership limit of 9.8% (by value or by number of shares, whichever is more restrictive) on the outstanding shares of our common stock.</w:t>
      </w:r>
    </w:p>
    <w:p>
      <w:pPr>
        <w:spacing w:after="0" w:line="142" w:lineRule="exact"/>
        <w:rPr>
          <w:sz w:val="24"/>
          <w:szCs w:val="24"/>
          <w:color w:val="auto"/>
        </w:rPr>
      </w:pPr>
    </w:p>
    <w:p>
      <w:pPr>
        <w:ind w:left="1400" w:right="439"/>
        <w:spacing w:after="0" w:line="278"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“DLR”. The last reported sale price of our common stock on the New York Stock Exchange on June 29, 2026 was $190.58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3016885</wp:posOffset>
            </wp:positionH>
            <wp:positionV relativeFrom="paragraph">
              <wp:posOffset>161925</wp:posOffset>
            </wp:positionV>
            <wp:extent cx="11347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387" w:lineRule="exact"/>
        <w:rPr>
          <w:sz w:val="24"/>
          <w:szCs w:val="24"/>
          <w:color w:val="auto"/>
        </w:rPr>
      </w:pPr>
    </w:p>
    <w:p>
      <w:pPr>
        <w:ind w:left="1400" w:right="379"/>
        <w:spacing w:after="0" w:line="244"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S-5 of this prospectus supplement and the matters discussed in the documents incorporated by reference in this prospectus supplement and the accompanying prospectus.</w:t>
      </w:r>
    </w:p>
    <w:p>
      <w:pPr>
        <w:spacing w:after="0" w:line="139" w:lineRule="exact"/>
        <w:rPr>
          <w:sz w:val="24"/>
          <w:szCs w:val="24"/>
          <w:color w:val="auto"/>
        </w:rPr>
      </w:pPr>
    </w:p>
    <w:p>
      <w:pPr>
        <w:ind w:left="1400" w:right="279"/>
        <w:spacing w:after="0" w:line="264"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securities commission, nor any other regulatory body has approved or disapproved of these securities or passed on the adequacy or accuracy of this prospectus supplement and the prospectus to which it relates. Any representation to the contrary is a criminal offense.</w:t>
      </w:r>
    </w:p>
    <w:p>
      <w:pPr>
        <w:spacing w:after="0" w:line="152" w:lineRule="exact"/>
        <w:rPr>
          <w:sz w:val="24"/>
          <w:szCs w:val="24"/>
          <w:color w:val="auto"/>
        </w:rPr>
      </w:pPr>
    </w:p>
    <w:tbl>
      <w:tblPr>
        <w:tblLayout w:type="fixed"/>
        <w:tblInd w:w="2420" w:type="dxa"/>
        <w:tblCellMar>
          <w:top w:w="0" w:type="dxa"/>
          <w:left w:w="0" w:type="dxa"/>
          <w:bottom w:w="0" w:type="dxa"/>
          <w:right w:w="0" w:type="dxa"/>
        </w:tblCellMar>
      </w:tblPr>
      <w:tr>
        <w:trPr>
          <w:trHeight w:val="133"/>
        </w:trPr>
        <w:tc>
          <w:tcPr>
            <w:tcW w:w="3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w w:val="97"/>
              </w:rPr>
              <w:t>Per share</w:t>
            </w:r>
          </w:p>
        </w:tc>
        <w:tc>
          <w:tcPr>
            <w:tcW w:w="340" w:type="dxa"/>
            <w:vAlign w:val="bottom"/>
          </w:tcPr>
          <w:p>
            <w:pPr>
              <w:spacing w:after="0"/>
              <w:rPr>
                <w:sz w:val="11"/>
                <w:szCs w:val="11"/>
                <w:color w:val="auto"/>
              </w:rPr>
            </w:pPr>
          </w:p>
        </w:tc>
        <w:tc>
          <w:tcPr>
            <w:tcW w:w="1120" w:type="dxa"/>
            <w:vAlign w:val="bottom"/>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offering price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185.00</w:t>
            </w:r>
          </w:p>
        </w:tc>
        <w:tc>
          <w:tcPr>
            <w:tcW w:w="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2,277,396,065.00</w:t>
            </w:r>
          </w:p>
        </w:tc>
      </w:tr>
      <w:tr>
        <w:trPr>
          <w:trHeight w:val="166"/>
        </w:trPr>
        <w:tc>
          <w:tcPr>
            <w:tcW w:w="354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Underwriting discounts and commissions</w:t>
            </w:r>
            <w:r>
              <w:rPr>
                <w:rFonts w:ascii="Times New Roman" w:cs="Times New Roman" w:eastAsia="Times New Roman" w:hAnsi="Times New Roman"/>
                <w:sz w:val="19"/>
                <w:szCs w:val="19"/>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0.6138</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7,556,030.84</w:t>
            </w:r>
          </w:p>
        </w:tc>
      </w:tr>
      <w:tr>
        <w:trPr>
          <w:trHeight w:val="16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the selling stockholders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184.3862</w:t>
            </w:r>
          </w:p>
        </w:tc>
        <w:tc>
          <w:tcPr>
            <w:tcW w:w="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2,269,840,034.16</w:t>
            </w:r>
          </w:p>
        </w:tc>
      </w:tr>
    </w:tbl>
    <w:p>
      <w:pPr>
        <w:spacing w:after="0" w:line="172" w:lineRule="exact"/>
        <w:rPr>
          <w:sz w:val="24"/>
          <w:szCs w:val="24"/>
          <w:color w:val="auto"/>
        </w:rPr>
      </w:pPr>
    </w:p>
    <w:p>
      <w:pPr>
        <w:ind w:left="1740" w:hanging="334"/>
        <w:spacing w:after="0"/>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see the section entitled “Underwriting” for a description of the compensation payable to the underwriter.</w:t>
      </w:r>
    </w:p>
    <w:p>
      <w:pPr>
        <w:spacing w:after="0" w:line="17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3"/>
          <w:szCs w:val="13"/>
          <w:color w:val="auto"/>
        </w:rPr>
        <w:t>The underwriter expects to deliver the shares to purchasers on or about July 1, 2026 through the book-entry facilities of 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3016885</wp:posOffset>
            </wp:positionH>
            <wp:positionV relativeFrom="paragraph">
              <wp:posOffset>191770</wp:posOffset>
            </wp:positionV>
            <wp:extent cx="11347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Morgan Stanley</w:t>
      </w:r>
    </w:p>
    <w:p>
      <w:pPr>
        <w:spacing w:after="0" w:line="18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June 29, 2026.</w:t>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8"/>
              </w:rPr>
              <w:t>Prospectus Supplement</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0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4"/>
                <w:szCs w:val="14"/>
                <w:color w:val="0000EE"/>
                <w:w w:val="99"/>
              </w:rPr>
              <w:t>About This Prospectus Supplement and the Prospectus</w:t>
            </w:r>
          </w:p>
        </w:tc>
        <w:tc>
          <w:tcPr>
            <w:tcW w:w="3720" w:type="dxa"/>
            <w:vAlign w:val="bottom"/>
            <w:gridSpan w:val="3"/>
          </w:tcPr>
          <w:p>
            <w:pPr>
              <w:spacing w:after="0"/>
              <w:rPr>
                <w:sz w:val="24"/>
                <w:szCs w:val="24"/>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S-iii</w:t>
            </w:r>
          </w:p>
        </w:tc>
        <w:tc>
          <w:tcPr>
            <w:tcW w:w="0" w:type="dxa"/>
            <w:vAlign w:val="bottom"/>
          </w:tcPr>
          <w:p>
            <w:pPr>
              <w:spacing w:after="0"/>
              <w:rPr>
                <w:sz w:val="1"/>
                <w:szCs w:val="1"/>
                <w:color w:val="auto"/>
              </w:rPr>
            </w:pPr>
          </w:p>
        </w:tc>
      </w:tr>
      <w:tr>
        <w:trPr>
          <w:trHeight w:val="146"/>
        </w:trPr>
        <w:tc>
          <w:tcPr>
            <w:tcW w:w="1640" w:type="dxa"/>
            <w:vAlign w:val="bottom"/>
            <w:tcBorders>
              <w:bottom w:val="single" w:sz="8" w:color="0000EE"/>
            </w:tcBorders>
            <w:gridSpan w:val="14"/>
          </w:tcPr>
          <w:p>
            <w:pPr>
              <w:spacing w:after="0" w:line="146" w:lineRule="exact"/>
              <w:rPr>
                <w:sz w:val="20"/>
                <w:szCs w:val="20"/>
                <w:color w:val="auto"/>
              </w:rPr>
            </w:pPr>
            <w:r>
              <w:rPr>
                <w:rFonts w:ascii="Times New Roman" w:cs="Times New Roman" w:eastAsia="Times New Roman" w:hAnsi="Times New Roman"/>
                <w:sz w:val="14"/>
                <w:szCs w:val="14"/>
                <w:color w:val="0000EE"/>
                <w:w w:val="98"/>
              </w:rPr>
              <w:t>Forward-Looking Statements</w:t>
            </w:r>
          </w:p>
        </w:tc>
        <w:tc>
          <w:tcPr>
            <w:tcW w:w="5140" w:type="dxa"/>
            <w:vAlign w:val="bottom"/>
            <w:gridSpan w:val="12"/>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S-iv</w:t>
            </w:r>
          </w:p>
        </w:tc>
        <w:tc>
          <w:tcPr>
            <w:tcW w:w="0" w:type="dxa"/>
            <w:vAlign w:val="bottom"/>
          </w:tcPr>
          <w:p>
            <w:pPr>
              <w:spacing w:after="0"/>
              <w:rPr>
                <w:sz w:val="1"/>
                <w:szCs w:val="1"/>
                <w:color w:val="auto"/>
              </w:rPr>
            </w:pPr>
          </w:p>
        </w:tc>
      </w:tr>
      <w:tr>
        <w:trPr>
          <w:trHeight w:val="146"/>
        </w:trPr>
        <w:tc>
          <w:tcPr>
            <w:tcW w:w="1880" w:type="dxa"/>
            <w:vAlign w:val="bottom"/>
            <w:tcBorders>
              <w:bottom w:val="single" w:sz="8" w:color="0000EE"/>
            </w:tcBorders>
            <w:gridSpan w:val="18"/>
          </w:tcPr>
          <w:p>
            <w:pPr>
              <w:spacing w:after="0" w:line="146" w:lineRule="exact"/>
              <w:rPr>
                <w:sz w:val="20"/>
                <w:szCs w:val="20"/>
                <w:color w:val="auto"/>
              </w:rPr>
            </w:pPr>
            <w:r>
              <w:rPr>
                <w:rFonts w:ascii="Times New Roman" w:cs="Times New Roman" w:eastAsia="Times New Roman" w:hAnsi="Times New Roman"/>
                <w:sz w:val="14"/>
                <w:szCs w:val="14"/>
                <w:color w:val="0000EE"/>
                <w:w w:val="98"/>
              </w:rPr>
              <w:t>Prospectus Supplement Summary</w:t>
            </w:r>
          </w:p>
        </w:tc>
        <w:tc>
          <w:tcPr>
            <w:tcW w:w="4900" w:type="dxa"/>
            <w:vAlign w:val="bottom"/>
            <w:gridSpan w:val="8"/>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6"/>
        </w:trPr>
        <w:tc>
          <w:tcPr>
            <w:tcW w:w="6780" w:type="dxa"/>
            <w:vAlign w:val="bottom"/>
            <w:gridSpan w:val="26"/>
          </w:tcPr>
          <w:p>
            <w:pPr>
              <w:spacing w:after="0" w:line="146" w:lineRule="exact"/>
              <w:rPr>
                <w:sz w:val="20"/>
                <w:szCs w:val="20"/>
                <w:color w:val="auto"/>
              </w:rPr>
            </w:pPr>
            <w:r>
              <w:rPr>
                <w:rFonts w:ascii="Times New Roman" w:cs="Times New Roman" w:eastAsia="Times New Roman" w:hAnsi="Times New Roman"/>
                <w:sz w:val="14"/>
                <w:szCs w:val="14"/>
                <w:color w:val="0000EE"/>
              </w:rPr>
              <w:t>The Offering</w:t>
            </w:r>
          </w:p>
        </w:tc>
        <w:tc>
          <w:tcPr>
            <w:tcW w:w="1440" w:type="dxa"/>
            <w:vAlign w:val="bottom"/>
          </w:tcPr>
          <w:p>
            <w:pPr>
              <w:spacing w:after="0"/>
              <w:rPr>
                <w:sz w:val="12"/>
                <w:szCs w:val="12"/>
                <w:color w:val="auto"/>
              </w:rPr>
            </w:pPr>
          </w:p>
        </w:tc>
        <w:tc>
          <w:tcPr>
            <w:tcW w:w="2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S-3</w:t>
            </w:r>
          </w:p>
        </w:tc>
        <w:tc>
          <w:tcPr>
            <w:tcW w:w="0" w:type="dxa"/>
            <w:vAlign w:val="bottom"/>
          </w:tcPr>
          <w:p>
            <w:pPr>
              <w:spacing w:after="0"/>
              <w:rPr>
                <w:sz w:val="1"/>
                <w:szCs w:val="1"/>
                <w:color w:val="auto"/>
              </w:rPr>
            </w:pPr>
          </w:p>
        </w:tc>
      </w:tr>
      <w:tr>
        <w:trPr>
          <w:trHeight w:val="146"/>
        </w:trPr>
        <w:tc>
          <w:tcPr>
            <w:tcW w:w="720" w:type="dxa"/>
            <w:vAlign w:val="bottom"/>
            <w:tcBorders>
              <w:top w:val="single" w:sz="8" w:color="0000EE"/>
            </w:tcBorders>
            <w:gridSpan w:val="3"/>
          </w:tcPr>
          <w:p>
            <w:pPr>
              <w:spacing w:after="0" w:line="146" w:lineRule="exact"/>
              <w:rPr>
                <w:sz w:val="20"/>
                <w:szCs w:val="20"/>
                <w:color w:val="auto"/>
              </w:rPr>
            </w:pPr>
            <w:r>
              <w:rPr>
                <w:rFonts w:ascii="Times New Roman" w:cs="Times New Roman" w:eastAsia="Times New Roman" w:hAnsi="Times New Roman"/>
                <w:sz w:val="14"/>
                <w:szCs w:val="14"/>
                <w:color w:val="0000EE"/>
                <w:w w:val="99"/>
              </w:rPr>
              <w:t>Risk Factors</w:t>
            </w:r>
          </w:p>
        </w:tc>
        <w:tc>
          <w:tcPr>
            <w:tcW w:w="6060" w:type="dxa"/>
            <w:vAlign w:val="bottom"/>
            <w:gridSpan w:val="23"/>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780" w:type="dxa"/>
            <w:vAlign w:val="bottom"/>
            <w:gridSpan w:val="26"/>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S-10</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160" w:type="dxa"/>
            <w:vAlign w:val="bottom"/>
            <w:tcBorders>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w w:val="97"/>
              </w:rPr>
              <w:t>Selling Stockholders</w:t>
            </w:r>
          </w:p>
        </w:tc>
        <w:tc>
          <w:tcPr>
            <w:tcW w:w="5620" w:type="dxa"/>
            <w:vAlign w:val="bottom"/>
            <w:gridSpan w:val="17"/>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146"/>
        </w:trPr>
        <w:tc>
          <w:tcPr>
            <w:tcW w:w="760" w:type="dxa"/>
            <w:vAlign w:val="bottom"/>
            <w:tcBorders>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8"/>
              </w:rPr>
              <w:t>Underwriting</w:t>
            </w:r>
          </w:p>
        </w:tc>
        <w:tc>
          <w:tcPr>
            <w:tcW w:w="6020" w:type="dxa"/>
            <w:vAlign w:val="bottom"/>
            <w:gridSpan w:val="22"/>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S-13</w:t>
            </w:r>
          </w:p>
        </w:tc>
        <w:tc>
          <w:tcPr>
            <w:tcW w:w="0" w:type="dxa"/>
            <w:vAlign w:val="bottom"/>
          </w:tcPr>
          <w:p>
            <w:pPr>
              <w:spacing w:after="0"/>
              <w:rPr>
                <w:sz w:val="1"/>
                <w:szCs w:val="1"/>
                <w:color w:val="auto"/>
              </w:rPr>
            </w:pPr>
          </w:p>
        </w:tc>
      </w:tr>
      <w:tr>
        <w:trPr>
          <w:trHeight w:val="146"/>
        </w:trPr>
        <w:tc>
          <w:tcPr>
            <w:tcW w:w="780" w:type="dxa"/>
            <w:vAlign w:val="bottom"/>
            <w:tcBorders>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4"/>
                <w:szCs w:val="14"/>
                <w:color w:val="0000EE"/>
                <w:w w:val="97"/>
              </w:rPr>
              <w:t>Legal Matters</w:t>
            </w:r>
          </w:p>
        </w:tc>
        <w:tc>
          <w:tcPr>
            <w:tcW w:w="6000" w:type="dxa"/>
            <w:vAlign w:val="bottom"/>
            <w:gridSpan w:val="21"/>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S-19</w:t>
            </w:r>
          </w:p>
        </w:tc>
        <w:tc>
          <w:tcPr>
            <w:tcW w:w="0" w:type="dxa"/>
            <w:vAlign w:val="bottom"/>
          </w:tcPr>
          <w:p>
            <w:pPr>
              <w:spacing w:after="0"/>
              <w:rPr>
                <w:sz w:val="1"/>
                <w:szCs w:val="1"/>
                <w:color w:val="auto"/>
              </w:rPr>
            </w:pPr>
          </w:p>
        </w:tc>
      </w:tr>
      <w:tr>
        <w:trPr>
          <w:trHeight w:val="146"/>
        </w:trPr>
        <w:tc>
          <w:tcPr>
            <w:tcW w:w="6780" w:type="dxa"/>
            <w:vAlign w:val="bottom"/>
            <w:gridSpan w:val="26"/>
          </w:tcPr>
          <w:p>
            <w:pPr>
              <w:spacing w:after="0" w:line="146" w:lineRule="exact"/>
              <w:rPr>
                <w:sz w:val="20"/>
                <w:szCs w:val="20"/>
                <w:color w:val="auto"/>
              </w:rPr>
            </w:pPr>
            <w:r>
              <w:rPr>
                <w:rFonts w:ascii="Times New Roman" w:cs="Times New Roman" w:eastAsia="Times New Roman" w:hAnsi="Times New Roman"/>
                <w:sz w:val="14"/>
                <w:szCs w:val="14"/>
                <w:color w:val="0000EE"/>
              </w:rPr>
              <w:t>Experts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S-20</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220" w:type="dxa"/>
            <w:vAlign w:val="bottom"/>
            <w:tcBorders>
              <w:bottom w:val="single" w:sz="8" w:color="0000EE"/>
            </w:tcBorders>
            <w:gridSpan w:val="19"/>
          </w:tcPr>
          <w:p>
            <w:pPr>
              <w:spacing w:after="0" w:line="146"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4560" w:type="dxa"/>
            <w:vAlign w:val="bottom"/>
            <w:gridSpan w:val="7"/>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S-20</w:t>
            </w:r>
          </w:p>
        </w:tc>
        <w:tc>
          <w:tcPr>
            <w:tcW w:w="0" w:type="dxa"/>
            <w:vAlign w:val="bottom"/>
          </w:tcPr>
          <w:p>
            <w:pPr>
              <w:spacing w:after="0"/>
              <w:rPr>
                <w:sz w:val="1"/>
                <w:szCs w:val="1"/>
                <w:color w:val="auto"/>
              </w:rPr>
            </w:pPr>
          </w:p>
        </w:tc>
      </w:tr>
      <w:tr>
        <w:trPr>
          <w:trHeight w:val="146"/>
        </w:trPr>
        <w:tc>
          <w:tcPr>
            <w:tcW w:w="6780" w:type="dxa"/>
            <w:vAlign w:val="bottom"/>
            <w:gridSpan w:val="26"/>
          </w:tcPr>
          <w:p>
            <w:pPr>
              <w:spacing w:after="0" w:line="146"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510"/>
        </w:trPr>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80" w:type="dxa"/>
            <w:vAlign w:val="bottom"/>
            <w:gridSpan w:val="2"/>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78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4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88"/>
              </w:rPr>
              <w:t>Page</w:t>
            </w:r>
          </w:p>
        </w:tc>
        <w:tc>
          <w:tcPr>
            <w:tcW w:w="0" w:type="dxa"/>
            <w:vAlign w:val="bottom"/>
          </w:tcPr>
          <w:p>
            <w:pPr>
              <w:spacing w:after="0"/>
              <w:rPr>
                <w:sz w:val="1"/>
                <w:szCs w:val="1"/>
                <w:color w:val="auto"/>
              </w:rPr>
            </w:pPr>
          </w:p>
        </w:tc>
      </w:tr>
      <w:tr>
        <w:trPr>
          <w:trHeight w:val="125"/>
        </w:trPr>
        <w:tc>
          <w:tcPr>
            <w:tcW w:w="6780" w:type="dxa"/>
            <w:vAlign w:val="bottom"/>
            <w:gridSpan w:val="26"/>
            <w:vMerge w:val="continue"/>
          </w:tcPr>
          <w:p>
            <w:pPr>
              <w:spacing w:after="0"/>
              <w:rPr>
                <w:sz w:val="10"/>
                <w:szCs w:val="10"/>
                <w:color w:val="auto"/>
              </w:rPr>
            </w:pPr>
          </w:p>
        </w:tc>
        <w:tc>
          <w:tcPr>
            <w:tcW w:w="1440" w:type="dxa"/>
            <w:vAlign w:val="bottom"/>
          </w:tcPr>
          <w:p>
            <w:pPr>
              <w:spacing w:after="0"/>
              <w:rPr>
                <w:sz w:val="10"/>
                <w:szCs w:val="10"/>
                <w:color w:val="auto"/>
              </w:rPr>
            </w:pPr>
          </w:p>
        </w:tc>
        <w:tc>
          <w:tcPr>
            <w:tcW w:w="2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800" w:type="dxa"/>
            <w:vAlign w:val="bottom"/>
            <w:tcBorders>
              <w:top w:val="single" w:sz="8" w:color="0000EE"/>
              <w:bottom w:val="single" w:sz="8" w:color="0000EE"/>
            </w:tcBorders>
            <w:gridSpan w:val="6"/>
          </w:tcPr>
          <w:p>
            <w:pPr>
              <w:spacing w:after="0" w:line="146" w:lineRule="exact"/>
              <w:rPr>
                <w:sz w:val="20"/>
                <w:szCs w:val="20"/>
                <w:color w:val="auto"/>
              </w:rPr>
            </w:pPr>
            <w:r>
              <w:rPr>
                <w:rFonts w:ascii="Times New Roman" w:cs="Times New Roman" w:eastAsia="Times New Roman" w:hAnsi="Times New Roman"/>
                <w:sz w:val="14"/>
                <w:szCs w:val="14"/>
                <w:color w:val="0000EE"/>
                <w:w w:val="97"/>
              </w:rPr>
              <w:t>Our Company</w:t>
            </w:r>
          </w:p>
        </w:tc>
        <w:tc>
          <w:tcPr>
            <w:tcW w:w="460" w:type="dxa"/>
            <w:vAlign w:val="bottom"/>
            <w:tcBorders>
              <w:top w:val="single" w:sz="8" w:color="0000EE"/>
            </w:tcBorders>
            <w:gridSpan w:val="4"/>
          </w:tcPr>
          <w:p>
            <w:pPr>
              <w:spacing w:after="0"/>
              <w:rPr>
                <w:sz w:val="12"/>
                <w:szCs w:val="12"/>
                <w:color w:val="auto"/>
              </w:rPr>
            </w:pPr>
          </w:p>
        </w:tc>
        <w:tc>
          <w:tcPr>
            <w:tcW w:w="5520" w:type="dxa"/>
            <w:vAlign w:val="bottom"/>
            <w:gridSpan w:val="16"/>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6"/>
        </w:trPr>
        <w:tc>
          <w:tcPr>
            <w:tcW w:w="6780" w:type="dxa"/>
            <w:vAlign w:val="bottom"/>
            <w:gridSpan w:val="26"/>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220" w:type="dxa"/>
            <w:vAlign w:val="bottom"/>
            <w:tcBorders>
              <w:bottom w:val="single" w:sz="8" w:color="0000EE"/>
            </w:tcBorders>
            <w:gridSpan w:val="19"/>
          </w:tcPr>
          <w:p>
            <w:pPr>
              <w:spacing w:after="0" w:line="146"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4560" w:type="dxa"/>
            <w:vAlign w:val="bottom"/>
            <w:gridSpan w:val="7"/>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6"/>
        </w:trPr>
        <w:tc>
          <w:tcPr>
            <w:tcW w:w="6780" w:type="dxa"/>
            <w:vAlign w:val="bottom"/>
            <w:gridSpan w:val="26"/>
          </w:tcPr>
          <w:p>
            <w:pPr>
              <w:spacing w:after="0" w:line="146"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6"/>
        </w:trPr>
        <w:tc>
          <w:tcPr>
            <w:tcW w:w="2780" w:type="dxa"/>
            <w:vAlign w:val="bottom"/>
            <w:tcBorders>
              <w:top w:val="single" w:sz="8" w:color="0000EE"/>
            </w:tcBorders>
            <w:gridSpan w:val="21"/>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4000" w:type="dxa"/>
            <w:vAlign w:val="bottom"/>
            <w:gridSpan w:val="5"/>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90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720" w:type="dxa"/>
            <w:vAlign w:val="bottom"/>
            <w:tcBorders>
              <w:bottom w:val="single" w:sz="8" w:color="0000EE"/>
            </w:tcBorders>
            <w:gridSpan w:val="16"/>
          </w:tcPr>
          <w:p>
            <w:pPr>
              <w:spacing w:after="0" w:line="146" w:lineRule="exact"/>
              <w:rPr>
                <w:sz w:val="20"/>
                <w:szCs w:val="20"/>
                <w:color w:val="auto"/>
              </w:rPr>
            </w:pPr>
            <w:r>
              <w:rPr>
                <w:rFonts w:ascii="Times New Roman" w:cs="Times New Roman" w:eastAsia="Times New Roman" w:hAnsi="Times New Roman"/>
                <w:sz w:val="14"/>
                <w:szCs w:val="14"/>
                <w:color w:val="0000EE"/>
                <w:w w:val="99"/>
              </w:rPr>
              <w:t>Description of Common Stock</w:t>
            </w:r>
          </w:p>
        </w:tc>
        <w:tc>
          <w:tcPr>
            <w:tcW w:w="5060" w:type="dxa"/>
            <w:vAlign w:val="bottom"/>
            <w:gridSpan w:val="10"/>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6"/>
        </w:trPr>
        <w:tc>
          <w:tcPr>
            <w:tcW w:w="6780" w:type="dxa"/>
            <w:vAlign w:val="bottom"/>
            <w:gridSpan w:val="26"/>
          </w:tcPr>
          <w:p>
            <w:pPr>
              <w:spacing w:after="0" w:line="146" w:lineRule="exact"/>
              <w:rPr>
                <w:sz w:val="20"/>
                <w:szCs w:val="20"/>
                <w:color w:val="auto"/>
              </w:rPr>
            </w:pPr>
            <w:r>
              <w:rPr>
                <w:rFonts w:ascii="Times New Roman" w:cs="Times New Roman" w:eastAsia="Times New Roman" w:hAnsi="Times New Roman"/>
                <w:sz w:val="14"/>
                <w:szCs w:val="14"/>
                <w:color w:val="0000EE"/>
              </w:rPr>
              <w:t>Description of Preferred Stock</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1100" w:type="dxa"/>
            <w:vAlign w:val="bottom"/>
            <w:gridSpan w:val="8"/>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780" w:type="dxa"/>
            <w:vAlign w:val="bottom"/>
            <w:gridSpan w:val="26"/>
          </w:tcPr>
          <w:p>
            <w:pPr>
              <w:spacing w:after="0" w:line="146" w:lineRule="exact"/>
              <w:rPr>
                <w:sz w:val="20"/>
                <w:szCs w:val="20"/>
                <w:color w:val="auto"/>
              </w:rPr>
            </w:pPr>
            <w:r>
              <w:rPr>
                <w:rFonts w:ascii="Times New Roman" w:cs="Times New Roman" w:eastAsia="Times New Roman" w:hAnsi="Times New Roman"/>
                <w:sz w:val="14"/>
                <w:szCs w:val="14"/>
                <w:color w:val="0000EE"/>
              </w:rPr>
              <w:t>Description of Depositary Shares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6"/>
        </w:trPr>
        <w:tc>
          <w:tcPr>
            <w:tcW w:w="1340" w:type="dxa"/>
            <w:vAlign w:val="bottom"/>
            <w:tcBorders>
              <w:top w:val="single" w:sz="8" w:color="0000EE"/>
              <w:bottom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500" w:type="dxa"/>
            <w:vAlign w:val="bottom"/>
            <w:tcBorders>
              <w:top w:val="single" w:sz="8" w:color="0000EE"/>
            </w:tcBorders>
            <w:gridSpan w:val="5"/>
          </w:tcPr>
          <w:p>
            <w:pPr>
              <w:spacing w:after="0"/>
              <w:rPr>
                <w:sz w:val="12"/>
                <w:szCs w:val="12"/>
                <w:color w:val="auto"/>
              </w:rPr>
            </w:pPr>
          </w:p>
        </w:tc>
        <w:tc>
          <w:tcPr>
            <w:tcW w:w="4940" w:type="dxa"/>
            <w:vAlign w:val="bottom"/>
            <w:gridSpan w:val="9"/>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6"/>
        </w:trPr>
        <w:tc>
          <w:tcPr>
            <w:tcW w:w="3040" w:type="dxa"/>
            <w:vAlign w:val="bottom"/>
            <w:tcBorders>
              <w:bottom w:val="single" w:sz="8" w:color="0000EE"/>
            </w:tcBorders>
            <w:gridSpan w:val="22"/>
          </w:tcPr>
          <w:p>
            <w:pPr>
              <w:spacing w:after="0" w:line="146" w:lineRule="exact"/>
              <w:rPr>
                <w:sz w:val="20"/>
                <w:szCs w:val="20"/>
                <w:color w:val="auto"/>
              </w:rPr>
            </w:pPr>
            <w:r>
              <w:rPr>
                <w:rFonts w:ascii="Times New Roman" w:cs="Times New Roman" w:eastAsia="Times New Roman" w:hAnsi="Times New Roman"/>
                <w:sz w:val="14"/>
                <w:szCs w:val="14"/>
                <w:color w:val="0000EE"/>
                <w:w w:val="98"/>
              </w:rPr>
              <w:t>Description of Debt Securities and Related Guarantees</w:t>
            </w:r>
          </w:p>
        </w:tc>
        <w:tc>
          <w:tcPr>
            <w:tcW w:w="3740" w:type="dxa"/>
            <w:vAlign w:val="bottom"/>
            <w:gridSpan w:val="4"/>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6"/>
        </w:trPr>
        <w:tc>
          <w:tcPr>
            <w:tcW w:w="2220" w:type="dxa"/>
            <w:vAlign w:val="bottom"/>
            <w:tcBorders>
              <w:bottom w:val="single" w:sz="8" w:color="0000EE"/>
            </w:tcBorders>
            <w:gridSpan w:val="19"/>
          </w:tcPr>
          <w:p>
            <w:pPr>
              <w:spacing w:after="0" w:line="146" w:lineRule="exact"/>
              <w:rPr>
                <w:sz w:val="20"/>
                <w:szCs w:val="20"/>
                <w:color w:val="auto"/>
              </w:rPr>
            </w:pPr>
            <w:r>
              <w:rPr>
                <w:rFonts w:ascii="Times New Roman" w:cs="Times New Roman" w:eastAsia="Times New Roman" w:hAnsi="Times New Roman"/>
                <w:sz w:val="14"/>
                <w:szCs w:val="14"/>
                <w:color w:val="0000EE"/>
                <w:w w:val="98"/>
              </w:rPr>
              <w:t>Restrictions on Ownership and Transfer</w:t>
            </w:r>
          </w:p>
        </w:tc>
        <w:tc>
          <w:tcPr>
            <w:tcW w:w="4560" w:type="dxa"/>
            <w:vAlign w:val="bottom"/>
            <w:gridSpan w:val="7"/>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6"/>
        </w:trPr>
        <w:tc>
          <w:tcPr>
            <w:tcW w:w="3900" w:type="dxa"/>
            <w:vAlign w:val="bottom"/>
            <w:tcBorders>
              <w:bottom w:val="single" w:sz="8" w:color="0000EE"/>
            </w:tcBorders>
            <w:gridSpan w:val="24"/>
          </w:tcPr>
          <w:p>
            <w:pPr>
              <w:spacing w:after="0" w:line="146" w:lineRule="exact"/>
              <w:rPr>
                <w:sz w:val="20"/>
                <w:szCs w:val="20"/>
                <w:color w:val="auto"/>
              </w:rPr>
            </w:pPr>
            <w:r>
              <w:rPr>
                <w:rFonts w:ascii="Times New Roman" w:cs="Times New Roman" w:eastAsia="Times New Roman" w:hAnsi="Times New Roman"/>
                <w:sz w:val="14"/>
                <w:szCs w:val="14"/>
                <w:color w:val="0000EE"/>
                <w:w w:val="98"/>
              </w:rPr>
              <w:t>Description of the Partnership Agreement of Digital Realty Trust, L.P.</w:t>
            </w:r>
          </w:p>
        </w:tc>
        <w:tc>
          <w:tcPr>
            <w:tcW w:w="2880" w:type="dxa"/>
            <w:vAlign w:val="bottom"/>
            <w:gridSpan w:val="2"/>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6"/>
        </w:trPr>
        <w:tc>
          <w:tcPr>
            <w:tcW w:w="6780" w:type="dxa"/>
            <w:vAlign w:val="bottom"/>
            <w:gridSpan w:val="26"/>
          </w:tcPr>
          <w:p>
            <w:pPr>
              <w:spacing w:after="0" w:line="146" w:lineRule="exact"/>
              <w:rPr>
                <w:sz w:val="20"/>
                <w:szCs w:val="20"/>
                <w:color w:val="auto"/>
              </w:rPr>
            </w:pPr>
            <w:r>
              <w:rPr>
                <w:rFonts w:ascii="Times New Roman" w:cs="Times New Roman" w:eastAsia="Times New Roman" w:hAnsi="Times New Roman"/>
                <w:sz w:val="14"/>
                <w:szCs w:val="14"/>
                <w:color w:val="0000EE"/>
              </w:rPr>
              <w:t>Material Provisions of Maryland Law and of the Charter and Bylaws of Digital Realty Trust, Inc.</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6"/>
        </w:trPr>
        <w:tc>
          <w:tcPr>
            <w:tcW w:w="2760" w:type="dxa"/>
            <w:vAlign w:val="bottom"/>
            <w:tcBorders>
              <w:top w:val="single" w:sz="8" w:color="0000EE"/>
              <w:bottom w:val="single" w:sz="8" w:color="0000EE"/>
            </w:tcBorders>
            <w:gridSpan w:val="20"/>
          </w:tcPr>
          <w:p>
            <w:pPr>
              <w:spacing w:after="0" w:line="146" w:lineRule="exact"/>
              <w:rPr>
                <w:sz w:val="20"/>
                <w:szCs w:val="20"/>
                <w:color w:val="auto"/>
              </w:rPr>
            </w:pPr>
            <w:r>
              <w:rPr>
                <w:rFonts w:ascii="Times New Roman" w:cs="Times New Roman" w:eastAsia="Times New Roman" w:hAnsi="Times New Roman"/>
                <w:sz w:val="14"/>
                <w:szCs w:val="14"/>
                <w:color w:val="0000EE"/>
                <w:w w:val="98"/>
              </w:rPr>
              <w:t>United States Federal Income Tax Considerations</w:t>
            </w:r>
          </w:p>
        </w:tc>
        <w:tc>
          <w:tcPr>
            <w:tcW w:w="2620" w:type="dxa"/>
            <w:vAlign w:val="bottom"/>
            <w:tcBorders>
              <w:top w:val="single" w:sz="8" w:color="0000EE"/>
            </w:tcBorders>
            <w:gridSpan w:val="5"/>
          </w:tcPr>
          <w:p>
            <w:pPr>
              <w:spacing w:after="0"/>
              <w:rPr>
                <w:sz w:val="12"/>
                <w:szCs w:val="12"/>
                <w:color w:val="auto"/>
              </w:rPr>
            </w:pPr>
          </w:p>
        </w:tc>
        <w:tc>
          <w:tcPr>
            <w:tcW w:w="1400" w:type="dxa"/>
            <w:vAlign w:val="bottom"/>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6"/>
        </w:trPr>
        <w:tc>
          <w:tcPr>
            <w:tcW w:w="6780" w:type="dxa"/>
            <w:vAlign w:val="bottom"/>
            <w:gridSpan w:val="26"/>
          </w:tcPr>
          <w:p>
            <w:pPr>
              <w:spacing w:after="0" w:line="146" w:lineRule="exact"/>
              <w:rPr>
                <w:sz w:val="20"/>
                <w:szCs w:val="20"/>
                <w:color w:val="auto"/>
              </w:rPr>
            </w:pPr>
            <w:r>
              <w:rPr>
                <w:rFonts w:ascii="Times New Roman" w:cs="Times New Roman" w:eastAsia="Times New Roman" w:hAnsi="Times New Roman"/>
                <w:sz w:val="14"/>
                <w:szCs w:val="14"/>
                <w:color w:val="0000EE"/>
              </w:rPr>
              <w:t>Selling Securityholders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6"/>
        </w:trPr>
        <w:tc>
          <w:tcPr>
            <w:tcW w:w="1300" w:type="dxa"/>
            <w:vAlign w:val="bottom"/>
            <w:tcBorders>
              <w:top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5480" w:type="dxa"/>
            <w:vAlign w:val="bottom"/>
            <w:gridSpan w:val="15"/>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46"/>
        </w:trPr>
        <w:tc>
          <w:tcPr>
            <w:tcW w:w="780" w:type="dxa"/>
            <w:vAlign w:val="bottom"/>
            <w:tcBorders>
              <w:top w:val="single" w:sz="8" w:color="0000EE"/>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3"/>
          </w:tcPr>
          <w:p>
            <w:pPr>
              <w:spacing w:after="0"/>
              <w:rPr>
                <w:sz w:val="12"/>
                <w:szCs w:val="12"/>
                <w:color w:val="auto"/>
              </w:rPr>
            </w:pPr>
          </w:p>
        </w:tc>
        <w:tc>
          <w:tcPr>
            <w:tcW w:w="5680" w:type="dxa"/>
            <w:vAlign w:val="bottom"/>
            <w:gridSpan w:val="18"/>
          </w:tcPr>
          <w:p>
            <w:pPr>
              <w:spacing w:after="0"/>
              <w:rPr>
                <w:sz w:val="12"/>
                <w:szCs w:val="12"/>
                <w:color w:val="auto"/>
              </w:rPr>
            </w:pP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46"/>
        </w:trPr>
        <w:tc>
          <w:tcPr>
            <w:tcW w:w="6780" w:type="dxa"/>
            <w:vAlign w:val="bottom"/>
            <w:gridSpan w:val="26"/>
          </w:tcPr>
          <w:p>
            <w:pPr>
              <w:spacing w:after="0" w:line="146" w:lineRule="exact"/>
              <w:rPr>
                <w:sz w:val="20"/>
                <w:szCs w:val="20"/>
                <w:color w:val="auto"/>
              </w:rPr>
            </w:pPr>
            <w:r>
              <w:rPr>
                <w:rFonts w:ascii="Times New Roman" w:cs="Times New Roman" w:eastAsia="Times New Roman" w:hAnsi="Times New Roman"/>
                <w:sz w:val="14"/>
                <w:szCs w:val="14"/>
                <w:color w:val="0000EE"/>
              </w:rPr>
              <w:t>Experts</w:t>
            </w:r>
          </w:p>
        </w:tc>
        <w:tc>
          <w:tcPr>
            <w:tcW w:w="16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or incorporated by reference into this prospectus supplement, the accompanying prospectus or any applicable free writing prospectus in making a decision about whether to invest in our common stock. We, the selling stockholders and the underwriter have not authorized any other person to provide you with different or additional information. If anyone provides you with different or additional information, you should not rely on it. The distribution of this prospectus supplement and the accompanying prospectus and the offering of the common stock in certain jurisdictions may be restricted by law. If you possess this prospectus supplement and the accompanying prospectus, you should find out about and observe these restrictions. This prospectus supplement and the accompanying prospectus do not constitute an offer to sell, or a solicitation of an offer to purchase, any securities in any jurisdiction where it is unlawful to make such offer or solicitation or where the person making the offer or sale is not qualified to do so or to any person to whom it is not permitted to make such</w:t>
      </w:r>
    </w:p>
    <w:p>
      <w:pPr>
        <w:spacing w:after="0" w:line="9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right="379"/>
        <w:spacing w:after="0" w:line="256" w:lineRule="auto"/>
        <w:rPr>
          <w:sz w:val="20"/>
          <w:szCs w:val="20"/>
          <w:color w:val="auto"/>
        </w:rPr>
      </w:pPr>
      <w:r>
        <w:rPr>
          <w:rFonts w:ascii="Times New Roman" w:cs="Times New Roman" w:eastAsia="Times New Roman" w:hAnsi="Times New Roman"/>
          <w:sz w:val="14"/>
          <w:szCs w:val="14"/>
          <w:b w:val="1"/>
          <w:bCs w:val="1"/>
          <w:color w:val="auto"/>
        </w:rPr>
        <w:t>offer or sale. You should assume that the information appearing in this prospectus supplement, the accompanying prospectus, any applicable free writing prospectus and the documents incorporated by reference herein or therein is accurate only as of their respective dates or on the date or dates which are specified in these documents. Our business, financial condition, liquidity, results of operations and prospects may have changed since those dates. The description set forth in this prospectus supplement replaces and supplements, where inconsistent, the description of the general terms and provisions set forth in the accompanying prospectus.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 SUPPLEMENT AND THE PROSPECTUS</w:t>
      </w:r>
    </w:p>
    <w:p>
      <w:pPr>
        <w:spacing w:after="0" w:line="173" w:lineRule="exact"/>
        <w:rPr>
          <w:sz w:val="20"/>
          <w:szCs w:val="20"/>
          <w:color w:val="auto"/>
        </w:rPr>
      </w:pPr>
    </w:p>
    <w:p>
      <w:pPr>
        <w:ind w:left="1400" w:right="319"/>
        <w:spacing w:after="0" w:line="252"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specific terms of this offering and also adds to, changes and updates information contained in the accompanying prospectus and the documents incorporated by reference into this prospectus supplement and the accompanying prospectus. The second part, the accompanying prospectus, gives more general information about the securities we may offer from time to time, some of which does not apply to the common stock the selling stockholders are offering. To the extent any inconsistency or conflict exists between the information included in this prospectus supplement and the information included in the accompanying prospectus, the information included or incorporated by reference in this prospectus supplement updates and supersedes the information in the accompanying prospectus. This prospectus supplement incorporates by reference important business and financial information about us that is not included in or delivered with this prospectus supplement.</w:t>
      </w:r>
    </w:p>
    <w:p>
      <w:pPr>
        <w:spacing w:after="0" w:line="144" w:lineRule="exact"/>
        <w:rPr>
          <w:sz w:val="20"/>
          <w:szCs w:val="20"/>
          <w:color w:val="auto"/>
        </w:rPr>
      </w:pPr>
    </w:p>
    <w:p>
      <w:pPr>
        <w:ind w:left="1400" w:right="479"/>
        <w:spacing w:after="0" w:line="262" w:lineRule="auto"/>
        <w:rPr>
          <w:sz w:val="20"/>
          <w:szCs w:val="20"/>
          <w:color w:val="auto"/>
        </w:rPr>
      </w:pPr>
      <w:r>
        <w:rPr>
          <w:rFonts w:ascii="Times New Roman" w:cs="Times New Roman" w:eastAsia="Times New Roman" w:hAnsi="Times New Roman"/>
          <w:sz w:val="14"/>
          <w:szCs w:val="14"/>
          <w:color w:val="auto"/>
        </w:rPr>
        <w:t>It is important for you to read and consider all information contained in this prospectus supplement and the accompanying prospectus in making your investment decision. You should also read and consider the information contained in the documents identified under the heading “Incorporation by Reference.”</w:t>
      </w:r>
    </w:p>
    <w:p>
      <w:pPr>
        <w:spacing w:after="0" w:line="138" w:lineRule="exact"/>
        <w:rPr>
          <w:sz w:val="20"/>
          <w:szCs w:val="20"/>
          <w:color w:val="auto"/>
        </w:rPr>
      </w:pPr>
    </w:p>
    <w:p>
      <w:pPr>
        <w:ind w:left="1400" w:right="319"/>
        <w:spacing w:after="0" w:line="279" w:lineRule="auto"/>
        <w:rPr>
          <w:sz w:val="20"/>
          <w:szCs w:val="20"/>
          <w:color w:val="auto"/>
        </w:rPr>
      </w:pPr>
      <w:r>
        <w:rPr>
          <w:rFonts w:ascii="Times New Roman" w:cs="Times New Roman" w:eastAsia="Times New Roman" w:hAnsi="Times New Roman"/>
          <w:sz w:val="13"/>
          <w:szCs w:val="13"/>
          <w:color w:val="auto"/>
        </w:rPr>
        <w:t>Unless otherwise indicated or unless the context requires otherwise, all references in this prospectus supplement to “we,” “us,” “our,” “our company” or “the company” refer to Digital Realty Trust, Inc., a Maryland corporation, together with its consolidated subsidiaries, including Digital Realty Trust, L.P., a Maryland limited partnership, of which Digital Realty Trust, Inc. is the sole general partner. In statements regarding qualification as a REIT, such terms refer solely to Digital Realty Trust, Inc. Unless otherwise indicated or unless the context requires otherwise, all references in this prospectus supplement to “our operating partnership” or “the operating partnership” refer to Digital Realty Trust, L.P. together with its consolidated subsidiaries.</w:t>
      </w:r>
    </w:p>
    <w:p>
      <w:pPr>
        <w:spacing w:after="0" w:line="1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All references in this prospectus supplement to: “global revolving credit facility” refer to our operating partnership’s $4.2 billion senior unsecured</w:t>
      </w:r>
    </w:p>
    <w:p>
      <w:pPr>
        <w:spacing w:after="0" w:line="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revolving credit facility and global senior credit agreement, as amended; “Yen revolving credit facility” refer to our operating partnership’s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¥42,511,000,000 (approximately $268 million based on exchange rates at March 31, 2026) senior unsecured revolving credit facility and Yen credit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agreement, as amended; “revolving credit facilities” or “global revolving credit facilities” refer to our global revolving credit facility and our Yen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revolving credit facility, collectively; “2025-27 Euro term facility” or “term facility” refer to the €375,000,000 three-year senior unsecured term loan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facility of Digital Dutch Finco B.V.</w:t>
      </w:r>
    </w:p>
    <w:p>
      <w:pPr>
        <w:spacing w:after="0" w:line="10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10159"/>
          </w:cols>
          <w:pgMar w:left="300" w:top="38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3"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We make statements in this prospectus supplement, the accompanying prospectus and the documents incorporated herein and therein by reference that are forward-looking statements within the meaning of the federal securities laws. In particular, statements pertaining to our capital resources, expected use of borrowings under our credit facilities, expected use of proceeds from this offering, litigation matters or legal proceedings, portfolio performance, leverage policy, acquisition and capital expenditure plans, capital recycling program, returns on invested capital, supply and demand for data center capacity, capitalization rates, rents to be received in future periods and expected rental rates on new or renewed data center capacity contain forward-looking statements. Likewise, all of our statements regarding anticipated market conditions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which do not relate solely to historical matters. You can also identify forward-looking statements by discussions of strategy, plans or intentions.</w:t>
      </w:r>
    </w:p>
    <w:p>
      <w:pPr>
        <w:spacing w:after="0" w:line="145" w:lineRule="exact"/>
        <w:rPr>
          <w:sz w:val="20"/>
          <w:szCs w:val="20"/>
          <w:color w:val="auto"/>
        </w:rPr>
      </w:pPr>
    </w:p>
    <w:p>
      <w:pPr>
        <w:ind w:left="1400" w:right="319"/>
        <w:spacing w:after="0" w:line="257" w:lineRule="auto"/>
        <w:rPr>
          <w:sz w:val="20"/>
          <w:szCs w:val="20"/>
          <w:color w:val="auto"/>
        </w:rPr>
      </w:pPr>
      <w:r>
        <w:rPr>
          <w:rFonts w:ascii="Times New Roman" w:cs="Times New Roman" w:eastAsia="Times New Roman" w:hAnsi="Times New Roman"/>
          <w:sz w:val="14"/>
          <w:szCs w:val="14"/>
          <w:color w:val="auto"/>
        </w:rPr>
        <w:t>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69" w:lineRule="exact"/>
        <w:rPr>
          <w:sz w:val="20"/>
          <w:szCs w:val="20"/>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demand for data centers or decreases in information technology spending;</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rental rates, increased operating costs or increased vacancy rates;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or available supply of data center capacity;</w:t>
      </w:r>
    </w:p>
    <w:p>
      <w:pPr>
        <w:spacing w:after="0" w:line="98" w:lineRule="exact"/>
        <w:rPr>
          <w:rFonts w:ascii="Times New Roman" w:cs="Times New Roman" w:eastAsia="Times New Roman" w:hAnsi="Times New Roman"/>
          <w:sz w:val="14"/>
          <w:szCs w:val="14"/>
          <w:color w:val="auto"/>
        </w:rPr>
      </w:pPr>
    </w:p>
    <w:p>
      <w:pPr>
        <w:ind w:left="2160" w:right="339" w:hanging="339"/>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suitability of our data centers and data center infrastructure, delays or disruptions in connectivity or availability of power, or failures or breaches of our physical and information security infrastructure or services;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breaches of our obligations or restrictions under our contracts with our customers;</w:t>
      </w:r>
    </w:p>
    <w:p>
      <w:pPr>
        <w:spacing w:after="0" w:line="98" w:lineRule="exact"/>
        <w:rPr>
          <w:rFonts w:ascii="Times New Roman" w:cs="Times New Roman" w:eastAsia="Times New Roman" w:hAnsi="Times New Roman"/>
          <w:sz w:val="14"/>
          <w:szCs w:val="14"/>
          <w:color w:val="auto"/>
        </w:rPr>
      </w:pPr>
    </w:p>
    <w:p>
      <w:pPr>
        <w:ind w:left="2160" w:right="299" w:hanging="339"/>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develop and lease new properties and development capacity, and delays or unexpected costs in development of properties;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current global and local economic, credit and market conditions;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tariffs;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supply chain or procurement disruptions, or increased supply chain costs;</w:t>
      </w:r>
    </w:p>
    <w:p>
      <w:pPr>
        <w:spacing w:after="0" w:line="98" w:lineRule="exact"/>
        <w:rPr>
          <w:rFonts w:ascii="Times New Roman" w:cs="Times New Roman" w:eastAsia="Times New Roman" w:hAnsi="Times New Roman"/>
          <w:sz w:val="14"/>
          <w:szCs w:val="14"/>
          <w:color w:val="auto"/>
        </w:rPr>
      </w:pPr>
    </w:p>
    <w:p>
      <w:pPr>
        <w:ind w:left="2160" w:right="419" w:hanging="339"/>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from periods of heightened inflation on our costs, such as operating and general and administrative expenses, interest expense and real estate acquisition and construction costs;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customers’ and our suppliers’ operations during an epidemic, pandemic, or other global events;</w:t>
      </w:r>
    </w:p>
    <w:p>
      <w:pPr>
        <w:spacing w:after="0" w:line="98" w:lineRule="exact"/>
        <w:rPr>
          <w:rFonts w:ascii="Times New Roman" w:cs="Times New Roman" w:eastAsia="Times New Roman" w:hAnsi="Times New Roman"/>
          <w:sz w:val="14"/>
          <w:szCs w:val="14"/>
          <w:color w:val="auto"/>
        </w:rPr>
      </w:pPr>
    </w:p>
    <w:p>
      <w:pPr>
        <w:ind w:left="2160" w:right="279" w:hanging="339"/>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upon significant customers, bankruptcy or insolvency of a major customer or a significant number of smaller customers, or defaults on or non-renewal of leases by customers;</w:t>
      </w:r>
    </w:p>
    <w:p>
      <w:pPr>
        <w:spacing w:after="0" w:line="52" w:lineRule="exact"/>
        <w:rPr>
          <w:rFonts w:ascii="Times New Roman" w:cs="Times New Roman" w:eastAsia="Times New Roman" w:hAnsi="Times New Roman"/>
          <w:sz w:val="14"/>
          <w:szCs w:val="14"/>
          <w:color w:val="auto"/>
        </w:rPr>
      </w:pPr>
    </w:p>
    <w:p>
      <w:pPr>
        <w:ind w:left="2160" w:right="1019" w:hanging="339"/>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conditions, geopolitical turmoil, political instability, civil disturbances, restrictive governmental actions or nationalization in the countries in which we operate;</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retain data center capacity that we lease or sublease from third parties;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security, cyberattacks, security breaches and data privacy breaches;</w:t>
      </w:r>
    </w:p>
    <w:p>
      <w:pPr>
        <w:spacing w:after="0" w:line="1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S-iv</w:t>
      </w:r>
    </w:p>
    <w:p>
      <w:pPr>
        <w:sectPr>
          <w:pgSz w:w="11900" w:h="16838" w:orient="portrait"/>
          <w:cols w:equalWidth="0" w:num="1">
            <w:col w:w="10159"/>
          </w:cols>
          <w:pgMar w:left="300" w:top="38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459" w:hanging="339"/>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managing an international business and acquiring or operating properties in foreign jurisdictions and unfamiliar metropolitan areas;</w:t>
      </w:r>
    </w:p>
    <w:p>
      <w:pPr>
        <w:spacing w:after="0" w:line="52" w:lineRule="exact"/>
        <w:rPr>
          <w:rFonts w:ascii="Times New Roman" w:cs="Times New Roman" w:eastAsia="Times New Roman" w:hAnsi="Times New Roman"/>
          <w:sz w:val="14"/>
          <w:szCs w:val="14"/>
          <w:color w:val="auto"/>
        </w:rPr>
      </w:pPr>
    </w:p>
    <w:p>
      <w:pPr>
        <w:ind w:left="2160" w:right="419" w:hanging="339"/>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realize the intended benefits from, or disruptions to our plans and operations or unknown or contingent liabilities related to, our recent and future acquisitions;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successfully integrate and operate acquired or developed properties or businesses;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identifying properties to acquire and completing acquisitions;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joint venture investments, including as a result of our lack of control of such investments;</w:t>
      </w:r>
    </w:p>
    <w:p>
      <w:pPr>
        <w:spacing w:after="0" w:line="98" w:lineRule="exact"/>
        <w:rPr>
          <w:rFonts w:ascii="Times New Roman" w:cs="Times New Roman" w:eastAsia="Times New Roman" w:hAnsi="Times New Roman"/>
          <w:sz w:val="14"/>
          <w:szCs w:val="14"/>
          <w:color w:val="auto"/>
        </w:rPr>
      </w:pPr>
    </w:p>
    <w:p>
      <w:pPr>
        <w:ind w:left="2160" w:right="299" w:hanging="339"/>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using debt to fund our business activities, including re-financing and interest rate risks, our failure to repay debt when due, adverse changes in our credit ratings or our breach of covenants or other terms contained in our loan facilities and agreements;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obtain necessary debt and equity financing, and our dependence on external sources of capital;</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market fluctuations and changes in foreign currency exchange rates;</w:t>
      </w:r>
    </w:p>
    <w:p>
      <w:pPr>
        <w:spacing w:after="0" w:line="98" w:lineRule="exact"/>
        <w:rPr>
          <w:rFonts w:ascii="Times New Roman" w:cs="Times New Roman" w:eastAsia="Times New Roman" w:hAnsi="Times New Roman"/>
          <w:sz w:val="14"/>
          <w:szCs w:val="14"/>
          <w:color w:val="auto"/>
        </w:rPr>
      </w:pPr>
    </w:p>
    <w:p>
      <w:pPr>
        <w:ind w:left="2160" w:right="439" w:hanging="339"/>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or real estate developments in our industry or the industry sectors that we sell to, including risks relating to decreasing real estate valuations and impairment charges and goodwill and other intangible asset impairment charges;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manage our growth effectively;</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in excess of our insurance coverage;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attract and retain talent;</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liabilities, risks related to natural disasters and our inability to achieve our sustainability goals;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operating performance of anticipated near-term acquisitions and descriptions relating to these expectations;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comply with rules and regulations applicable to our company;</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Realty Trust, Inc.’s failure to maintain its status as a REIT for U.S. federal income tax purposes;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Realty Trust, L.P.’s failure to qualify as a partnership for U.S. federal income tax purposes;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ability to engage in certain business activities;</w:t>
      </w:r>
    </w:p>
    <w:p>
      <w:pPr>
        <w:spacing w:after="0" w:line="98" w:lineRule="exact"/>
        <w:rPr>
          <w:rFonts w:ascii="Times New Roman" w:cs="Times New Roman" w:eastAsia="Times New Roman" w:hAnsi="Times New Roman"/>
          <w:sz w:val="14"/>
          <w:szCs w:val="14"/>
          <w:color w:val="auto"/>
        </w:rPr>
      </w:pPr>
    </w:p>
    <w:p>
      <w:pPr>
        <w:ind w:left="2160" w:right="739" w:hanging="339"/>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local, state, federal and international laws and regulations, including related to taxation, real estate and zoning laws, and increases in real property tax rates;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financial, accounting, legal or regulatory issues or litigation that may affect us; and</w:t>
      </w:r>
    </w:p>
    <w:p>
      <w:pPr>
        <w:spacing w:after="0" w:line="98" w:lineRule="exact"/>
        <w:rPr>
          <w:rFonts w:ascii="Times New Roman" w:cs="Times New Roman" w:eastAsia="Times New Roman" w:hAnsi="Times New Roman"/>
          <w:sz w:val="14"/>
          <w:szCs w:val="14"/>
          <w:color w:val="auto"/>
        </w:rPr>
      </w:pPr>
    </w:p>
    <w:p>
      <w:pPr>
        <w:ind w:left="2160" w:right="619" w:hanging="339"/>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additional risks and factors discussed in reports filed with the SEC by us from time to time, including those discussed under the heading “Risk Factors” in our most recently filed reports on Forms 10-K and 10-Q.</w:t>
      </w:r>
    </w:p>
    <w:p>
      <w:pPr>
        <w:spacing w:after="0" w:line="126"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 The risks included here are not exhaustive, and additional factors could adversely affect our business and financial performance, including factors and risks included in other sections of this prospectus supplement, the accompanying prospectus or the documents incorporated by reference herein or therein. Moreover, we operate in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S-v</w:t>
      </w:r>
    </w:p>
    <w:p>
      <w:pPr>
        <w:sectPr>
          <w:pgSz w:w="11900" w:h="16838" w:orient="portrait"/>
          <w:cols w:equalWidth="0" w:num="1">
            <w:col w:w="10159"/>
          </w:cols>
          <w:pgMar w:left="300" w:top="382"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a very competitive and rapidly changing environment. New risk factors emerge from time to time and it is not possible for management to identify all such risk factors, nor can we assess the impact of all such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For a further discussion of these and other factors that could impact our future results, performance or transactions, see the section entitled “Risk Factors” in this prospectus supplement, in the accompanying prospectus and in our Combined Annual Report on Form 10-K for the year ended December 31, 2025, as may be updated by subsequent filings with the SEC that are incorporated by reference in this prospectus supplement and the accompanying prospectus.</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S-vi</w:t>
      </w:r>
    </w:p>
    <w:p>
      <w:pPr>
        <w:sectPr>
          <w:pgSz w:w="11900" w:h="16838" w:orient="portrait"/>
          <w:cols w:equalWidth="0" w:num="1">
            <w:col w:w="10159"/>
          </w:cols>
          <w:pgMar w:left="300" w:top="382"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162560</wp:posOffset>
            </wp:positionV>
            <wp:extent cx="5389245" cy="4669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89245" cy="4669790"/>
                    </a:xfrm>
                    <a:prstGeom prst="rect">
                      <a:avLst/>
                    </a:prstGeom>
                    <a:noFill/>
                  </pic:spPr>
                </pic:pic>
              </a:graphicData>
            </a:graphic>
          </wp:anchor>
        </w:drawing>
      </w:r>
    </w:p>
    <w:p>
      <w:pPr>
        <w:spacing w:after="0" w:line="3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71" w:lineRule="exact"/>
        <w:rPr>
          <w:sz w:val="20"/>
          <w:szCs w:val="20"/>
          <w:color w:val="auto"/>
        </w:rPr>
      </w:pPr>
    </w:p>
    <w:p>
      <w:pPr>
        <w:ind w:left="1540" w:right="579" w:firstLine="328"/>
        <w:spacing w:after="0" w:line="264" w:lineRule="auto"/>
        <w:rPr>
          <w:sz w:val="20"/>
          <w:szCs w:val="20"/>
          <w:color w:val="auto"/>
        </w:rPr>
      </w:pPr>
      <w:r>
        <w:rPr>
          <w:rFonts w:ascii="Times New Roman" w:cs="Times New Roman" w:eastAsia="Times New Roman" w:hAnsi="Times New Roman"/>
          <w:sz w:val="14"/>
          <w:szCs w:val="14"/>
          <w:i w:val="1"/>
          <w:iCs w:val="1"/>
          <w:color w:val="auto"/>
        </w:rPr>
        <w:t>You should read the following summary together with the more detailed information regarding our company and the financial statements appearing elsewhere in this prospectus supplement and the accompanying prospectus or incorporated by reference in this prospectus supplement and the accompanying prospectus, including under the caption “Risk Factors.”</w:t>
      </w:r>
    </w:p>
    <w:p>
      <w:pPr>
        <w:spacing w:after="0" w:line="30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Digital Realty Trust, Inc.</w:t>
      </w:r>
    </w:p>
    <w:p>
      <w:pPr>
        <w:spacing w:after="0" w:line="17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3" w:lineRule="exact"/>
        <w:rPr>
          <w:sz w:val="20"/>
          <w:szCs w:val="20"/>
          <w:color w:val="auto"/>
        </w:rPr>
      </w:pPr>
    </w:p>
    <w:p>
      <w:pPr>
        <w:ind w:left="1540" w:right="459" w:firstLine="328"/>
        <w:spacing w:after="0" w:line="255" w:lineRule="auto"/>
        <w:rPr>
          <w:sz w:val="20"/>
          <w:szCs w:val="20"/>
          <w:color w:val="auto"/>
        </w:rPr>
      </w:pPr>
      <w:r>
        <w:rPr>
          <w:rFonts w:ascii="Times New Roman" w:cs="Times New Roman" w:eastAsia="Times New Roman" w:hAnsi="Times New Roman"/>
          <w:sz w:val="14"/>
          <w:szCs w:val="14"/>
          <w:color w:val="auto"/>
        </w:rPr>
        <w:t>Digital Realty Trust, Inc., through its controlling interest in Digital Realty Trust, L.P. and its subsidiaries, is a leading global provider of data center, colocation and interconnection solutions for customers across a variety of industry verticals. Digital Realty Trust, L.P., a Maryland limited partnership, is the entity through which Digital Realty Trust, Inc., a Maryland corporation, conducts its business of owning, acquiring, developing and operating data centers. Digital Realty Trust, Inc. operates as a REIT for federal income tax purposes, and our operating partnership is the entity through which we conduct our business and own our assets.</w:t>
      </w:r>
    </w:p>
    <w:p>
      <w:pPr>
        <w:spacing w:after="0" w:line="142" w:lineRule="exact"/>
        <w:rPr>
          <w:sz w:val="20"/>
          <w:szCs w:val="20"/>
          <w:color w:val="auto"/>
        </w:rPr>
      </w:pPr>
    </w:p>
    <w:p>
      <w:pPr>
        <w:ind w:left="1540" w:right="499" w:firstLine="328"/>
        <w:spacing w:after="0" w:line="255" w:lineRule="auto"/>
        <w:rPr>
          <w:sz w:val="20"/>
          <w:szCs w:val="20"/>
          <w:color w:val="auto"/>
        </w:rPr>
      </w:pPr>
      <w:r>
        <w:rPr>
          <w:rFonts w:ascii="Times New Roman" w:cs="Times New Roman" w:eastAsia="Times New Roman" w:hAnsi="Times New Roman"/>
          <w:sz w:val="14"/>
          <w:szCs w:val="14"/>
          <w:color w:val="auto"/>
        </w:rPr>
        <w:t>As of March 31, 2026, our portfolio included 309 data centers, including 89 data centers held as investments in unconsolidated entities, with approximately 2,408 megawatts of uninterruptible power supply-backed utility power dedicated to our operated data center capacity, excluding space under active development and space held for development. As of March 31, 2026, our portfolio, including the 89 data centers held as investments in unconsolidated entities, was approximately 89.4% leased, excluding space under active development and space held for development.</w:t>
      </w:r>
    </w:p>
    <w:p>
      <w:pPr>
        <w:spacing w:after="0" w:line="142" w:lineRule="exact"/>
        <w:rPr>
          <w:sz w:val="20"/>
          <w:szCs w:val="20"/>
          <w:color w:val="auto"/>
        </w:rPr>
      </w:pPr>
    </w:p>
    <w:p>
      <w:pPr>
        <w:ind w:left="1540" w:right="479" w:firstLine="328"/>
        <w:spacing w:after="0" w:line="232" w:lineRule="auto"/>
        <w:rPr>
          <w:sz w:val="20"/>
          <w:szCs w:val="20"/>
          <w:color w:val="auto"/>
        </w:rPr>
      </w:pPr>
      <w:r>
        <w:rPr>
          <w:rFonts w:ascii="Times New Roman" w:cs="Times New Roman" w:eastAsia="Times New Roman" w:hAnsi="Times New Roman"/>
          <w:sz w:val="14"/>
          <w:szCs w:val="14"/>
          <w:color w:val="auto"/>
        </w:rPr>
        <w:t>Digital Realty Trust, Inc. was incorporated in the state of Maryland on March 9, 2004. Digital Realty Trust, L.P. was organized in the state of Maryland on July 21, 2004. Our principal executive offices are located at 601 West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Street, Floor 32, Austin, Texas 78701. Our telephone number is (737) 281-0101. Our website is www.digitalrealty.com. The information found on, or otherwise accessible through, our website is not incorporated into, and does not form a part of, this prospectus supplement, the accompanying prospectus or any other report or document we file with or furnish to the SEC.</w:t>
      </w:r>
    </w:p>
    <w:p>
      <w:pPr>
        <w:spacing w:after="0" w:line="2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8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i w:val="1"/>
          <w:iCs w:val="1"/>
          <w:color w:val="auto"/>
        </w:rPr>
        <w:t>Purchase of Blackstone’s Interest in Digital Carver Dulles 9 and Digital Carver Brickyard Joint Ventures</w:t>
      </w:r>
    </w:p>
    <w:p>
      <w:pPr>
        <w:spacing w:after="0" w:line="90" w:lineRule="exact"/>
        <w:rPr>
          <w:sz w:val="20"/>
          <w:szCs w:val="20"/>
          <w:color w:val="auto"/>
        </w:rPr>
      </w:pPr>
    </w:p>
    <w:p>
      <w:pPr>
        <w:ind w:left="1540" w:right="419" w:firstLine="328"/>
        <w:spacing w:after="0" w:line="251" w:lineRule="auto"/>
        <w:rPr>
          <w:sz w:val="20"/>
          <w:szCs w:val="20"/>
          <w:color w:val="auto"/>
        </w:rPr>
      </w:pPr>
      <w:r>
        <w:rPr>
          <w:rFonts w:ascii="Times New Roman" w:cs="Times New Roman" w:eastAsia="Times New Roman" w:hAnsi="Times New Roman"/>
          <w:sz w:val="14"/>
          <w:szCs w:val="14"/>
          <w:color w:val="auto"/>
        </w:rPr>
        <w:t>On June 29, 2026, the company entered into an agreement to purchase from affiliates of Blackstone Inc. (collectively, “Blackstone” or the “selling stockholders”) all of Blackstone’s blended 64% interests in the Digital Carver Dulles 9 and Digital Carver Brickyard joint ventures (the “joint ventures”) (resulting in each of the joint ventures becoming a wholly owned subsidiary of the operating partnership) for consideration consisting of $1,231 million in cash and 12,310,249 shares of the company’s non-voting common stock. Pursuant to the terms of the Articles Supplementary governing the non-voting common stock, each share of non-voting common stock will automatically convert into one share of the company’s common stock upon its transfer by the selling stockholders or one of their affiliates to a person that is not affiliated with the selling stockholders. The non-voting common stock will have rights and preferences that are identical to the company’s existing common stock, except that it will have no voting rights and it will automatically convert into common stock upon such transfer. The purchase is expected to be completed on June 30, 2026 and is subject to customary closing conditions. This offering is conditioned upon the occurrence of the completion of the purchase and the issuance of the non-voting common stock to the selling stockholders.</w:t>
      </w: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162560</wp:posOffset>
            </wp:positionV>
            <wp:extent cx="5389245" cy="3667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9245" cy="3667125"/>
                    </a:xfrm>
                    <a:prstGeom prst="rect">
                      <a:avLst/>
                    </a:prstGeom>
                    <a:noFill/>
                  </pic:spPr>
                </pic:pic>
              </a:graphicData>
            </a:graphic>
          </wp:anchor>
        </w:drawing>
      </w:r>
    </w:p>
    <w:p>
      <w:pPr>
        <w:spacing w:after="0" w:line="361" w:lineRule="exact"/>
        <w:rPr>
          <w:sz w:val="20"/>
          <w:szCs w:val="20"/>
          <w:color w:val="auto"/>
        </w:rPr>
      </w:pPr>
    </w:p>
    <w:p>
      <w:pPr>
        <w:ind w:left="1540" w:right="439" w:firstLine="328"/>
        <w:spacing w:after="0" w:line="251" w:lineRule="auto"/>
        <w:rPr>
          <w:sz w:val="20"/>
          <w:szCs w:val="20"/>
          <w:color w:val="auto"/>
        </w:rPr>
      </w:pPr>
      <w:r>
        <w:rPr>
          <w:rFonts w:ascii="Times New Roman" w:cs="Times New Roman" w:eastAsia="Times New Roman" w:hAnsi="Times New Roman"/>
          <w:sz w:val="14"/>
          <w:szCs w:val="14"/>
          <w:color w:val="auto"/>
        </w:rPr>
        <w:t>The joint ventures are developing three hyperscale data centers totaling 288 megawatts of expected critical IT capacity located in Northern Virginia, the world’s largest data center market. Upon the completion of the purchase, the company will have acquired Blackstone’s 80% interest in two data centers in Manassas and Blackstone’s 50% interest in the Digital Dulles campus in Sterling, each with 96 megawatts of IT capacity, at a gross value of $7.8 billion (including assumed debt and estimated remaining capital expenditures to complete the ongoing development), reflecting an estimated initial stabilized capitalization rate of over 6.5%. Two of the data centers are expected to stabilize in the first half of 2027, with the third expected to stabilize in the first half of 2028. The three data centers are 100% leased to three distinct investment-grade hyperscale customers. Through this transaction, the company will increase its exposure to newly developed capacity in the world’s largest data center market, supported by 15-year leases with a blended average Aa3/AA- credit-rating and 3.6% annual rent escalators (in each case, weighted by annualized rent), that are expected to enhance the company’s growth. We expect the purchase of these interests to be leverage neutral and accretive to core funds from operations (“Core FFO”) per share in each of 2027 and 2028, as development is completed and rents commence.</w:t>
      </w:r>
    </w:p>
    <w:p>
      <w:pPr>
        <w:spacing w:after="0" w:line="2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i w:val="1"/>
          <w:iCs w:val="1"/>
          <w:color w:val="auto"/>
        </w:rPr>
        <w:t>Other Acquisitions</w:t>
      </w:r>
    </w:p>
    <w:p>
      <w:pPr>
        <w:spacing w:after="0" w:line="90" w:lineRule="exact"/>
        <w:rPr>
          <w:sz w:val="20"/>
          <w:szCs w:val="20"/>
          <w:color w:val="auto"/>
        </w:rPr>
      </w:pPr>
    </w:p>
    <w:p>
      <w:pPr>
        <w:ind w:left="1540" w:right="479" w:firstLine="328"/>
        <w:spacing w:after="0" w:line="257" w:lineRule="auto"/>
        <w:rPr>
          <w:sz w:val="20"/>
          <w:szCs w:val="20"/>
          <w:color w:val="auto"/>
        </w:rPr>
      </w:pPr>
      <w:r>
        <w:rPr>
          <w:rFonts w:ascii="Times New Roman" w:cs="Times New Roman" w:eastAsia="Times New Roman" w:hAnsi="Times New Roman"/>
          <w:sz w:val="14"/>
          <w:szCs w:val="14"/>
          <w:color w:val="auto"/>
        </w:rPr>
        <w:t>On April 30, 2026, the operating partnership acquired approximately 1,440 acres of land for development at Astra Enterprise Park, located near Kansas City for approximately $377.6 million in cash and 517,475 common units of partnership interest in the operating partnership. The operating partnership has entered into an agreement with the local utility for 600 megawatts of utility power to be provided by early 2028, and two gigawatts expected at full capacity.</w:t>
      </w:r>
    </w:p>
    <w:p>
      <w:pPr>
        <w:spacing w:after="0" w:line="142" w:lineRule="exact"/>
        <w:rPr>
          <w:sz w:val="20"/>
          <w:szCs w:val="20"/>
          <w:color w:val="auto"/>
        </w:rPr>
      </w:pPr>
    </w:p>
    <w:p>
      <w:pPr>
        <w:ind w:left="1540" w:right="539" w:firstLine="328"/>
        <w:spacing w:after="0" w:line="253" w:lineRule="auto"/>
        <w:rPr>
          <w:sz w:val="20"/>
          <w:szCs w:val="20"/>
          <w:color w:val="auto"/>
        </w:rPr>
      </w:pPr>
      <w:r>
        <w:rPr>
          <w:rFonts w:ascii="Times New Roman" w:cs="Times New Roman" w:eastAsia="Times New Roman" w:hAnsi="Times New Roman"/>
          <w:sz w:val="14"/>
          <w:szCs w:val="14"/>
          <w:color w:val="auto"/>
        </w:rPr>
        <w:t>On June 22, 2026, the company agreed to issue 3,425,031 shares of its common stock to purchase approximately 16% of the interests in the company’s Teraco joint venture pursuant to an existing put right exercised by certain of the joint venture’s third party partners. The purchase will increase the company’s interest in Africa’s leading data center platform to 77%. The company has agreed to provide the applicable sellers resale registration rights with respect to the common stock to be issued. Completion of the repurchase transaction is expected to occur in the second half of 2026, subject to customary closing conditions and regulatory approvals. As of March 31, 2026, the Teraco joint venture had over 29,000 cross-connects and 126 megawatts in existing capacity with an additional 41 megawatts under construction.</w:t>
      </w:r>
    </w:p>
    <w:p>
      <w:pPr>
        <w:spacing w:after="0" w:line="2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i w:val="1"/>
          <w:iCs w:val="1"/>
          <w:color w:val="auto"/>
        </w:rPr>
        <w:t>At-the-Market Program Activity</w:t>
      </w:r>
    </w:p>
    <w:p>
      <w:pPr>
        <w:spacing w:after="0" w:line="90" w:lineRule="exact"/>
        <w:rPr>
          <w:sz w:val="20"/>
          <w:szCs w:val="20"/>
          <w:color w:val="auto"/>
        </w:rPr>
      </w:pPr>
    </w:p>
    <w:p>
      <w:pPr>
        <w:ind w:left="1540" w:right="639" w:firstLine="328"/>
        <w:spacing w:after="0" w:line="253" w:lineRule="auto"/>
        <w:rPr>
          <w:sz w:val="20"/>
          <w:szCs w:val="20"/>
          <w:color w:val="auto"/>
        </w:rPr>
      </w:pPr>
      <w:r>
        <w:rPr>
          <w:rFonts w:ascii="Times New Roman" w:cs="Times New Roman" w:eastAsia="Times New Roman" w:hAnsi="Times New Roman"/>
          <w:sz w:val="14"/>
          <w:szCs w:val="14"/>
          <w:color w:val="auto"/>
        </w:rPr>
        <w:t>From April 29, 2026 through June 29, 2026, the company sold 6,158,839 shares of its common stock under its “at the market” equity program, resulting in net proceeds of approximately $1.2 billion after deducting commissions. The company used and intends to use the net proceeds from the sale of such shares to temporarily repay borrowings outstanding under its global revolving credit facilities, acquire additional properties or businesses, fund development opportunities, and to provide for working capital and other general corporate purposes, including potentially for the repayment of other debt or the repurchase, redemption, or retirement of outstanding debt securities, or a combination of the foregoing.</w:t>
      </w: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2"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162560</wp:posOffset>
            </wp:positionV>
            <wp:extent cx="5389245" cy="4663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9245" cy="4663440"/>
                    </a:xfrm>
                    <a:prstGeom prst="rect">
                      <a:avLst/>
                    </a:prstGeom>
                    <a:noFill/>
                  </pic:spPr>
                </pic:pic>
              </a:graphicData>
            </a:graphic>
          </wp:anchor>
        </w:drawing>
      </w:r>
    </w:p>
    <w:p>
      <w:pPr>
        <w:spacing w:after="0" w:line="35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3"/>
          <w:szCs w:val="13"/>
          <w:b w:val="1"/>
          <w:bCs w:val="1"/>
          <w:color w:val="auto"/>
        </w:rPr>
        <w:t>THE OFFERING</w:t>
      </w:r>
    </w:p>
    <w:p>
      <w:pPr>
        <w:sectPr>
          <w:pgSz w:w="11900" w:h="16838" w:orient="portrait"/>
          <w:cols w:equalWidth="0" w:num="1">
            <w:col w:w="10159"/>
          </w:cols>
          <w:pgMar w:left="300" w:top="382" w:right="1440" w:bottom="1440" w:gutter="0" w:footer="0" w:header="0"/>
        </w:sectPr>
      </w:pPr>
    </w:p>
    <w:p>
      <w:pPr>
        <w:spacing w:after="0" w:line="20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Issuer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2719"/>
        <w:spacing w:after="0"/>
        <w:rPr>
          <w:sz w:val="20"/>
          <w:szCs w:val="20"/>
          <w:color w:val="auto"/>
        </w:rPr>
      </w:pPr>
      <w:r>
        <w:rPr>
          <w:rFonts w:ascii="Times New Roman" w:cs="Times New Roman" w:eastAsia="Times New Roman" w:hAnsi="Times New Roman"/>
          <w:sz w:val="13"/>
          <w:szCs w:val="13"/>
          <w:color w:val="auto"/>
        </w:rPr>
        <w:t>Digital Realty Trust, Inc., a Maryland corporation.</w:t>
      </w:r>
    </w:p>
    <w:p>
      <w:pPr>
        <w:spacing w:after="0" w:line="200" w:lineRule="exact"/>
        <w:rPr>
          <w:sz w:val="20"/>
          <w:szCs w:val="20"/>
          <w:color w:val="auto"/>
        </w:rPr>
      </w:pPr>
    </w:p>
    <w:p>
      <w:pPr>
        <w:sectPr>
          <w:pgSz w:w="11900" w:h="16838" w:orient="portrait"/>
          <w:cols w:equalWidth="0" w:num="2">
            <w:col w:w="3940" w:space="720"/>
            <w:col w:w="5499"/>
          </w:cols>
          <w:pgMar w:left="300" w:top="382" w:right="1440" w:bottom="1440" w:gutter="0" w:footer="0" w:header="0"/>
          <w:type w:val="continuous"/>
        </w:sectPr>
      </w:pPr>
    </w:p>
    <w:p>
      <w:pPr>
        <w:spacing w:after="0" w:line="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12,310,249 shares.</w:t>
      </w:r>
      <w:r>
        <w:rPr>
          <w:rFonts w:ascii="Times New Roman" w:cs="Times New Roman" w:eastAsia="Times New Roman" w:hAnsi="Times New Roman"/>
          <w:sz w:val="9"/>
          <w:szCs w:val="9"/>
          <w:color w:val="auto"/>
        </w:rPr>
        <w:t>(1)</w:t>
      </w:r>
    </w:p>
    <w:p>
      <w:pPr>
        <w:spacing w:after="0" w:line="200" w:lineRule="exact"/>
        <w:rPr>
          <w:sz w:val="20"/>
          <w:szCs w:val="20"/>
          <w:color w:val="auto"/>
        </w:rPr>
      </w:pPr>
    </w:p>
    <w:p>
      <w:pPr>
        <w:sectPr>
          <w:pgSz w:w="11900" w:h="16838" w:orient="portrait"/>
          <w:cols w:equalWidth="0" w:num="2">
            <w:col w:w="4480" w:space="180"/>
            <w:col w:w="5499"/>
          </w:cols>
          <w:pgMar w:left="300" w:top="382" w:right="1440" w:bottom="1440" w:gutter="0" w:footer="0" w:header="0"/>
          <w:type w:val="continuous"/>
        </w:sectPr>
      </w:pPr>
    </w:p>
    <w:p>
      <w:pPr>
        <w:spacing w:after="0" w:line="12" w:lineRule="exact"/>
        <w:rPr>
          <w:sz w:val="20"/>
          <w:szCs w:val="20"/>
          <w:color w:val="auto"/>
        </w:rPr>
      </w:pPr>
    </w:p>
    <w:p>
      <w:pPr>
        <w:ind w:left="1600" w:hanging="60"/>
        <w:spacing w:after="0" w:line="281" w:lineRule="auto"/>
        <w:rPr>
          <w:sz w:val="20"/>
          <w:szCs w:val="20"/>
          <w:color w:val="auto"/>
        </w:rPr>
      </w:pPr>
      <w:r>
        <w:rPr>
          <w:rFonts w:ascii="Times New Roman" w:cs="Times New Roman" w:eastAsia="Times New Roman" w:hAnsi="Times New Roman"/>
          <w:sz w:val="14"/>
          <w:szCs w:val="14"/>
          <w:b w:val="1"/>
          <w:bCs w:val="1"/>
          <w:color w:val="auto"/>
        </w:rPr>
        <w:t>Shares of 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369,976,002 shares.</w:t>
      </w:r>
    </w:p>
    <w:p>
      <w:pPr>
        <w:spacing w:after="0" w:line="378" w:lineRule="exact"/>
        <w:rPr>
          <w:sz w:val="20"/>
          <w:szCs w:val="20"/>
          <w:color w:val="auto"/>
        </w:rPr>
      </w:pPr>
    </w:p>
    <w:p>
      <w:pPr>
        <w:sectPr>
          <w:pgSz w:w="11900" w:h="16838" w:orient="portrait"/>
          <w:cols w:equalWidth="0" w:num="2">
            <w:col w:w="4600" w:space="60"/>
            <w:col w:w="5499"/>
          </w:cols>
          <w:pgMar w:left="300" w:top="382" w:right="1440" w:bottom="1440" w:gutter="0" w:footer="0" w:header="0"/>
          <w:type w:val="continuous"/>
        </w:sectPr>
      </w:pPr>
    </w:p>
    <w:p>
      <w:pPr>
        <w:ind w:left="1600" w:hanging="60"/>
        <w:spacing w:after="0" w:line="321" w:lineRule="auto"/>
        <w:rPr>
          <w:sz w:val="20"/>
          <w:szCs w:val="20"/>
          <w:color w:val="auto"/>
        </w:rPr>
      </w:pPr>
      <w:r>
        <w:rPr>
          <w:rFonts w:ascii="Times New Roman" w:cs="Times New Roman" w:eastAsia="Times New Roman" w:hAnsi="Times New Roman"/>
          <w:sz w:val="13"/>
          <w:szCs w:val="13"/>
          <w:b w:val="1"/>
          <w:bCs w:val="1"/>
          <w:color w:val="auto"/>
        </w:rPr>
        <w:t>Shares of common stock and common units outstanding upon completion of this offering</w:t>
      </w:r>
    </w:p>
    <w:p>
      <w:pPr>
        <w:spacing w:after="0" w:line="20" w:lineRule="exact"/>
        <w:rPr>
          <w:sz w:val="20"/>
          <w:szCs w:val="20"/>
          <w:color w:val="auto"/>
        </w:rPr>
      </w:pPr>
      <w:r>
        <w:rPr>
          <w:sz w:val="20"/>
          <w:szCs w:val="20"/>
          <w:color w:val="auto"/>
        </w:rPr>
        <w:br w:type="column"/>
      </w:r>
    </w:p>
    <w:p>
      <w:pPr>
        <w:ind w:right="559"/>
        <w:spacing w:after="0" w:line="278" w:lineRule="auto"/>
        <w:rPr>
          <w:sz w:val="20"/>
          <w:szCs w:val="20"/>
          <w:color w:val="auto"/>
        </w:rPr>
      </w:pPr>
      <w:r>
        <w:rPr>
          <w:rFonts w:ascii="Times New Roman" w:cs="Times New Roman" w:eastAsia="Times New Roman" w:hAnsi="Times New Roman"/>
          <w:sz w:val="14"/>
          <w:szCs w:val="14"/>
          <w:color w:val="auto"/>
        </w:rPr>
        <w:t>376,675,007 shares and common units of partnership interest in our operating partnership (“common units”).</w:t>
      </w:r>
      <w:r>
        <w:rPr>
          <w:rFonts w:ascii="Times New Roman" w:cs="Times New Roman" w:eastAsia="Times New Roman" w:hAnsi="Times New Roman"/>
          <w:sz w:val="10"/>
          <w:szCs w:val="10"/>
          <w:color w:val="auto"/>
        </w:rPr>
        <w:t>(2)</w:t>
      </w:r>
    </w:p>
    <w:p>
      <w:pPr>
        <w:spacing w:after="0" w:line="154" w:lineRule="exact"/>
        <w:rPr>
          <w:sz w:val="20"/>
          <w:szCs w:val="20"/>
          <w:color w:val="auto"/>
        </w:rPr>
      </w:pPr>
    </w:p>
    <w:p>
      <w:pPr>
        <w:sectPr>
          <w:pgSz w:w="11900" w:h="16838" w:orient="portrait"/>
          <w:cols w:equalWidth="0" w:num="2">
            <w:col w:w="4240" w:space="420"/>
            <w:col w:w="5499"/>
          </w:cols>
          <w:pgMar w:left="300" w:top="382"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20" w:lineRule="exact"/>
        <w:rPr>
          <w:sz w:val="20"/>
          <w:szCs w:val="20"/>
          <w:color w:val="auto"/>
        </w:rPr>
      </w:pPr>
      <w:r>
        <w:rPr>
          <w:sz w:val="20"/>
          <w:szCs w:val="20"/>
          <w:color w:val="auto"/>
        </w:rPr>
        <w:br w:type="column"/>
      </w:r>
    </w:p>
    <w:p>
      <w:pPr>
        <w:ind w:right="499"/>
        <w:spacing w:after="0" w:line="257" w:lineRule="auto"/>
        <w:rPr>
          <w:sz w:val="20"/>
          <w:szCs w:val="20"/>
          <w:color w:val="auto"/>
        </w:rPr>
      </w:pPr>
      <w:r>
        <w:rPr>
          <w:rFonts w:ascii="Times New Roman" w:cs="Times New Roman" w:eastAsia="Times New Roman" w:hAnsi="Times New Roman"/>
          <w:sz w:val="14"/>
          <w:szCs w:val="14"/>
          <w:color w:val="auto"/>
        </w:rPr>
        <w:t>The selling stockholders will receive all of the net proceeds from the sale of shares of common stock in this offering. We will not receive any proceeds from the sale of shares of our common stock by the selling stockholders. See “Use of Proceeds” in this prospectus supplement.</w:t>
      </w:r>
    </w:p>
    <w:p>
      <w:pPr>
        <w:spacing w:after="0" w:line="160" w:lineRule="exact"/>
        <w:rPr>
          <w:sz w:val="20"/>
          <w:szCs w:val="20"/>
          <w:color w:val="auto"/>
        </w:rPr>
      </w:pPr>
    </w:p>
    <w:p>
      <w:pPr>
        <w:sectPr>
          <w:pgSz w:w="11900" w:h="16838" w:orient="portrait"/>
          <w:cols w:equalWidth="0" w:num="2">
            <w:col w:w="3940" w:space="720"/>
            <w:col w:w="5499"/>
          </w:cols>
          <w:pgMar w:left="300" w:top="382"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“DLR”</w:t>
      </w:r>
    </w:p>
    <w:p>
      <w:pPr>
        <w:spacing w:after="0" w:line="209" w:lineRule="exact"/>
        <w:rPr>
          <w:sz w:val="20"/>
          <w:szCs w:val="20"/>
          <w:color w:val="auto"/>
        </w:rPr>
      </w:pPr>
    </w:p>
    <w:p>
      <w:pPr>
        <w:sectPr>
          <w:pgSz w:w="11900" w:h="16838" w:orient="portrait"/>
          <w:cols w:equalWidth="0" w:num="2">
            <w:col w:w="3940" w:space="720"/>
            <w:col w:w="5499"/>
          </w:cols>
          <w:pgMar w:left="300" w:top="382" w:right="1440" w:bottom="1440" w:gutter="0" w:footer="0" w:header="0"/>
          <w:type w:val="continuous"/>
        </w:sectPr>
      </w:pPr>
    </w:p>
    <w:p>
      <w:pPr>
        <w:spacing w:after="0" w:line="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Restrictions on ownership and transfer</w:t>
      </w:r>
    </w:p>
    <w:p>
      <w:pPr>
        <w:spacing w:after="0" w:line="20" w:lineRule="exact"/>
        <w:rPr>
          <w:sz w:val="20"/>
          <w:szCs w:val="20"/>
          <w:color w:val="auto"/>
        </w:rPr>
      </w:pPr>
      <w:r>
        <w:rPr>
          <w:sz w:val="20"/>
          <w:szCs w:val="20"/>
          <w:color w:val="auto"/>
        </w:rPr>
        <w:br w:type="column"/>
      </w:r>
    </w:p>
    <w:p>
      <w:pPr>
        <w:ind w:right="499"/>
        <w:spacing w:after="0" w:line="251" w:lineRule="auto"/>
        <w:rPr>
          <w:sz w:val="20"/>
          <w:szCs w:val="20"/>
          <w:color w:val="auto"/>
        </w:rPr>
      </w:pPr>
      <w:r>
        <w:rPr>
          <w:rFonts w:ascii="Times New Roman" w:cs="Times New Roman" w:eastAsia="Times New Roman" w:hAnsi="Times New Roman"/>
          <w:sz w:val="14"/>
          <w:szCs w:val="14"/>
          <w:color w:val="auto"/>
        </w:rPr>
        <w:t>Our charter contains restrictions on the ownership and transfer of our stock that are intended to assist us in complying with the requirements for qualification as a REIT. Among other things, our charter provides that, subject to certain exceptions, no person or entity may actually or beneficially own, or be deemed to own by virtue of the applicable constructive ownership provisions of the Internal Revenue Code of 1986, as amended, more than 9.8% (in value or in number of shares, whichever is more restrictive) of the outstanding shares of our common stock or 9.8% in value of the aggregate outstanding shares of all classes and series of our stock. See “Restrictions on Ownership and Transfer” in the accompanying prospectus.</w:t>
      </w:r>
    </w:p>
    <w:p>
      <w:pPr>
        <w:spacing w:after="0" w:line="166" w:lineRule="exact"/>
        <w:rPr>
          <w:sz w:val="20"/>
          <w:szCs w:val="20"/>
          <w:color w:val="auto"/>
        </w:rPr>
      </w:pPr>
    </w:p>
    <w:p>
      <w:pPr>
        <w:sectPr>
          <w:pgSz w:w="11900" w:h="16838" w:orient="portrait"/>
          <w:cols w:equalWidth="0" w:num="2">
            <w:col w:w="3940" w:space="720"/>
            <w:col w:w="5499"/>
          </w:cols>
          <w:pgMar w:left="300" w:top="382"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ind w:right="539"/>
        <w:spacing w:after="0" w:line="253"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and the purchasers of our common stock may lose their entire investment. Before deciding to invest in our common stock, please carefully read the section entitled “Risk Factors” beginning on page S-5 of this prospectus supplement, including the risks incorporated therein from our most recent Annual Report on Form 10-K and our other periodic reports filed with the SEC and incorporated by reference herein.</w:t>
      </w:r>
    </w:p>
    <w:p>
      <w:pPr>
        <w:spacing w:after="0" w:line="166" w:lineRule="exact"/>
        <w:rPr>
          <w:sz w:val="20"/>
          <w:szCs w:val="20"/>
          <w:color w:val="auto"/>
        </w:rPr>
      </w:pPr>
    </w:p>
    <w:p>
      <w:pPr>
        <w:sectPr>
          <w:pgSz w:w="11900" w:h="16838" w:orient="portrait"/>
          <w:cols w:equalWidth="0" w:num="2">
            <w:col w:w="3940" w:space="720"/>
            <w:col w:w="5499"/>
          </w:cols>
          <w:pgMar w:left="300" w:top="382" w:right="1440" w:bottom="1440" w:gutter="0" w:footer="0" w:header="0"/>
          <w:type w:val="continuous"/>
        </w:sectPr>
      </w:pPr>
    </w:p>
    <w:p>
      <w:pPr>
        <w:ind w:left="1860" w:right="739" w:hanging="314"/>
        <w:spacing w:after="0" w:line="259"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non-voting common stock to be issued to the selling stockholders in the Blackstone acquisition, which will automatically convert into common stock upon transfer in connection with this offering.</w:t>
      </w:r>
    </w:p>
    <w:p>
      <w:pPr>
        <w:ind w:left="1860" w:right="499" w:hanging="314"/>
        <w:spacing w:after="0" w:line="251" w:lineRule="auto"/>
        <w:tabs>
          <w:tab w:leader="none" w:pos="1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4,327,660 units held by limited partners, 1,377,592 outstanding vested and unvested long-term incentive units issued under our incentive award plans, 216,451 outstanding vested class C units and 777,302 outstanding vested and unvested class D units, which subject to limits in the partnership agreement</w:t>
      </w: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2"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162560</wp:posOffset>
            </wp:positionV>
            <wp:extent cx="5389245" cy="6064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9245" cy="606425"/>
                    </a:xfrm>
                    <a:prstGeom prst="rect">
                      <a:avLst/>
                    </a:prstGeom>
                    <a:noFill/>
                  </pic:spPr>
                </pic:pic>
              </a:graphicData>
            </a:graphic>
          </wp:anchor>
        </w:drawing>
      </w:r>
    </w:p>
    <w:p>
      <w:pPr>
        <w:spacing w:after="0" w:line="361" w:lineRule="exact"/>
        <w:rPr>
          <w:sz w:val="20"/>
          <w:szCs w:val="20"/>
          <w:color w:val="auto"/>
        </w:rPr>
      </w:pPr>
    </w:p>
    <w:p>
      <w:pPr>
        <w:ind w:left="1860" w:right="459"/>
        <w:spacing w:after="0" w:line="283" w:lineRule="auto"/>
        <w:rPr>
          <w:sz w:val="20"/>
          <w:szCs w:val="20"/>
          <w:color w:val="auto"/>
        </w:rPr>
      </w:pPr>
      <w:r>
        <w:rPr>
          <w:rFonts w:ascii="Times New Roman" w:cs="Times New Roman" w:eastAsia="Times New Roman" w:hAnsi="Times New Roman"/>
          <w:sz w:val="13"/>
          <w:szCs w:val="13"/>
          <w:color w:val="auto"/>
        </w:rPr>
        <w:t>of our operating partnership, may be exchanged for cash or, at our option, shares of our common stock on a one-for-one basis. Excludes (i) 3,401,680 units potentially issuable upon conversion of our series J cumulative redeemable perpetual preferred units, (ii) 3,663,324 units potentially issuable upon conversion of our series K cumulative redeemable preferred units and (iii) 5,315,484 units potentially issuable upon conversion of our series L cumulative redeemable preferred units, in each case, in connection with specified change of control transactions.</w:t>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2"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1"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i w:val="1"/>
          <w:iCs w:val="1"/>
          <w:color w:val="auto"/>
        </w:rPr>
        <w:t>In addition to other information contained or incorporated by reference in this prospectus supplement, the accompanying prospectus and any “free writing prospectus” we authorize to be delivered to you, you should carefully consider the risks described below and incorporated herein by reference to our Combined Annual Report on Form 10-K for the year ended December 31, 2025 and other subsequent filings of Digital Realty Trust, Inc. and Digital Realty Trust, L.P. under the Securities Exchange Act of 1934, as amended (the “Exchange Act”), in evaluating our company, our properties and our business before making a decision to invest in our common stock. These risks are not the only ones faced by us. Additional risks not presently known to us or that we currently deem immaterial could also materially and adversely affect our financial condition, results of operations, business and prospects. The trading price of our common stock could decline due to any of these risks, and you may lose all or part of your investment. This prospectus supplement, the accompanying prospectus and the documents incorporated herein and therein by reference also contain forward-looking statements that involve risks and uncertainties. Actual results could differ materially from those anticipated in these forward-looking statements as a result of certain factors, including the risks faced by us described below and elsewhere in this prospectus supplement, the accompanying prospectus and the documents incorporated herein and therein by reference. Please refer to the section entitled “Forward-Looking Statements.”</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88" w:lineRule="exact"/>
        <w:rPr>
          <w:sz w:val="20"/>
          <w:szCs w:val="20"/>
          <w:color w:val="auto"/>
        </w:rPr>
      </w:pPr>
    </w:p>
    <w:p>
      <w:pPr>
        <w:ind w:left="1400" w:right="6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cash available for distribution to stockholders may not be sufficient to make distributions at expected levels, and we may need to borrow in order to make such distributions; consequently, we may not be able to make such distributions in full.</w:t>
      </w:r>
    </w:p>
    <w:p>
      <w:pPr>
        <w:spacing w:after="0" w:line="41" w:lineRule="exact"/>
        <w:rPr>
          <w:sz w:val="20"/>
          <w:szCs w:val="20"/>
          <w:color w:val="auto"/>
        </w:rPr>
      </w:pPr>
    </w:p>
    <w:p>
      <w:pPr>
        <w:ind w:left="1400" w:right="539"/>
        <w:spacing w:after="0" w:line="278" w:lineRule="auto"/>
        <w:rPr>
          <w:sz w:val="20"/>
          <w:szCs w:val="20"/>
          <w:color w:val="auto"/>
        </w:rPr>
      </w:pPr>
      <w:r>
        <w:rPr>
          <w:rFonts w:ascii="Times New Roman" w:cs="Times New Roman" w:eastAsia="Times New Roman" w:hAnsi="Times New Roman"/>
          <w:sz w:val="14"/>
          <w:szCs w:val="14"/>
          <w:color w:val="auto"/>
        </w:rPr>
        <w:t>If cash available for distribution generated by our assets is less than our estimate or if such cash available for distribution decreases in future periods from expected levels, our inability to make the expected distributions could result in a decrease in the market price of our common stock.</w:t>
      </w:r>
    </w:p>
    <w:p>
      <w:pPr>
        <w:spacing w:after="0" w:line="126" w:lineRule="exact"/>
        <w:rPr>
          <w:sz w:val="20"/>
          <w:szCs w:val="20"/>
          <w:color w:val="auto"/>
        </w:rPr>
      </w:pPr>
    </w:p>
    <w:p>
      <w:pPr>
        <w:jc w:val="both"/>
        <w:ind w:left="1400" w:right="499"/>
        <w:spacing w:after="0" w:line="262" w:lineRule="auto"/>
        <w:rPr>
          <w:sz w:val="20"/>
          <w:szCs w:val="20"/>
          <w:color w:val="auto"/>
        </w:rPr>
      </w:pPr>
      <w:r>
        <w:rPr>
          <w:rFonts w:ascii="Times New Roman" w:cs="Times New Roman" w:eastAsia="Times New Roman" w:hAnsi="Times New Roman"/>
          <w:sz w:val="14"/>
          <w:szCs w:val="14"/>
          <w:color w:val="auto"/>
        </w:rPr>
        <w:t>Distributions made by us will be authorized and determined by our board of directors in its sole discretion out of funds legally available therefor and will be dependent upon a number of factors, including restrictions under applicable law and our capital requirements. We may not be able to make or sustain distributions in the future.</w:t>
      </w:r>
    </w:p>
    <w:p>
      <w:pPr>
        <w:spacing w:after="0" w:line="138" w:lineRule="exact"/>
        <w:rPr>
          <w:sz w:val="20"/>
          <w:szCs w:val="20"/>
          <w:color w:val="auto"/>
        </w:rPr>
      </w:pPr>
    </w:p>
    <w:p>
      <w:pPr>
        <w:ind w:left="1400" w:right="379"/>
        <w:spacing w:after="0" w:line="252" w:lineRule="auto"/>
        <w:rPr>
          <w:sz w:val="20"/>
          <w:szCs w:val="20"/>
          <w:color w:val="auto"/>
        </w:rPr>
      </w:pPr>
      <w:r>
        <w:rPr>
          <w:rFonts w:ascii="Times New Roman" w:cs="Times New Roman" w:eastAsia="Times New Roman" w:hAnsi="Times New Roman"/>
          <w:sz w:val="14"/>
          <w:szCs w:val="14"/>
          <w:color w:val="auto"/>
        </w:rPr>
        <w:t>Distributions we make out of our current or accumulated earnings and profits will be treated as dividends for U.S. federal income tax purposes. To the extent that we decide to make distributions in excess of our current and accumulated earnings and profits, such distributions would generally be considered a return of capital for U.S. federal income tax purposes to the extent of the holder’s adjusted tax basis in its shares. A return of capital is not taxable, but it has the effect of reducing the holder’s adjusted tax basis in its investment. To the extent that distributions exceed our current and accumulated earnings and profits, as well as the adjusted tax basis of a holder’s shares, such excess amount will be treated as a gain from the sale or exchange of such stock. See “United States Federal Income Tax Considerations-Taxation of Taxable U.S. Holders of Our Capital Stock” in the accompanying prospectus.</w:t>
      </w:r>
    </w:p>
    <w:p>
      <w:pPr>
        <w:spacing w:after="0" w:line="146" w:lineRule="exact"/>
        <w:rPr>
          <w:sz w:val="20"/>
          <w:szCs w:val="20"/>
          <w:color w:val="auto"/>
        </w:rPr>
      </w:pPr>
    </w:p>
    <w:p>
      <w:pPr>
        <w:ind w:left="1400" w:right="379"/>
        <w:spacing w:after="0" w:line="278" w:lineRule="auto"/>
        <w:rPr>
          <w:sz w:val="20"/>
          <w:szCs w:val="20"/>
          <w:color w:val="auto"/>
        </w:rPr>
      </w:pPr>
      <w:r>
        <w:rPr>
          <w:rFonts w:ascii="Times New Roman" w:cs="Times New Roman" w:eastAsia="Times New Roman" w:hAnsi="Times New Roman"/>
          <w:sz w:val="14"/>
          <w:szCs w:val="14"/>
          <w:color w:val="auto"/>
        </w:rPr>
        <w:t>If we borrow to fund distributions, our future interest costs would increase, thereby reducing our earnings and cash available for distribution from what they otherwise would have been.</w:t>
      </w:r>
    </w:p>
    <w:p>
      <w:pPr>
        <w:spacing w:after="0" w:line="207" w:lineRule="exact"/>
        <w:rPr>
          <w:sz w:val="20"/>
          <w:szCs w:val="20"/>
          <w:color w:val="auto"/>
        </w:rPr>
      </w:pPr>
    </w:p>
    <w:p>
      <w:pPr>
        <w:ind w:left="1400" w:right="6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have significant outstanding indebtedness that involves significant debt service obligations, limits our operational and financial flexibility, exposes us to interest rate fluctuations and exposes us to the risk of default under our debt obligations.</w:t>
      </w:r>
    </w:p>
    <w:p>
      <w:pPr>
        <w:spacing w:after="0" w:line="41" w:lineRule="exact"/>
        <w:rPr>
          <w:sz w:val="20"/>
          <w:szCs w:val="20"/>
          <w:color w:val="auto"/>
        </w:rPr>
      </w:pPr>
    </w:p>
    <w:p>
      <w:pPr>
        <w:ind w:left="1400" w:right="279"/>
        <w:spacing w:after="0" w:line="262" w:lineRule="auto"/>
        <w:rPr>
          <w:sz w:val="20"/>
          <w:szCs w:val="20"/>
          <w:color w:val="auto"/>
        </w:rPr>
      </w:pPr>
      <w:r>
        <w:rPr>
          <w:rFonts w:ascii="Times New Roman" w:cs="Times New Roman" w:eastAsia="Times New Roman" w:hAnsi="Times New Roman"/>
          <w:sz w:val="14"/>
          <w:szCs w:val="14"/>
          <w:color w:val="auto"/>
        </w:rPr>
        <w:t>As of March 31, 2026, we had a total combined indebtedness, including finance lease obligations, of approximately $18.3 billion. As of March 31, 2026, our global revolving credit facility had a total outstanding balance of approximately $569.7 million, excluding committed letters of credit of $92.2 million, leaving approximately $3.5 billion available for use. There are no limits on the amount of indebtedness we may incur</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499"/>
        <w:spacing w:after="0" w:line="262" w:lineRule="auto"/>
        <w:rPr>
          <w:sz w:val="20"/>
          <w:szCs w:val="20"/>
          <w:color w:val="auto"/>
        </w:rPr>
      </w:pPr>
      <w:r>
        <w:rPr>
          <w:rFonts w:ascii="Times New Roman" w:cs="Times New Roman" w:eastAsia="Times New Roman" w:hAnsi="Times New Roman"/>
          <w:sz w:val="14"/>
          <w:szCs w:val="14"/>
          <w:color w:val="auto"/>
        </w:rPr>
        <w:t>other than limits contained in our existing debt financing agreements or future agreements that we may enter into or as may be set forth in any policy limiting the amount of indebtedness we may incur adopted by our board of directors. A substantial level of indebtedness could have adverse consequences for our business, financial condition and results of operations because it could, among other things:</w:t>
      </w:r>
    </w:p>
    <w:p>
      <w:pPr>
        <w:spacing w:after="0" w:line="65" w:lineRule="exact"/>
        <w:rPr>
          <w:sz w:val="20"/>
          <w:szCs w:val="20"/>
          <w:color w:val="auto"/>
        </w:rPr>
      </w:pPr>
    </w:p>
    <w:p>
      <w:pPr>
        <w:ind w:left="2160" w:right="439" w:hanging="339"/>
        <w:spacing w:after="0" w:line="262"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 from operations to make debt service payments, thereby reducing our cash flow available to fund working capital, capital expenditures and other general corporate purposes, including to make distributions on our common stock as currently contemplated or as necessary to maintain our qualification as a REIT;</w:t>
      </w:r>
    </w:p>
    <w:p>
      <w:pPr>
        <w:spacing w:after="0" w:line="64"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maintain certain debt, coverage and other financial metrics at specified levels, thereby reducing our financial flexibility;</w:t>
      </w:r>
    </w:p>
    <w:p>
      <w:pPr>
        <w:spacing w:after="0" w:line="98" w:lineRule="exact"/>
        <w:rPr>
          <w:rFonts w:ascii="Times New Roman" w:cs="Times New Roman" w:eastAsia="Times New Roman" w:hAnsi="Times New Roman"/>
          <w:sz w:val="14"/>
          <w:szCs w:val="14"/>
          <w:color w:val="auto"/>
        </w:rPr>
      </w:pPr>
    </w:p>
    <w:p>
      <w:pPr>
        <w:ind w:left="2160" w:right="359" w:hanging="339"/>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it more difficult for us to satisfy our financial obligations, including repaying borrowings under our global revolving credit facilities and term facility;</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expose us to increases in interest rates for our variable rate debt;</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borrow additional funds on favorable terms or at all to expand our business or ease liquidity constraints;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refinance all or a portion of our indebtedness on or before maturity on the same or more favorable terms or at all;</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our industry;</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relative to competitors that have less indebtedness;</w:t>
      </w:r>
    </w:p>
    <w:p>
      <w:pPr>
        <w:spacing w:after="0" w:line="98" w:lineRule="exact"/>
        <w:rPr>
          <w:rFonts w:ascii="Times New Roman" w:cs="Times New Roman" w:eastAsia="Times New Roman" w:hAnsi="Times New Roman"/>
          <w:sz w:val="14"/>
          <w:szCs w:val="14"/>
          <w:color w:val="auto"/>
        </w:rPr>
      </w:pPr>
    </w:p>
    <w:p>
      <w:pPr>
        <w:ind w:left="2160" w:right="419" w:hanging="339"/>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risk of property losses as the result of foreclosure actions initiated by lenders in the event we should incur mortgage or other secured debt obligations and default under such obligations; and</w:t>
      </w:r>
    </w:p>
    <w:p>
      <w:pPr>
        <w:spacing w:after="0" w:line="52" w:lineRule="exact"/>
        <w:rPr>
          <w:rFonts w:ascii="Times New Roman" w:cs="Times New Roman" w:eastAsia="Times New Roman" w:hAnsi="Times New Roman"/>
          <w:sz w:val="14"/>
          <w:szCs w:val="14"/>
          <w:color w:val="auto"/>
        </w:rPr>
      </w:pPr>
    </w:p>
    <w:p>
      <w:pPr>
        <w:ind w:left="2160" w:right="279" w:hanging="339"/>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dispose of one or more of our properties at disadvantageous prices in order to service our indebtedness or to raise funds to pay such indebtedness at maturity.</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Market interest rates and other factors may affect the value of our common stock.</w:t>
      </w:r>
    </w:p>
    <w:p>
      <w:pPr>
        <w:spacing w:after="0" w:line="90" w:lineRule="exact"/>
        <w:rPr>
          <w:sz w:val="20"/>
          <w:szCs w:val="20"/>
          <w:color w:val="auto"/>
        </w:rPr>
      </w:pPr>
    </w:p>
    <w:p>
      <w:pPr>
        <w:jc w:val="both"/>
        <w:ind w:left="1400" w:right="479"/>
        <w:spacing w:after="0" w:line="262" w:lineRule="auto"/>
        <w:rPr>
          <w:sz w:val="20"/>
          <w:szCs w:val="20"/>
          <w:color w:val="auto"/>
        </w:rPr>
      </w:pPr>
      <w:r>
        <w:rPr>
          <w:rFonts w:ascii="Times New Roman" w:cs="Times New Roman" w:eastAsia="Times New Roman" w:hAnsi="Times New Roman"/>
          <w:sz w:val="14"/>
          <w:szCs w:val="14"/>
          <w:color w:val="auto"/>
        </w:rPr>
        <w:t>One of the factors that will influence the price of our common stock will be the dividend yield on our common stock relative to market interest rates. Increases in market interest rates could cause the market price of our common stock to decrease. The market price of the shares of our common stock will also depend on many other factors, which may change from time to time, including:</w:t>
      </w:r>
    </w:p>
    <w:p>
      <w:pPr>
        <w:spacing w:after="0" w:line="65" w:lineRule="exact"/>
        <w:rPr>
          <w:sz w:val="20"/>
          <w:szCs w:val="20"/>
          <w:color w:val="auto"/>
        </w:rPr>
      </w:pPr>
    </w:p>
    <w:p>
      <w:pPr>
        <w:ind w:left="2160" w:hanging="339"/>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similar securities;</w:t>
      </w:r>
    </w:p>
    <w:p>
      <w:pPr>
        <w:spacing w:after="0" w:line="98" w:lineRule="exact"/>
        <w:rPr>
          <w:rFonts w:ascii="Times New Roman" w:cs="Times New Roman" w:eastAsia="Times New Roman" w:hAnsi="Times New Roman"/>
          <w:sz w:val="14"/>
          <w:szCs w:val="14"/>
          <w:color w:val="auto"/>
        </w:rPr>
      </w:pPr>
    </w:p>
    <w:p>
      <w:pPr>
        <w:ind w:left="2160" w:right="279" w:hanging="339"/>
        <w:spacing w:after="0" w:line="278" w:lineRule="auto"/>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attractiveness of REIT securities in comparison to the securities of other companies, taking into account, among other things, the higher tax rates imposed on certain dividends paid by REITs;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action or regulation;</w:t>
      </w:r>
    </w:p>
    <w:p>
      <w:pPr>
        <w:spacing w:after="0" w:line="88" w:lineRule="exact"/>
        <w:rPr>
          <w:rFonts w:ascii="Times New Roman" w:cs="Times New Roman" w:eastAsia="Times New Roman" w:hAnsi="Times New Roman"/>
          <w:sz w:val="14"/>
          <w:szCs w:val="14"/>
          <w:color w:val="auto"/>
        </w:rPr>
      </w:pPr>
    </w:p>
    <w:p>
      <w:pPr>
        <w:ind w:left="2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conditions in the financial or real estate markets and geopolitical conditions; and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condition, performance and prospects.</w:t>
      </w:r>
    </w:p>
    <w:p>
      <w:pPr>
        <w:spacing w:after="0" w:line="171" w:lineRule="exact"/>
        <w:rPr>
          <w:sz w:val="20"/>
          <w:szCs w:val="20"/>
          <w:color w:val="auto"/>
        </w:rPr>
      </w:pPr>
    </w:p>
    <w:p>
      <w:pPr>
        <w:ind w:left="1400" w:right="339"/>
        <w:spacing w:after="0" w:line="257" w:lineRule="auto"/>
        <w:rPr>
          <w:sz w:val="20"/>
          <w:szCs w:val="20"/>
          <w:color w:val="auto"/>
        </w:rPr>
      </w:pPr>
      <w:r>
        <w:rPr>
          <w:rFonts w:ascii="Times New Roman" w:cs="Times New Roman" w:eastAsia="Times New Roman" w:hAnsi="Times New Roman"/>
          <w:sz w:val="14"/>
          <w:szCs w:val="14"/>
          <w:color w:val="auto"/>
        </w:rPr>
        <w:t>In addition, over the last several years, prices of equity securities in the U.S. trading markets have been experiencing extreme price fluctuations, and the market prices of our common stock have also fluctuated significantly during this period. As a result of these and other factors, investors who purchase our common stock in this offering may experience a decrease, which could be substantial and rapid, in the market price of our common stock, including decreases unrelated to our operating performance or prospects.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Our global revolving credit facilities and term facility may limit our ability to pay distributions to our common stockholders.</w:t>
      </w:r>
    </w:p>
    <w:p>
      <w:pPr>
        <w:spacing w:after="0" w:line="90" w:lineRule="exact"/>
        <w:rPr>
          <w:sz w:val="20"/>
          <w:szCs w:val="20"/>
          <w:color w:val="auto"/>
        </w:rPr>
      </w:pPr>
    </w:p>
    <w:p>
      <w:pPr>
        <w:ind w:left="1400" w:right="499"/>
        <w:spacing w:after="0" w:line="279" w:lineRule="auto"/>
        <w:rPr>
          <w:sz w:val="20"/>
          <w:szCs w:val="20"/>
          <w:color w:val="auto"/>
        </w:rPr>
      </w:pPr>
      <w:r>
        <w:rPr>
          <w:rFonts w:ascii="Times New Roman" w:cs="Times New Roman" w:eastAsia="Times New Roman" w:hAnsi="Times New Roman"/>
          <w:sz w:val="13"/>
          <w:szCs w:val="13"/>
          <w:color w:val="auto"/>
        </w:rPr>
        <w:t>Our global revolving credit facilities and our term facility prohibit us from making distributions to our stockholders, or repurchasing, redeeming, retiring, defeasing or otherwise acquiring for value any shares of our capital stock, including our common stock, after the occurrence and during the continuance of an event of default, except in limited circumstances including as necessary to enable us to maintain our qualification as a REIT and to avoid the payment of income or excise tax. Consequently, after the occurrence and during the continuance of an event of default under our global revolving credit facilities or term facility, we may not be able to pay all or a portion of the dividends payable to the holders of our common stock.</w:t>
      </w:r>
    </w:p>
    <w:p>
      <w:pPr>
        <w:spacing w:after="0" w:line="128" w:lineRule="exact"/>
        <w:rPr>
          <w:sz w:val="20"/>
          <w:szCs w:val="20"/>
          <w:color w:val="auto"/>
        </w:rPr>
      </w:pPr>
    </w:p>
    <w:p>
      <w:pPr>
        <w:ind w:left="1400" w:right="639"/>
        <w:spacing w:after="0" w:line="257" w:lineRule="auto"/>
        <w:rPr>
          <w:sz w:val="20"/>
          <w:szCs w:val="20"/>
          <w:color w:val="auto"/>
        </w:rPr>
      </w:pPr>
      <w:r>
        <w:rPr>
          <w:rFonts w:ascii="Times New Roman" w:cs="Times New Roman" w:eastAsia="Times New Roman" w:hAnsi="Times New Roman"/>
          <w:sz w:val="14"/>
          <w:szCs w:val="14"/>
          <w:color w:val="auto"/>
        </w:rPr>
        <w:t>In addition, after the occurrence and during the continuance of an event of default under our global revolving credit facilities or term facility, as applicable, we would be unable to make any additional borrowings under such facilities and any amounts that we have borrowed thereunder could become immediately due and payable. The agreements governing our future debt instruments may also include restrictions on our ability to pay dividends to holders of our common stock.</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number of shares available for future sale could adversely affect the market price of our common stock.</w:t>
      </w:r>
    </w:p>
    <w:p>
      <w:pPr>
        <w:spacing w:after="0" w:line="90" w:lineRule="exact"/>
        <w:rPr>
          <w:sz w:val="20"/>
          <w:szCs w:val="20"/>
          <w:color w:val="auto"/>
        </w:rPr>
      </w:pPr>
    </w:p>
    <w:p>
      <w:pPr>
        <w:ind w:left="1400" w:right="279"/>
        <w:spacing w:after="0" w:line="249" w:lineRule="auto"/>
        <w:rPr>
          <w:sz w:val="20"/>
          <w:szCs w:val="20"/>
          <w:color w:val="auto"/>
        </w:rPr>
      </w:pPr>
      <w:r>
        <w:rPr>
          <w:rFonts w:ascii="Times New Roman" w:cs="Times New Roman" w:eastAsia="Times New Roman" w:hAnsi="Times New Roman"/>
          <w:sz w:val="14"/>
          <w:szCs w:val="14"/>
          <w:color w:val="auto"/>
        </w:rPr>
        <w:t>We cannot predict whether future issuances of shares of our common stock or the availability of shares for resale in the open market will decrease the market price per share of our common stock. Sales of a substantial number of shares of our common stock in the public market, the issuance of substantial additional shares or the perception that such sales or issuances might occur could materially adversely affect the market price of the shares of our common stock. In addition, the sale of shares in this offering by the selling stockholders and any future resales of such shares, as well as future issuances of shares of our common stock, could create market overhang and/or dilute existing stockholders, which could depress the trading price of our common stock. Some of the potential share issuances that may adversely affect the market price of the shares of our common stock could include: the exchange of our operating partnership’s units for our common stock, the granting, exercise or vesting of any options, restricted stock or restricted stock units or long-term incentive units in our operating partnership granted to certain directors, executive officers and other employees under our incentive award plans, the issuance of our common stock upon conversion of our outstanding preferred stock (in connection with specified change of control transactions), the issuance of our common stock or our operating partnership’s units in connection with property, portfolio or business acquisitions (including acquisitions or other strategic transactions for which the consideration may be paid in whole or in part in shares of our common stock, such as the Astra Enterprise Park land acquisition, the Columbia Capital acquisition and the purchase of interests in our Teraco joint venture) and other issuances of our common stock, including issuances pursuant to our “at-the-market” equity program, our securities exchangeable for or convertible into our common stock, our operating partnership’s units or our operating partnership’s securities exchangeable for or convertible into our common stock. Any such issuances (and any subsequent resales, including resales following the expiration of applicable lock-up restrictions) could be dilutive to existing stockholders and could adversely affect the trading price of our common stock.</w:t>
      </w:r>
    </w:p>
    <w:p>
      <w:pPr>
        <w:spacing w:after="0" w:line="153"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We have granted certain holders of units of our operating partnership certain registration rights with respect to the shares of our common stock for which their units may be redeemed or exchanged pursuant to the partnership agreement of our operating partnership. In addition, we have agreed to provide resale registration rights in connection with certain transactions for which equity consideration is or may be issued (including the Columbia Capital acquisition and the Teraco joint venture purchase described above). These registration rights have required, and may in the future require, us to file a “shelf” registration statement covering shares of common stock issuable or issued in such transactions and, depending on the terms of these and any future registration rights arrangements, we may be required to file additional registration statements or prospectus supplements covering additional shares of our common stock, which could further increase the number of shares available for resale.</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and trading volume of our common stock may be volatile.</w:t>
      </w:r>
    </w:p>
    <w:p>
      <w:pPr>
        <w:spacing w:after="0" w:line="90" w:lineRule="exact"/>
        <w:rPr>
          <w:sz w:val="20"/>
          <w:szCs w:val="20"/>
          <w:color w:val="auto"/>
        </w:rPr>
      </w:pPr>
    </w:p>
    <w:p>
      <w:pPr>
        <w:ind w:left="1400" w:right="419"/>
        <w:spacing w:after="0" w:line="262" w:lineRule="auto"/>
        <w:rPr>
          <w:sz w:val="20"/>
          <w:szCs w:val="20"/>
          <w:color w:val="auto"/>
        </w:rPr>
      </w:pPr>
      <w:r>
        <w:rPr>
          <w:rFonts w:ascii="Times New Roman" w:cs="Times New Roman" w:eastAsia="Times New Roman" w:hAnsi="Times New Roman"/>
          <w:sz w:val="14"/>
          <w:szCs w:val="14"/>
          <w:color w:val="auto"/>
        </w:rPr>
        <w:t>The market price of our common stock may be volatile. In addition, the trading volume in our common stock may fluctuate and cause significant price variations to occur. If the market price of our common stock declines significantly, you may be unable to resell your shares at or above the public offering price. We cannot assure you that the market price of our common stock will not fluctuate or decline significantly in the future.</w:t>
      </w:r>
    </w:p>
    <w:p>
      <w:pPr>
        <w:spacing w:after="0" w:line="138" w:lineRule="exact"/>
        <w:rPr>
          <w:sz w:val="20"/>
          <w:szCs w:val="20"/>
          <w:color w:val="auto"/>
        </w:rPr>
      </w:pPr>
    </w:p>
    <w:p>
      <w:pPr>
        <w:ind w:left="1400" w:right="399"/>
        <w:spacing w:after="0" w:line="278" w:lineRule="auto"/>
        <w:rPr>
          <w:sz w:val="20"/>
          <w:szCs w:val="20"/>
          <w:color w:val="auto"/>
        </w:rPr>
      </w:pPr>
      <w:r>
        <w:rPr>
          <w:rFonts w:ascii="Times New Roman" w:cs="Times New Roman" w:eastAsia="Times New Roman" w:hAnsi="Times New Roman"/>
          <w:sz w:val="14"/>
          <w:szCs w:val="14"/>
          <w:color w:val="auto"/>
        </w:rPr>
        <w:t>Some of the factors that could negatively affect the market price of our common stock or result in fluctuations in the market price or trading volume of our common stock include:</w:t>
      </w:r>
    </w:p>
    <w:p>
      <w:pPr>
        <w:spacing w:after="0" w:line="53" w:lineRule="exact"/>
        <w:rPr>
          <w:sz w:val="20"/>
          <w:szCs w:val="20"/>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our quarterly operating results or dividends;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funds from operations or earnings estimates;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the real estate industry or the technology industry;</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market interest rates that lead purchasers of our shares to demand a higher yield;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valuations of similar companies;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market reaction to any additional debt we incur or equity or equity-linked securities we issue in the future;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management personnel;</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institutional stockholders;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realization of any of the other risk factors presented or incorporated by reference in this prospectus supplement;</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determination in the future to pay a dividend partially in shares of our own stock; and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economic and geopolitical conditions.</w:t>
      </w:r>
    </w:p>
    <w:p>
      <w:pPr>
        <w:spacing w:after="0" w:line="253" w:lineRule="exact"/>
        <w:rPr>
          <w:sz w:val="20"/>
          <w:szCs w:val="20"/>
          <w:color w:val="auto"/>
        </w:rPr>
      </w:pPr>
    </w:p>
    <w:p>
      <w:pPr>
        <w:ind w:left="1400" w:right="4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Future offerings of debt, which would be senior to our common stock upon liquidation, and/or preferred equity securities, which may be senior to our common stock for purposes of distributions or upon liquidation, may adversely affect the market price of our common stock.</w:t>
      </w:r>
    </w:p>
    <w:p>
      <w:pPr>
        <w:spacing w:after="0" w:line="41" w:lineRule="exact"/>
        <w:rPr>
          <w:sz w:val="20"/>
          <w:szCs w:val="20"/>
          <w:color w:val="auto"/>
        </w:rPr>
      </w:pPr>
    </w:p>
    <w:p>
      <w:pPr>
        <w:ind w:left="1400" w:right="279"/>
        <w:spacing w:after="0" w:line="271" w:lineRule="auto"/>
        <w:rPr>
          <w:sz w:val="20"/>
          <w:szCs w:val="20"/>
          <w:color w:val="auto"/>
        </w:rPr>
      </w:pPr>
      <w:r>
        <w:rPr>
          <w:rFonts w:ascii="Times New Roman" w:cs="Times New Roman" w:eastAsia="Times New Roman" w:hAnsi="Times New Roman"/>
          <w:sz w:val="13"/>
          <w:szCs w:val="13"/>
          <w:color w:val="auto"/>
        </w:rPr>
        <w:t>In the future, we may attempt to increase our capital resources by making offerings of debt or preferred equity securities, including medium-term notes, exchangeable notes, trust preferred securities, senior or subordinated notes and preferred stock, and entering into new loan agreements. Upon liquidation, holders of our debt securities and shares of preferred stock and lenders with respect to other borrowings will receive distributions of our available assets prior to the holders of our common stock. Additional equity and equity-linked offerings may dilute the holdings of our existing stockholders or reduce the market price of our common stock, or both. Holders of our common stock are not entitled to preemptive rights or other protections against dilution. Holders of our series J cumulative redeemable preferred stock, series K cumulative redeemable preferred stock and series L cumulative redeemable preferred stock have a preference on liquidating distributions and a preference on dividend payments that could limit our ability to pay a dividend or make another distribution to the holders of our common stock. Because our decision to issue securities in any future offering and to enter into new loan agreements will depend on market conditions and other factors, many of which are beyond our control, we cannot predict or estimate the amount, timing or nature of our future offerings or borrowings. Thus, our stockholders bear the risk of our future offerings or loan arrangements reducing the market price of our common stock, reducing our assets available to them upon our liquidation and diluting their stock holdings in us.</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Our earnings and cash distributions will affect the market price of shares of our common stock.</w:t>
      </w:r>
    </w:p>
    <w:p>
      <w:pPr>
        <w:spacing w:after="0" w:line="90"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To the extent that the market value of a REIT’s equity securities is based primarily upon market perception of the REIT’s growth potential and its current and potential future cash distributions, whether from operations, sales,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479"/>
        <w:spacing w:after="0" w:line="255" w:lineRule="auto"/>
        <w:rPr>
          <w:sz w:val="20"/>
          <w:szCs w:val="20"/>
          <w:color w:val="auto"/>
        </w:rPr>
      </w:pPr>
      <w:r>
        <w:rPr>
          <w:rFonts w:ascii="Times New Roman" w:cs="Times New Roman" w:eastAsia="Times New Roman" w:hAnsi="Times New Roman"/>
          <w:sz w:val="14"/>
          <w:szCs w:val="14"/>
          <w:color w:val="auto"/>
        </w:rPr>
        <w:t>acquisitions, development or refinancing and is secondarily based upon the value of the underlying assets, shares of our common stock may trade at prices that are higher or lower than the net asset value per share. To the extent we retain operating cash flow for investment purposes, working capital reserves or other purposes rather than distributing the cash flow to stockholders, these retained funds, while increasing the value of our underlying assets, may negatively impact the market price of our common stock. Our failure to meet market expectations with regard to future earnings and cash distributions would likely adversely affect the market price of our common stock.</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 Related to the Blackstone Acquisition</w:t>
      </w:r>
    </w:p>
    <w:p>
      <w:pPr>
        <w:spacing w:after="0" w:line="88" w:lineRule="exact"/>
        <w:rPr>
          <w:sz w:val="20"/>
          <w:szCs w:val="20"/>
          <w:color w:val="auto"/>
        </w:rPr>
      </w:pPr>
    </w:p>
    <w:p>
      <w:pPr>
        <w:ind w:left="1400" w:right="6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development-stage hyperscale data centers to be acquired in the Blackstone joint venture acquisition may not be completed on schedule or within budget, and the anticipated benefits of the acquisition may not be realized.</w:t>
      </w:r>
    </w:p>
    <w:p>
      <w:pPr>
        <w:spacing w:after="0" w:line="41" w:lineRule="exact"/>
        <w:rPr>
          <w:sz w:val="20"/>
          <w:szCs w:val="20"/>
          <w:color w:val="auto"/>
        </w:rPr>
      </w:pPr>
    </w:p>
    <w:p>
      <w:pPr>
        <w:ind w:left="1400" w:right="319"/>
        <w:spacing w:after="0" w:line="249" w:lineRule="auto"/>
        <w:rPr>
          <w:sz w:val="20"/>
          <w:szCs w:val="20"/>
          <w:color w:val="auto"/>
        </w:rPr>
      </w:pPr>
      <w:r>
        <w:rPr>
          <w:rFonts w:ascii="Times New Roman" w:cs="Times New Roman" w:eastAsia="Times New Roman" w:hAnsi="Times New Roman"/>
          <w:sz w:val="14"/>
          <w:szCs w:val="14"/>
          <w:color w:val="auto"/>
        </w:rPr>
        <w:t>The joint ventures we will wholly own following the purchase from Blackstone own three hyperscale data centers that have not yet been completed, and development-stage projects are subject to various risks, including construction delays, cost overruns, supply chain disruptions, failure to obtain necessary permits or approvals, labor shortages and other factors beyond our control. As a part of our underwriting of the Blackstone acquisition, we developed an estimate of the initial stabilized capitalization rate for the data centers we will wholly-own following such acquisition. We calculate the estimated stabilized capitalization rate as the percentage of the gross value of the purchase price represented by the estimated initial full year stabilized net operating income. This estimate is based on a number of assumptions, including the timely and on-budget completion of all space to be constructed and estimated stabilized operating expenses. If development costs are higher than expected or completion is delayed, the timing and amount of cash flows from these properties could be adversely affected, including if one or more tenants fails to commence paying rent on the expected schedule or if the data centers do not achieve full operational status as expected. Although the three hyperscale data centers are currently leased to subsidiaries of investment-grade rated parent entities, the parent entities are not parties to the leases and may not be legally obligated to satisfy the lease obligations of their subsidiaries upon a default. In the event of a default by a lessee, there can be no assurance that the parent entity would choose or be obligated to cure such default. In addition, market conditions for data center leasing in Northern Virginia could change materially. As a result, our expectations regarding the initial stabilized capitalization rate and that the acquisition of Blackstone’s interests in the Digital Carver Dulles 9 and Digital Carver Brickyard joint ventures will be accretive to Core FFO per share in each of 2027 and 2028, as development is completed and rents commence, are subject to numerous risks and uncertainties, and there can be no assurance that these anticipated benefits will be realized on the expected timeline, including in 2027 and 2028, or at all.</w:t>
      </w:r>
    </w:p>
    <w:p>
      <w:pPr>
        <w:spacing w:after="0" w:line="2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This offering may not be consummated if the Blackstone joint venture acquisition closing does not occur.</w:t>
      </w:r>
    </w:p>
    <w:p>
      <w:pPr>
        <w:spacing w:after="0" w:line="90"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The shares of common stock to be sold in this offering will be issued to the selling stockholders only upon the occurrence of the closing of the Blackstone joint venture acquisition. Accordingly, the closing of this offering is conditioned upon the closing of the Blackstone acquisition and the issuance of the non-voting common stock to the selling stockholders. If the Blackstone joint venture acquisition does not close, whether due to the failure of any closing condition or the termination of the purchase agreement, this offering will not be consummated. In such event, any offer or sale of shares that has been made in reliance on this prospectus supplement will be rescinded and investors will not receive any shares. Investors should be aware that they are, in effect, committing to purchase shares that the selling stockholders do not yet own at the time of pricing, and there is a risk that the Blackstone joint venture acquisition may not occur. In addition, if the Blackstone joint venture acquisition is delayed beyond June 30, 2026, settlement of this offering will be similarly delayed, which could cause investors to suffer opportunity costs and could adversely affect the market price of our common stock. Neither the company, the selling stockholders nor the underwriter can provide any assurance that the Blackstone joint venture acquisition will occur on June 30, 2026 (or that settlement of this offering will occur) or at all.</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2"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3" w:lineRule="exact"/>
        <w:rPr>
          <w:sz w:val="20"/>
          <w:szCs w:val="20"/>
          <w:color w:val="auto"/>
        </w:rPr>
      </w:pPr>
    </w:p>
    <w:p>
      <w:pPr>
        <w:ind w:left="1400" w:right="719"/>
        <w:spacing w:after="0" w:line="278" w:lineRule="auto"/>
        <w:rPr>
          <w:sz w:val="20"/>
          <w:szCs w:val="20"/>
          <w:color w:val="auto"/>
        </w:rPr>
      </w:pPr>
      <w:r>
        <w:rPr>
          <w:rFonts w:ascii="Times New Roman" w:cs="Times New Roman" w:eastAsia="Times New Roman" w:hAnsi="Times New Roman"/>
          <w:sz w:val="14"/>
          <w:szCs w:val="14"/>
          <w:color w:val="auto"/>
        </w:rPr>
        <w:t>The selling stockholders will receive all of the net proceeds from the sale of shares of our common stock in this offering. We will not receive any proceeds from the sale of shares of our common stock by the selling stockholders.</w:t>
      </w:r>
    </w:p>
    <w:p>
      <w:pPr>
        <w:spacing w:after="0" w:line="126" w:lineRule="exact"/>
        <w:rPr>
          <w:sz w:val="20"/>
          <w:szCs w:val="20"/>
          <w:color w:val="auto"/>
        </w:rPr>
      </w:pPr>
    </w:p>
    <w:p>
      <w:pPr>
        <w:ind w:left="1400" w:right="339"/>
        <w:spacing w:after="0" w:line="262" w:lineRule="auto"/>
        <w:rPr>
          <w:sz w:val="20"/>
          <w:szCs w:val="20"/>
          <w:color w:val="auto"/>
        </w:rPr>
      </w:pPr>
      <w:r>
        <w:rPr>
          <w:rFonts w:ascii="Times New Roman" w:cs="Times New Roman" w:eastAsia="Times New Roman" w:hAnsi="Times New Roman"/>
          <w:sz w:val="14"/>
          <w:szCs w:val="14"/>
          <w:color w:val="auto"/>
        </w:rPr>
        <w:t>We have agreed to pay 50% of offering expenses of the selling stockholders (including offering discounts and underwriting commissions and fees and disbursements of the selling stockholders’ counsel), subject to a cap of $30.0 million. The selling stockholders will bear all remaining offering expenses in excess of the company’s expense cap.</w:t>
      </w:r>
    </w:p>
    <w:p>
      <w:pPr>
        <w:spacing w:after="0" w:line="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2"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selling stockholders named below are offering to sell an aggregate of 12,310,249 shares of our common stock.</w:t>
      </w:r>
    </w:p>
    <w:p>
      <w:pPr>
        <w:spacing w:after="0" w:line="171" w:lineRule="exact"/>
        <w:rPr>
          <w:sz w:val="20"/>
          <w:szCs w:val="20"/>
          <w:color w:val="auto"/>
        </w:rPr>
      </w:pPr>
    </w:p>
    <w:p>
      <w:pPr>
        <w:ind w:left="1400" w:right="379" w:firstLine="339"/>
        <w:spacing w:after="0" w:line="279" w:lineRule="auto"/>
        <w:rPr>
          <w:sz w:val="20"/>
          <w:szCs w:val="20"/>
          <w:color w:val="auto"/>
        </w:rPr>
      </w:pPr>
      <w:r>
        <w:rPr>
          <w:rFonts w:ascii="Times New Roman" w:cs="Times New Roman" w:eastAsia="Times New Roman" w:hAnsi="Times New Roman"/>
          <w:sz w:val="13"/>
          <w:szCs w:val="13"/>
          <w:color w:val="auto"/>
        </w:rPr>
        <w:t>The percentages of beneficial ownership prior to and following the offering set forth below are based on a total of 357,665,753 shares of our common stock outstanding as of June 25, 2026. We have determined beneficial ownership in accordance with the rules of the SEC. The information contained in the following table is not necessarily indicative of beneficial ownership for any other purpose, and the inclusion of any shares in the table does not constitute an admission of beneficial ownership of those shares. Unless otherwise indicated, the persons or entities identified in this table have sole voting and investment power with respect to all shares shown as beneficially owned by them, subject to applicable community property laws.</w:t>
      </w:r>
    </w:p>
    <w:p>
      <w:pPr>
        <w:spacing w:after="0" w:line="14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3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98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Shares Beneficially Owned</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Beneficially</w:t>
            </w:r>
          </w:p>
        </w:tc>
        <w:tc>
          <w:tcPr>
            <w:tcW w:w="0" w:type="dxa"/>
            <w:vAlign w:val="bottom"/>
          </w:tcPr>
          <w:p>
            <w:pPr>
              <w:spacing w:after="0"/>
              <w:rPr>
                <w:sz w:val="1"/>
                <w:szCs w:val="1"/>
                <w:color w:val="auto"/>
              </w:rPr>
            </w:pPr>
          </w:p>
        </w:tc>
      </w:tr>
      <w:tr>
        <w:trPr>
          <w:trHeight w:val="125"/>
        </w:trPr>
        <w:tc>
          <w:tcPr>
            <w:tcW w:w="13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2680" w:type="dxa"/>
            <w:vAlign w:val="bottom"/>
          </w:tcPr>
          <w:p>
            <w:pPr>
              <w:spacing w:after="0"/>
              <w:rPr>
                <w:sz w:val="10"/>
                <w:szCs w:val="10"/>
                <w:color w:val="auto"/>
              </w:rPr>
            </w:pPr>
          </w:p>
        </w:tc>
        <w:tc>
          <w:tcPr>
            <w:tcW w:w="1980" w:type="dxa"/>
            <w:vAlign w:val="bottom"/>
            <w:gridSpan w:val="4"/>
          </w:tcPr>
          <w:p>
            <w:pPr>
              <w:ind w:left="320"/>
              <w:spacing w:after="0" w:line="125" w:lineRule="exact"/>
              <w:rPr>
                <w:sz w:val="20"/>
                <w:szCs w:val="20"/>
                <w:color w:val="auto"/>
              </w:rPr>
            </w:pPr>
            <w:r>
              <w:rPr>
                <w:rFonts w:ascii="Times New Roman" w:cs="Times New Roman" w:eastAsia="Times New Roman" w:hAnsi="Times New Roman"/>
                <w:sz w:val="11"/>
                <w:szCs w:val="11"/>
                <w:b w:val="1"/>
                <w:bCs w:val="1"/>
                <w:color w:val="auto"/>
              </w:rPr>
              <w:t>Prior to Offering</w:t>
            </w:r>
            <w:r>
              <w:rPr>
                <w:rFonts w:ascii="Times New Roman" w:cs="Times New Roman" w:eastAsia="Times New Roman" w:hAnsi="Times New Roman"/>
                <w:sz w:val="8"/>
                <w:szCs w:val="8"/>
                <w:b w:val="1"/>
                <w:bCs w:val="1"/>
                <w:color w:val="auto"/>
              </w:rPr>
              <w:t>(1)</w:t>
            </w:r>
          </w:p>
        </w:tc>
        <w:tc>
          <w:tcPr>
            <w:tcW w:w="98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1"/>
                <w:szCs w:val="11"/>
                <w:b w:val="1"/>
                <w:bCs w:val="1"/>
                <w:color w:val="auto"/>
              </w:rPr>
              <w:t>Shares Being</w:t>
            </w:r>
          </w:p>
        </w:tc>
        <w:tc>
          <w:tcPr>
            <w:tcW w:w="148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Owned After the Offering</w:t>
            </w:r>
          </w:p>
        </w:tc>
        <w:tc>
          <w:tcPr>
            <w:tcW w:w="0" w:type="dxa"/>
            <w:vAlign w:val="bottom"/>
          </w:tcPr>
          <w:p>
            <w:pPr>
              <w:spacing w:after="0"/>
              <w:rPr>
                <w:sz w:val="1"/>
                <w:szCs w:val="1"/>
                <w:color w:val="auto"/>
              </w:rPr>
            </w:pPr>
          </w:p>
        </w:tc>
      </w:tr>
      <w:tr>
        <w:trPr>
          <w:trHeight w:val="99"/>
        </w:trPr>
        <w:tc>
          <w:tcPr>
            <w:tcW w:w="1360" w:type="dxa"/>
            <w:vAlign w:val="bottom"/>
            <w:tcBorders>
              <w:bottom w:val="single" w:sz="8" w:color="auto"/>
            </w:tcBorders>
            <w:vMerge w:val="continue"/>
          </w:tcPr>
          <w:p>
            <w:pPr>
              <w:spacing w:after="0"/>
              <w:rPr>
                <w:sz w:val="8"/>
                <w:szCs w:val="8"/>
                <w:color w:val="auto"/>
              </w:rPr>
            </w:pPr>
          </w:p>
        </w:tc>
        <w:tc>
          <w:tcPr>
            <w:tcW w:w="2680" w:type="dxa"/>
            <w:vAlign w:val="bottom"/>
          </w:tcPr>
          <w:p>
            <w:pPr>
              <w:spacing w:after="0"/>
              <w:rPr>
                <w:sz w:val="8"/>
                <w:szCs w:val="8"/>
                <w:color w:val="auto"/>
              </w:rPr>
            </w:pPr>
          </w:p>
        </w:tc>
        <w:tc>
          <w:tcPr>
            <w:tcW w:w="1000" w:type="dxa"/>
            <w:vAlign w:val="bottom"/>
            <w:tcBorders>
              <w:top w:val="single" w:sz="8" w:color="auto"/>
            </w:tcBorders>
            <w:gridSpan w:val="2"/>
          </w:tcPr>
          <w:p>
            <w:pPr>
              <w:ind w:left="140"/>
              <w:spacing w:after="0" w:line="94" w:lineRule="exact"/>
              <w:rPr>
                <w:sz w:val="20"/>
                <w:szCs w:val="20"/>
                <w:color w:val="auto"/>
              </w:rPr>
            </w:pPr>
            <w:r>
              <w:rPr>
                <w:rFonts w:ascii="Times New Roman" w:cs="Times New Roman" w:eastAsia="Times New Roman" w:hAnsi="Times New Roman"/>
                <w:sz w:val="10"/>
                <w:szCs w:val="10"/>
                <w:b w:val="1"/>
                <w:bCs w:val="1"/>
                <w:color w:val="auto"/>
              </w:rPr>
              <w:t>Number</w:t>
            </w:r>
          </w:p>
        </w:tc>
        <w:tc>
          <w:tcPr>
            <w:tcW w:w="540" w:type="dxa"/>
            <w:vAlign w:val="bottom"/>
            <w:tcBorders>
              <w:top w:val="single" w:sz="8" w:color="auto"/>
            </w:tcBorders>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440" w:type="dxa"/>
            <w:vAlign w:val="bottom"/>
          </w:tcPr>
          <w:p>
            <w:pPr>
              <w:spacing w:after="0"/>
              <w:rPr>
                <w:sz w:val="8"/>
                <w:szCs w:val="8"/>
                <w:color w:val="auto"/>
              </w:rPr>
            </w:pPr>
          </w:p>
        </w:tc>
        <w:tc>
          <w:tcPr>
            <w:tcW w:w="980" w:type="dxa"/>
            <w:vAlign w:val="bottom"/>
            <w:gridSpan w:val="2"/>
          </w:tcPr>
          <w:p>
            <w:pPr>
              <w:jc w:val="center"/>
              <w:ind w:right="340"/>
              <w:spacing w:after="0" w:line="94" w:lineRule="exact"/>
              <w:rPr>
                <w:sz w:val="20"/>
                <w:szCs w:val="20"/>
                <w:color w:val="auto"/>
              </w:rPr>
            </w:pPr>
            <w:r>
              <w:rPr>
                <w:rFonts w:ascii="Times New Roman" w:cs="Times New Roman" w:eastAsia="Times New Roman" w:hAnsi="Times New Roman"/>
                <w:sz w:val="10"/>
                <w:szCs w:val="10"/>
                <w:b w:val="1"/>
                <w:bCs w:val="1"/>
                <w:color w:val="auto"/>
              </w:rPr>
              <w:t>Offered</w:t>
            </w:r>
          </w:p>
        </w:tc>
        <w:tc>
          <w:tcPr>
            <w:tcW w:w="800" w:type="dxa"/>
            <w:vAlign w:val="bottom"/>
            <w:tcBorders>
              <w:top w:val="single" w:sz="8" w:color="auto"/>
            </w:tcBorders>
            <w:gridSpan w:val="2"/>
          </w:tcPr>
          <w:p>
            <w:pPr>
              <w:jc w:val="right"/>
              <w:ind w:right="360"/>
              <w:spacing w:after="0" w:line="94" w:lineRule="exact"/>
              <w:rPr>
                <w:sz w:val="20"/>
                <w:szCs w:val="20"/>
                <w:color w:val="auto"/>
              </w:rPr>
            </w:pPr>
            <w:r>
              <w:rPr>
                <w:rFonts w:ascii="Times New Roman" w:cs="Times New Roman" w:eastAsia="Times New Roman" w:hAnsi="Times New Roman"/>
                <w:sz w:val="10"/>
                <w:szCs w:val="10"/>
                <w:b w:val="1"/>
                <w:bCs w:val="1"/>
                <w:color w:val="auto"/>
              </w:rPr>
              <w:t>Number</w:t>
            </w:r>
          </w:p>
        </w:tc>
        <w:tc>
          <w:tcPr>
            <w:tcW w:w="680" w:type="dxa"/>
            <w:vAlign w:val="bottom"/>
            <w:tcBorders>
              <w:top w:val="single" w:sz="8" w:color="auto"/>
            </w:tcBorders>
          </w:tcPr>
          <w:p>
            <w:pPr>
              <w:ind w:left="60"/>
              <w:spacing w:after="0" w:line="94"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0" w:type="dxa"/>
            <w:vAlign w:val="bottom"/>
          </w:tcPr>
          <w:p>
            <w:pPr>
              <w:spacing w:after="0"/>
              <w:rPr>
                <w:sz w:val="1"/>
                <w:szCs w:val="1"/>
                <w:color w:val="auto"/>
              </w:rPr>
            </w:pPr>
          </w:p>
        </w:tc>
      </w:tr>
      <w:tr>
        <w:trPr>
          <w:trHeight w:val="20"/>
        </w:trPr>
        <w:tc>
          <w:tcPr>
            <w:tcW w:w="1360" w:type="dxa"/>
            <w:vAlign w:val="bottom"/>
            <w:vMerge w:val="restart"/>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Blackstone</w:t>
            </w:r>
            <w:r>
              <w:rPr>
                <w:rFonts w:ascii="Times New Roman" w:cs="Times New Roman" w:eastAsia="Times New Roman" w:hAnsi="Times New Roman"/>
                <w:sz w:val="19"/>
                <w:szCs w:val="19"/>
                <w:color w:val="auto"/>
                <w:vertAlign w:val="superscript"/>
              </w:rPr>
              <w:t>(2)</w:t>
            </w:r>
          </w:p>
        </w:tc>
        <w:tc>
          <w:tcPr>
            <w:tcW w:w="26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360" w:type="dxa"/>
            <w:vAlign w:val="bottom"/>
            <w:vMerge w:val="continue"/>
            <w:shd w:val="clear" w:color="auto" w:fill="CCEEFF"/>
          </w:tcPr>
          <w:p>
            <w:pPr>
              <w:spacing w:after="0"/>
              <w:rPr>
                <w:sz w:val="12"/>
                <w:szCs w:val="12"/>
                <w:color w:val="auto"/>
              </w:rPr>
            </w:pPr>
          </w:p>
        </w:tc>
        <w:tc>
          <w:tcPr>
            <w:tcW w:w="268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12,310,249</w:t>
            </w:r>
          </w:p>
        </w:tc>
        <w:tc>
          <w:tcPr>
            <w:tcW w:w="320" w:type="dxa"/>
            <w:vAlign w:val="bottom"/>
            <w:vMerge w:val="continue"/>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7" w:lineRule="exact"/>
              <w:rPr>
                <w:sz w:val="20"/>
                <w:szCs w:val="20"/>
                <w:color w:val="auto"/>
              </w:rPr>
            </w:pPr>
            <w:r>
              <w:rPr>
                <w:rFonts w:ascii="Times New Roman" w:cs="Times New Roman" w:eastAsia="Times New Roman" w:hAnsi="Times New Roman"/>
                <w:sz w:val="14"/>
                <w:szCs w:val="14"/>
                <w:color w:val="auto"/>
              </w:rPr>
              <w:t>3.44%</w:t>
            </w: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12,310,249</w:t>
            </w:r>
          </w:p>
        </w:tc>
        <w:tc>
          <w:tcPr>
            <w:tcW w:w="320" w:type="dxa"/>
            <w:vAlign w:val="bottom"/>
            <w:vMerge w:val="continue"/>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vMerge w:val="continue"/>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ind w:left="44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740" w:right="419" w:hanging="334"/>
        <w:spacing w:after="0" w:line="259"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non-voting common stock to be issued to the selling stockholders in the Blackstone acquisition, which will automatically convert into common stock upon transfer in connection with this offering.</w:t>
      </w:r>
    </w:p>
    <w:p>
      <w:pPr>
        <w:ind w:left="1740" w:right="319" w:hanging="334"/>
        <w:spacing w:after="0" w:line="249"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4,973,529 shares to be held directly by BIP US Nucleus Aggregator L.P., 4,973,470 shares to be held directly by BREP US Nucleus Aggregator L.P., 392,194 shares to be held directly by BXPE Nucleus US Holdco L.P., 34,752 of shares to be held directly by BXPE Nucleus Lux Holdco L.P. and 1,936,304 shares to be held directly by BTO Nucleus Holdings DE L.P. The number of shares offered by each of the foregoing selling stockholders was determined by dividing such dollar amounts by the closing price per share of our common stock on the New York Stock Exchange on June 29, 2026, rounded down to the nearest whole number.</w:t>
      </w:r>
    </w:p>
    <w:p>
      <w:pPr>
        <w:spacing w:after="0" w:line="147" w:lineRule="exact"/>
        <w:rPr>
          <w:rFonts w:ascii="Times New Roman" w:cs="Times New Roman" w:eastAsia="Times New Roman" w:hAnsi="Times New Roman"/>
          <w:sz w:val="14"/>
          <w:szCs w:val="14"/>
          <w:color w:val="auto"/>
        </w:rPr>
      </w:pPr>
    </w:p>
    <w:p>
      <w:pPr>
        <w:jc w:val="both"/>
        <w:ind w:left="1740" w:right="339"/>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general partner of BIP US Nucleus Aggregator, L.P. is Blackstone Infrastructure Associates Non-ECI L.P. The general partner of Blackstone Infrastructure Associates Non-ECI L.P. is BIA GP L.P. The general partner of BIA GP L.P. is BIA GP L.L.C. The sole member of BIA GP L.L.C. is Blackstone Holdings III L.P. The general partner of Blackstone Holdings III L.P. is Blackstone Holdings III GP Management L.L.C.</w:t>
      </w:r>
    </w:p>
    <w:p>
      <w:pPr>
        <w:spacing w:after="0" w:line="119" w:lineRule="exact"/>
        <w:rPr>
          <w:rFonts w:ascii="Times New Roman" w:cs="Times New Roman" w:eastAsia="Times New Roman" w:hAnsi="Times New Roman"/>
          <w:sz w:val="14"/>
          <w:szCs w:val="14"/>
          <w:color w:val="auto"/>
        </w:rPr>
      </w:pPr>
    </w:p>
    <w:p>
      <w:pPr>
        <w:ind w:left="1740" w:right="319"/>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of BREP US Nucleus Aggregator L.P. is BREP US Nucleus Aggregator GP LLC. Blackstone Real Estate Associates X L.P. is the managing member of BREP US Nucleus Aggregator GP LLC. The general partner of Blackstone Real Estate Associates X L.P. is BREA X L.L.C. The managing member of BREA X L.L.C. is Blackstone Holdings II L.P. The general partner of Blackstone Holdings II L.P. is Blackstone Holdings I/II GP L.L.C.</w:t>
      </w:r>
    </w:p>
    <w:p>
      <w:pPr>
        <w:spacing w:after="0" w:line="141" w:lineRule="exact"/>
        <w:rPr>
          <w:rFonts w:ascii="Times New Roman" w:cs="Times New Roman" w:eastAsia="Times New Roman" w:hAnsi="Times New Roman"/>
          <w:sz w:val="14"/>
          <w:szCs w:val="14"/>
          <w:color w:val="auto"/>
        </w:rPr>
      </w:pPr>
    </w:p>
    <w:p>
      <w:pPr>
        <w:jc w:val="both"/>
        <w:ind w:left="1740" w:right="579"/>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Blackstone Private Equity Strategies Associates L.P. is the general partner of each of BXPE Nucleus Lux Holdco L.P. and BXPE Nucleus US Holdco L.P. The general partner of Blackstone Private Equity Strategies Associates L.P. is BXPEA L.L.C. The managing member of BXPEA L.L.C. is Blackstone Holdings II L.P. The general partner of Blackstone Holdings II L.P. is Blackstone Holdings I/II GP L.L.C.</w:t>
      </w:r>
    </w:p>
    <w:p>
      <w:pPr>
        <w:spacing w:after="0" w:line="137" w:lineRule="exact"/>
        <w:rPr>
          <w:rFonts w:ascii="Times New Roman" w:cs="Times New Roman" w:eastAsia="Times New Roman" w:hAnsi="Times New Roman"/>
          <w:sz w:val="14"/>
          <w:szCs w:val="14"/>
          <w:color w:val="auto"/>
        </w:rPr>
      </w:pPr>
    </w:p>
    <w:p>
      <w:pPr>
        <w:ind w:left="1740" w:right="619"/>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BTO Holdings Manager IV L.L.C. is the general partner of BTO Nucleus Holdings DE L.P. The sole member of BTO Holdings Manager IV L.L.C. is BTO DE GP – NQ L.L.C. The sole member of BTO DE GP – NQ L.L.C. is Blackstone Holdings II L.P. The general partner of Blackstone Holdings II L.P. is Blackstone Holdings I/II GP L.L.C.</w:t>
      </w:r>
    </w:p>
    <w:p>
      <w:pPr>
        <w:spacing w:after="0" w:line="138" w:lineRule="exact"/>
        <w:rPr>
          <w:sz w:val="20"/>
          <w:szCs w:val="20"/>
          <w:color w:val="auto"/>
        </w:rPr>
      </w:pPr>
    </w:p>
    <w:p>
      <w:pPr>
        <w:ind w:left="1740" w:right="299"/>
        <w:spacing w:after="0" w:line="278" w:lineRule="auto"/>
        <w:rPr>
          <w:sz w:val="20"/>
          <w:szCs w:val="20"/>
          <w:color w:val="auto"/>
        </w:rPr>
      </w:pPr>
      <w:r>
        <w:rPr>
          <w:rFonts w:ascii="Times New Roman" w:cs="Times New Roman" w:eastAsia="Times New Roman" w:hAnsi="Times New Roman"/>
          <w:sz w:val="14"/>
          <w:szCs w:val="14"/>
          <w:color w:val="auto"/>
        </w:rPr>
        <w:t>Blackstone Inc. is the sole member of Blackstone Holdings I/II GP L.L.C. and Blackstone Holdings III GP Management L.L.C. The sole holder of the Series II preferred stock of Blackstone Inc. is Blackstone Group</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740" w:right="299"/>
        <w:spacing w:after="0" w:line="255" w:lineRule="auto"/>
        <w:rPr>
          <w:sz w:val="20"/>
          <w:szCs w:val="20"/>
          <w:color w:val="auto"/>
        </w:rPr>
      </w:pPr>
      <w:r>
        <w:rPr>
          <w:rFonts w:ascii="Times New Roman" w:cs="Times New Roman" w:eastAsia="Times New Roman" w:hAnsi="Times New Roman"/>
          <w:sz w:val="14"/>
          <w:szCs w:val="14"/>
          <w:color w:val="auto"/>
        </w:rPr>
        <w:t>Management L.L.C. Blackstone Group Management L.L.C. is wholly-owned by Blackstone’s senior managing directors and controlled by its founder, Stephen A. Schwarzman. Each of the Blackstone entities described in this footnote and Mr. Schwarzman (other than to the extent it or he directly holds securities as described herein) may be deemed to beneficially own the securities directly or indirectly controlled by such Blackstone entities or him, but each disclaims beneficial ownership of such securities. The address of each of such Blackstone entities and Mr. Schwarzman is c/o Blackstone Inc., 345 Park Avenue, New York, New York 10154.</w:t>
      </w:r>
    </w:p>
    <w:p>
      <w:pPr>
        <w:spacing w:after="0" w:line="142" w:lineRule="exact"/>
        <w:rPr>
          <w:sz w:val="20"/>
          <w:szCs w:val="20"/>
          <w:color w:val="auto"/>
        </w:rPr>
      </w:pPr>
    </w:p>
    <w:p>
      <w:pPr>
        <w:ind w:left="1400" w:right="279"/>
        <w:spacing w:after="0" w:line="257" w:lineRule="auto"/>
        <w:rPr>
          <w:sz w:val="20"/>
          <w:szCs w:val="20"/>
          <w:color w:val="auto"/>
        </w:rPr>
      </w:pPr>
      <w:r>
        <w:rPr>
          <w:rFonts w:ascii="Times New Roman" w:cs="Times New Roman" w:eastAsia="Times New Roman" w:hAnsi="Times New Roman"/>
          <w:sz w:val="14"/>
          <w:szCs w:val="14"/>
          <w:color w:val="auto"/>
        </w:rPr>
        <w:t>As described under “Prospectus Supplement Summary—Recent Developments,” on June 29, 2026, the company entered into an agreement to purchase from Blackstone all of Blackstone’s interests in the joint ventures. For more information about the company’s relationship with Blackstone and its affiliates, see “Certain Relationships and Related Party Transactions” in our definitive proxy statement on Schedule 14A, filed with the SEC on April 17, 2026, which is incorporated herein by reference.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2"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3" w:lineRule="exact"/>
        <w:rPr>
          <w:sz w:val="20"/>
          <w:szCs w:val="20"/>
          <w:color w:val="auto"/>
        </w:rPr>
      </w:pPr>
    </w:p>
    <w:p>
      <w:pPr>
        <w:jc w:val="both"/>
        <w:ind w:left="1400" w:right="339"/>
        <w:spacing w:after="0" w:line="262" w:lineRule="auto"/>
        <w:rPr>
          <w:sz w:val="20"/>
          <w:szCs w:val="20"/>
          <w:color w:val="auto"/>
        </w:rPr>
      </w:pPr>
      <w:r>
        <w:rPr>
          <w:rFonts w:ascii="Times New Roman" w:cs="Times New Roman" w:eastAsia="Times New Roman" w:hAnsi="Times New Roman"/>
          <w:sz w:val="14"/>
          <w:szCs w:val="14"/>
          <w:color w:val="auto"/>
        </w:rPr>
        <w:t>Morgan Stanley &amp; Co. LLC is acting as the sole underwriter of the offering. Subject to the terms and conditions set forth in an underwriting agreement among us, the selling stockholders and the underwriter, the selling stockholders have agreed to sell to the underwriter, and the underwriter has agreed to purchase from the selling stockholders, 12,310,249 shares of common stock.</w:t>
      </w:r>
    </w:p>
    <w:p>
      <w:pPr>
        <w:spacing w:after="0" w:line="138" w:lineRule="exact"/>
        <w:rPr>
          <w:sz w:val="20"/>
          <w:szCs w:val="20"/>
          <w:color w:val="auto"/>
        </w:rPr>
      </w:pPr>
    </w:p>
    <w:p>
      <w:pPr>
        <w:ind w:left="1400" w:right="659"/>
        <w:spacing w:after="0" w:line="278" w:lineRule="auto"/>
        <w:rPr>
          <w:sz w:val="20"/>
          <w:szCs w:val="20"/>
          <w:color w:val="auto"/>
        </w:rPr>
      </w:pPr>
      <w:r>
        <w:rPr>
          <w:rFonts w:ascii="Times New Roman" w:cs="Times New Roman" w:eastAsia="Times New Roman" w:hAnsi="Times New Roman"/>
          <w:sz w:val="14"/>
          <w:szCs w:val="14"/>
          <w:color w:val="auto"/>
        </w:rPr>
        <w:t>Subject to the terms and conditions set forth in the underwriting agreement, the underwriter has agreed to purchase all of the shares sold under the underwriting agreement if any of these shares are purchased.</w:t>
      </w:r>
    </w:p>
    <w:p>
      <w:pPr>
        <w:spacing w:after="0" w:line="126" w:lineRule="exact"/>
        <w:rPr>
          <w:sz w:val="20"/>
          <w:szCs w:val="20"/>
          <w:color w:val="auto"/>
        </w:rPr>
      </w:pPr>
    </w:p>
    <w:p>
      <w:pPr>
        <w:ind w:left="1400" w:right="619"/>
        <w:spacing w:after="0" w:line="278" w:lineRule="auto"/>
        <w:rPr>
          <w:sz w:val="20"/>
          <w:szCs w:val="20"/>
          <w:color w:val="auto"/>
        </w:rPr>
      </w:pPr>
      <w:r>
        <w:rPr>
          <w:rFonts w:ascii="Times New Roman" w:cs="Times New Roman" w:eastAsia="Times New Roman" w:hAnsi="Times New Roman"/>
          <w:sz w:val="14"/>
          <w:szCs w:val="14"/>
          <w:color w:val="auto"/>
        </w:rPr>
        <w:t>We and the selling stockholders have agreed to indemnify the underwriter against certain liabilities, including liabilities under the Securities Act of 1933, as amended (the “Securities Act”), or to contribute to payments the underwriter may be required to make in respect of those liabilities.</w:t>
      </w:r>
    </w:p>
    <w:p>
      <w:pPr>
        <w:spacing w:after="0" w:line="126" w:lineRule="exact"/>
        <w:rPr>
          <w:sz w:val="20"/>
          <w:szCs w:val="20"/>
          <w:color w:val="auto"/>
        </w:rPr>
      </w:pPr>
    </w:p>
    <w:p>
      <w:pPr>
        <w:ind w:left="1400" w:right="339"/>
        <w:spacing w:after="0" w:line="257" w:lineRule="auto"/>
        <w:rPr>
          <w:sz w:val="20"/>
          <w:szCs w:val="20"/>
          <w:color w:val="auto"/>
        </w:rPr>
      </w:pPr>
      <w:r>
        <w:rPr>
          <w:rFonts w:ascii="Times New Roman" w:cs="Times New Roman" w:eastAsia="Times New Roman" w:hAnsi="Times New Roman"/>
          <w:sz w:val="14"/>
          <w:szCs w:val="14"/>
          <w:color w:val="auto"/>
        </w:rPr>
        <w:t>The underwriter is offering the shares, subject to prior sale, when, as and if issued to and accepted by it, subject to approval of legal matters by its counsel, including the closing of the Blackstone acquisition,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Commissions and Discounts</w:t>
      </w:r>
    </w:p>
    <w:p>
      <w:pPr>
        <w:spacing w:after="0" w:line="90" w:lineRule="exact"/>
        <w:rPr>
          <w:sz w:val="20"/>
          <w:szCs w:val="20"/>
          <w:color w:val="auto"/>
        </w:rPr>
      </w:pPr>
    </w:p>
    <w:p>
      <w:pPr>
        <w:ind w:left="1400" w:right="999" w:firstLine="339"/>
        <w:spacing w:after="0" w:line="278" w:lineRule="auto"/>
        <w:rPr>
          <w:sz w:val="20"/>
          <w:szCs w:val="20"/>
          <w:color w:val="auto"/>
        </w:rPr>
      </w:pPr>
      <w:r>
        <w:rPr>
          <w:rFonts w:ascii="Times New Roman" w:cs="Times New Roman" w:eastAsia="Times New Roman" w:hAnsi="Times New Roman"/>
          <w:sz w:val="14"/>
          <w:szCs w:val="14"/>
          <w:color w:val="auto"/>
        </w:rPr>
        <w:t>The following table shows the per share and total underwriting discounts and commissions to be paid to the underwriter by the selling stockholders.</w:t>
      </w:r>
    </w:p>
    <w:p>
      <w:pPr>
        <w:spacing w:after="0" w:line="142" w:lineRule="exact"/>
        <w:rPr>
          <w:sz w:val="20"/>
          <w:szCs w:val="20"/>
          <w:color w:val="auto"/>
        </w:rPr>
      </w:pPr>
    </w:p>
    <w:tbl>
      <w:tblPr>
        <w:tblLayout w:type="fixed"/>
        <w:tblInd w:w="2760" w:type="dxa"/>
        <w:tblCellMar>
          <w:top w:w="0" w:type="dxa"/>
          <w:left w:w="0" w:type="dxa"/>
          <w:bottom w:w="0" w:type="dxa"/>
          <w:right w:w="0" w:type="dxa"/>
        </w:tblCellMar>
      </w:tblPr>
      <w:tr>
        <w:trPr>
          <w:trHeight w:val="133"/>
        </w:trPr>
        <w:tc>
          <w:tcPr>
            <w:tcW w:w="4400" w:type="dxa"/>
            <w:vAlign w:val="bottom"/>
          </w:tcPr>
          <w:p>
            <w:pPr>
              <w:spacing w:after="0"/>
              <w:rPr>
                <w:sz w:val="11"/>
                <w:szCs w:val="11"/>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Commissions and Discounts</w:t>
            </w:r>
          </w:p>
        </w:tc>
      </w:tr>
      <w:tr>
        <w:trPr>
          <w:trHeight w:val="157"/>
        </w:trPr>
        <w:tc>
          <w:tcPr>
            <w:tcW w:w="44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Per Share</w:t>
            </w:r>
          </w:p>
        </w:tc>
        <w:tc>
          <w:tcPr>
            <w:tcW w:w="32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0.6138</w:t>
            </w:r>
          </w:p>
        </w:tc>
        <w:tc>
          <w:tcPr>
            <w:tcW w:w="40" w:type="dxa"/>
            <w:vAlign w:val="bottom"/>
            <w:tcBorders>
              <w:top w:val="single" w:sz="8" w:color="CCEEFF"/>
            </w:tcBorders>
            <w:shd w:val="clear" w:color="auto" w:fill="CCEEFF"/>
          </w:tcPr>
          <w:p>
            <w:pPr>
              <w:spacing w:after="0"/>
              <w:rPr>
                <w:sz w:val="13"/>
                <w:szCs w:val="13"/>
                <w:color w:val="auto"/>
              </w:rPr>
            </w:pPr>
          </w:p>
        </w:tc>
      </w:tr>
      <w:tr>
        <w:trPr>
          <w:trHeight w:val="181"/>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7,556,030.84</w:t>
            </w:r>
          </w:p>
        </w:tc>
        <w:tc>
          <w:tcPr>
            <w:tcW w:w="40" w:type="dxa"/>
            <w:vAlign w:val="bottom"/>
          </w:tcPr>
          <w:p>
            <w:pPr>
              <w:spacing w:after="0"/>
              <w:rPr>
                <w:sz w:val="15"/>
                <w:szCs w:val="15"/>
                <w:color w:val="auto"/>
              </w:rPr>
            </w:pPr>
          </w:p>
        </w:tc>
      </w:tr>
    </w:tbl>
    <w:p>
      <w:pPr>
        <w:spacing w:after="0" w:line="136" w:lineRule="exact"/>
        <w:rPr>
          <w:sz w:val="20"/>
          <w:szCs w:val="20"/>
          <w:color w:val="auto"/>
        </w:rPr>
      </w:pPr>
    </w:p>
    <w:p>
      <w:pPr>
        <w:ind w:left="1400" w:right="359" w:firstLine="339"/>
        <w:spacing w:after="0" w:line="262" w:lineRule="auto"/>
        <w:rPr>
          <w:sz w:val="20"/>
          <w:szCs w:val="20"/>
          <w:color w:val="auto"/>
        </w:rPr>
      </w:pPr>
      <w:r>
        <w:rPr>
          <w:rFonts w:ascii="Times New Roman" w:cs="Times New Roman" w:eastAsia="Times New Roman" w:hAnsi="Times New Roman"/>
          <w:sz w:val="14"/>
          <w:szCs w:val="14"/>
          <w:color w:val="auto"/>
        </w:rPr>
        <w:t>The underwriter has advised us that it proposes to offer the shares of common stock directly to the public at the public offering price on the cover of this prospectus supplement and to dealers at that price less a concession not in excess of $0.3683 per share. After this offering, the underwriter may change the offering price and other selling terms.</w:t>
      </w:r>
    </w:p>
    <w:p>
      <w:pPr>
        <w:spacing w:after="0" w:line="138" w:lineRule="exact"/>
        <w:rPr>
          <w:sz w:val="20"/>
          <w:szCs w:val="20"/>
          <w:color w:val="auto"/>
        </w:rPr>
      </w:pPr>
    </w:p>
    <w:p>
      <w:pPr>
        <w:ind w:left="1400" w:right="339" w:firstLine="339"/>
        <w:spacing w:after="0" w:line="262" w:lineRule="auto"/>
        <w:rPr>
          <w:sz w:val="20"/>
          <w:szCs w:val="20"/>
          <w:color w:val="auto"/>
        </w:rPr>
      </w:pPr>
      <w:r>
        <w:rPr>
          <w:rFonts w:ascii="Times New Roman" w:cs="Times New Roman" w:eastAsia="Times New Roman" w:hAnsi="Times New Roman"/>
          <w:sz w:val="14"/>
          <w:szCs w:val="14"/>
          <w:color w:val="auto"/>
        </w:rPr>
        <w:t>We have agreed to pay 50% of offering expenses of the selling stockholders (including offering discounts and underwriting commissions and fees and disbursements of the selling stockholders’ counsel), subject to a cap of $30.0 million. The selling stockholders will bear all remaining offering expenses in excess of the company’s expense cap.</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 Sales of Similar Securities</w:t>
      </w:r>
    </w:p>
    <w:p>
      <w:pPr>
        <w:spacing w:after="0" w:line="90" w:lineRule="exact"/>
        <w:rPr>
          <w:sz w:val="20"/>
          <w:szCs w:val="20"/>
          <w:color w:val="auto"/>
        </w:rPr>
      </w:pPr>
    </w:p>
    <w:p>
      <w:pPr>
        <w:jc w:val="both"/>
        <w:ind w:left="1400" w:right="319"/>
        <w:spacing w:after="0" w:line="318" w:lineRule="auto"/>
        <w:rPr>
          <w:sz w:val="20"/>
          <w:szCs w:val="20"/>
          <w:color w:val="auto"/>
        </w:rPr>
      </w:pPr>
      <w:r>
        <w:rPr>
          <w:rFonts w:ascii="Times New Roman" w:cs="Times New Roman" w:eastAsia="Times New Roman" w:hAnsi="Times New Roman"/>
          <w:sz w:val="13"/>
          <w:szCs w:val="13"/>
          <w:color w:val="auto"/>
        </w:rPr>
        <w:t>We, our operating partnership, and each of our executive officers have agreed that, without the prior written consent of the underwriter, we and they will not, and will not publicly disclose an intention to, during the period ending 30 days after the date of this prospectus supplement (the “restricted period”):</w:t>
      </w:r>
    </w:p>
    <w:p>
      <w:pPr>
        <w:spacing w:after="0" w:line="30" w:lineRule="exact"/>
        <w:rPr>
          <w:sz w:val="20"/>
          <w:szCs w:val="20"/>
          <w:color w:val="auto"/>
        </w:rPr>
      </w:pPr>
    </w:p>
    <w:p>
      <w:pPr>
        <w:ind w:left="2160" w:right="499" w:hanging="422"/>
        <w:spacing w:after="0" w:line="255"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sell, contract to sell, pledge, or otherwise dispose of (or enter into any transaction which is designed to, or would reasonably be expected to, result in the disposition of (whether by actual disposition or effective economic disposition due to cash settlement or otherwise) by us or any of our affiliates, or any person in privity with us or any of our affiliates), directly or indirectly, any shares of common stock, shares of non-voting common stock, limited partnership units of our operating partnership, or any securities convertible into, or exercisable, or exchangeable for, any of the foregoing;</w:t>
      </w:r>
    </w:p>
    <w:p>
      <w:pPr>
        <w:spacing w:after="0" w:line="69" w:lineRule="exact"/>
        <w:rPr>
          <w:rFonts w:ascii="Times New Roman" w:cs="Times New Roman" w:eastAsia="Times New Roman" w:hAnsi="Times New Roman"/>
          <w:sz w:val="14"/>
          <w:szCs w:val="14"/>
          <w:color w:val="auto"/>
        </w:rPr>
      </w:pPr>
    </w:p>
    <w:p>
      <w:pPr>
        <w:ind w:left="2160" w:right="339" w:hanging="422"/>
        <w:spacing w:after="0" w:line="278"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hedge or other arrangement that transfers, in whole or in part, any of the economic consequences of ownership of any shares of our common stock or limited partnership units of our</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2"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679"/>
        <w:spacing w:after="0" w:line="278" w:lineRule="auto"/>
        <w:rPr>
          <w:sz w:val="20"/>
          <w:szCs w:val="20"/>
          <w:color w:val="auto"/>
        </w:rPr>
      </w:pPr>
      <w:r>
        <w:rPr>
          <w:rFonts w:ascii="Times New Roman" w:cs="Times New Roman" w:eastAsia="Times New Roman" w:hAnsi="Times New Roman"/>
          <w:sz w:val="14"/>
          <w:szCs w:val="14"/>
          <w:color w:val="auto"/>
        </w:rPr>
        <w:t>operating partnership, or any securities convertible into, or exercisable, or exchangeable for any of the foregoing, whether settled by delivery of such securities or other securities;</w:t>
      </w:r>
    </w:p>
    <w:p>
      <w:pPr>
        <w:spacing w:after="0" w:line="53" w:lineRule="exact"/>
        <w:rPr>
          <w:sz w:val="20"/>
          <w:szCs w:val="20"/>
          <w:color w:val="auto"/>
        </w:rPr>
      </w:pPr>
    </w:p>
    <w:p>
      <w:pPr>
        <w:ind w:left="2160" w:right="319" w:hanging="422"/>
        <w:spacing w:after="0" w:line="255" w:lineRule="auto"/>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any registration statement with the SEC relating to, or make a demand for or exercise of any registration in respect of, the offering of any of our common stock or limited partnership units of our operating partnership, or any securities convertible into, or exercisable, or exchangeable for any of the foregoing (except for a registration statement on Form S-4 relating to an acquisition of a real property company or a registration statement on Form S-8 in connection with shares of common stock authorized for issuance pursuant to the terms of any plan in effect as of the date of this prospectus supplement); or</w:t>
      </w:r>
    </w:p>
    <w:p>
      <w:pPr>
        <w:spacing w:after="0" w:line="69" w:lineRule="exact"/>
        <w:rPr>
          <w:rFonts w:ascii="Times New Roman" w:cs="Times New Roman" w:eastAsia="Times New Roman" w:hAnsi="Times New Roman"/>
          <w:sz w:val="14"/>
          <w:szCs w:val="14"/>
          <w:color w:val="auto"/>
        </w:rPr>
      </w:pPr>
    </w:p>
    <w:p>
      <w:pPr>
        <w:ind w:left="2160" w:right="499" w:hanging="422"/>
        <w:spacing w:after="0" w:line="278" w:lineRule="auto"/>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or increase a put equivalent position or liquidate or decrease a call equivalent position within the meaning of Section 16 of the Exchange Act.</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Notwithstanding the above, the underwriter has agreed in the underwriting agreement that the lock-up agreement applicable to us does not apply to:</w:t>
      </w:r>
    </w:p>
    <w:p>
      <w:pPr>
        <w:spacing w:after="0" w:line="99" w:lineRule="exact"/>
        <w:rPr>
          <w:sz w:val="20"/>
          <w:szCs w:val="20"/>
          <w:color w:val="auto"/>
        </w:rPr>
      </w:pPr>
    </w:p>
    <w:p>
      <w:pPr>
        <w:ind w:left="2160" w:right="499" w:hanging="339"/>
        <w:spacing w:after="0" w:line="278"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granting stock options, restricted stock, restricted stock units or long-term incentive units in our operating partnership (“LTIP Units”) to our employees, consultants or directors pursuant to the terms of a plan in effect as of the date of this prospectus supplement;</w:t>
      </w:r>
    </w:p>
    <w:p>
      <w:pPr>
        <w:spacing w:after="0" w:line="52" w:lineRule="exact"/>
        <w:rPr>
          <w:rFonts w:ascii="Times New Roman" w:cs="Times New Roman" w:eastAsia="Times New Roman" w:hAnsi="Times New Roman"/>
          <w:sz w:val="14"/>
          <w:szCs w:val="14"/>
          <w:color w:val="auto"/>
        </w:rPr>
      </w:pPr>
    </w:p>
    <w:p>
      <w:pPr>
        <w:ind w:left="2160" w:right="299" w:hanging="339"/>
        <w:spacing w:after="0" w:line="252"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issuing shares of common stock or operating partnership units, as applicable pursuant to: (i) the exercise, vesting, settlement, conversion or redemption, as applicable, of such options, restricted stock units and LTIP Units; (ii) the redemption of units outstanding on the date of this prospectus supplement, including units issued upon conversion of LTIP Units outstanding on the date of this prospectus supplement;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we will notify the underwriter promptly in writing upon receipt by us or our operating partnership of any notice of redemption with respect to such units (other than with respect to the redemption of LTIP Units) or (iii) the exercise, vesting, settlement, conversion or redemption, as applicable, of any stock options, restricted stock units or LTIP Units outstanding as of the date of this prospectus supplement;</w:t>
      </w:r>
    </w:p>
    <w:p>
      <w:pPr>
        <w:spacing w:after="0" w:line="73"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shares of common stock pursuant to our dividend reinvestment plan (if any);</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common stock pursuant to our employee stock purchase plan (if any);</w:t>
      </w:r>
    </w:p>
    <w:p>
      <w:pPr>
        <w:spacing w:after="0" w:line="98" w:lineRule="exact"/>
        <w:rPr>
          <w:rFonts w:ascii="Times New Roman" w:cs="Times New Roman" w:eastAsia="Times New Roman" w:hAnsi="Times New Roman"/>
          <w:sz w:val="14"/>
          <w:szCs w:val="14"/>
          <w:color w:val="auto"/>
        </w:rPr>
      </w:pPr>
    </w:p>
    <w:p>
      <w:pPr>
        <w:ind w:left="2160" w:right="339" w:hanging="339"/>
        <w:spacing w:after="0" w:line="262"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(a) shares of common stock or securities convertible into or exchangeable or exercisable for shares of common stock in connection with other acquisitions of real property or real property companies and (b) shares of common stock upon conversion or exchange of any securities issued pursuant to (a) above;</w:t>
      </w:r>
    </w:p>
    <w:p>
      <w:pPr>
        <w:spacing w:after="0" w:line="64" w:lineRule="exact"/>
        <w:rPr>
          <w:rFonts w:ascii="Times New Roman" w:cs="Times New Roman" w:eastAsia="Times New Roman" w:hAnsi="Times New Roman"/>
          <w:sz w:val="14"/>
          <w:szCs w:val="14"/>
          <w:color w:val="auto"/>
        </w:rPr>
      </w:pPr>
    </w:p>
    <w:p>
      <w:pPr>
        <w:ind w:left="2160" w:right="499" w:hanging="339"/>
        <w:spacing w:after="0" w:line="278"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shares of common stock in connection with the Columbia Capital acquisition described in “Prospectus Supplement Summary— Recent Developments.”;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shelf registration statements in connection with existing contractual commitments; and</w:t>
      </w:r>
    </w:p>
    <w:p>
      <w:pPr>
        <w:spacing w:after="0" w:line="98" w:lineRule="exact"/>
        <w:rPr>
          <w:rFonts w:ascii="Times New Roman" w:cs="Times New Roman" w:eastAsia="Times New Roman" w:hAnsi="Times New Roman"/>
          <w:sz w:val="14"/>
          <w:szCs w:val="14"/>
          <w:color w:val="auto"/>
        </w:rPr>
      </w:pPr>
    </w:p>
    <w:p>
      <w:pPr>
        <w:ind w:left="2160" w:right="639" w:hanging="339"/>
        <w:spacing w:after="0" w:line="278"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shares of common stock upon the conversion of any of our perpetual preferred stock pursuant to a delisting change of control transaction.</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addition, notwithstanding the foregoing, the underwriter has agreed that the following shall not apply to the lock-up agreements with our officers:</w:t>
      </w:r>
    </w:p>
    <w:p>
      <w:pPr>
        <w:spacing w:after="0" w:line="99" w:lineRule="exact"/>
        <w:rPr>
          <w:sz w:val="20"/>
          <w:szCs w:val="20"/>
          <w:color w:val="auto"/>
        </w:rPr>
      </w:pPr>
    </w:p>
    <w:p>
      <w:pPr>
        <w:ind w:left="2160" w:hanging="339"/>
        <w:spacing w:after="0"/>
        <w:tabs>
          <w:tab w:leader="none" w:pos="21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entering into a valid contract, instruction or plan that satisfies the requirements of Rule 10b5-1 under the Exchange Act (a “10b5-1 Plan”);</w:t>
      </w:r>
    </w:p>
    <w:p>
      <w:pPr>
        <w:spacing w:after="0" w:line="110" w:lineRule="exact"/>
        <w:rPr>
          <w:rFonts w:ascii="Times New Roman" w:cs="Times New Roman" w:eastAsia="Times New Roman" w:hAnsi="Times New Roman"/>
          <w:sz w:val="13"/>
          <w:szCs w:val="13"/>
          <w:color w:val="auto"/>
        </w:rPr>
      </w:pPr>
    </w:p>
    <w:p>
      <w:pPr>
        <w:jc w:val="both"/>
        <w:ind w:left="2160" w:right="399" w:hanging="339"/>
        <w:spacing w:after="0" w:line="292" w:lineRule="auto"/>
        <w:tabs>
          <w:tab w:leader="none" w:pos="21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 (A) to an immediate family member; (B) to one or more trusts of which the sole beneficiaries thereof are the undersigned and/or the undersigned’s immediate family members; (C) as a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gift or gifts, and (D) in a transaction consummated in accordance with a 10b5-1 Plan existing or entered into prior to the date of the lock-up agreements;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prior to any such transfer, the</w:t>
      </w:r>
    </w:p>
    <w:p>
      <w:pPr>
        <w:spacing w:after="0" w:line="6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2"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379"/>
        <w:spacing w:after="0" w:line="257" w:lineRule="auto"/>
        <w:rPr>
          <w:sz w:val="20"/>
          <w:szCs w:val="20"/>
          <w:color w:val="auto"/>
        </w:rPr>
      </w:pPr>
      <w:r>
        <w:rPr>
          <w:rFonts w:ascii="Times New Roman" w:cs="Times New Roman" w:eastAsia="Times New Roman" w:hAnsi="Times New Roman"/>
          <w:sz w:val="14"/>
          <w:szCs w:val="14"/>
          <w:color w:val="auto"/>
        </w:rPr>
        <w:t>transferee has agreed in writing to be bound by the relevant lock-up agreement, any such transfer does not involve a disposition for value and any required filing reporting any such transfer with the SEC pursuant to Section 16 of the Exchange Act shall briefly note the applicable circumstances that cause such exception to apply and explain that such filing relates solely to transfers within such exceptions; and</w:t>
      </w:r>
    </w:p>
    <w:p>
      <w:pPr>
        <w:spacing w:after="0" w:line="69" w:lineRule="exact"/>
        <w:rPr>
          <w:sz w:val="20"/>
          <w:szCs w:val="20"/>
          <w:color w:val="auto"/>
        </w:rPr>
      </w:pPr>
    </w:p>
    <w:p>
      <w:pPr>
        <w:ind w:left="2160" w:right="319" w:hanging="339"/>
        <w:spacing w:after="0" w:line="292" w:lineRule="auto"/>
        <w:tabs>
          <w:tab w:leader="none" w:pos="21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exercise the right of redemption with respect to outstanding common units, long-term incentive units, Class C units or Class D units issued under our incentive award plans,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all shares of common stock issued upon such redemption shall be considered restricted for purposes of the lock-up agreement and shall not be further transferred except in accordance with such agreement.</w:t>
      </w:r>
    </w:p>
    <w:p>
      <w:pPr>
        <w:spacing w:after="0" w:line="119" w:lineRule="exact"/>
        <w:rPr>
          <w:sz w:val="20"/>
          <w:szCs w:val="20"/>
          <w:color w:val="auto"/>
        </w:rPr>
      </w:pPr>
    </w:p>
    <w:p>
      <w:pPr>
        <w:jc w:val="both"/>
        <w:ind w:left="1400" w:right="299"/>
        <w:spacing w:after="0" w:line="278" w:lineRule="auto"/>
        <w:rPr>
          <w:sz w:val="20"/>
          <w:szCs w:val="20"/>
          <w:color w:val="auto"/>
        </w:rPr>
      </w:pPr>
      <w:r>
        <w:rPr>
          <w:rFonts w:ascii="Times New Roman" w:cs="Times New Roman" w:eastAsia="Times New Roman" w:hAnsi="Times New Roman"/>
          <w:sz w:val="14"/>
          <w:szCs w:val="14"/>
          <w:color w:val="auto"/>
        </w:rPr>
        <w:t>The underwriter, in its sole discretion, may release the common stock and other securities subject to the lock-up agreements described above in whole or in part at any time.</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New York Stock Exchange Listing</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shares are listed on the New York Stock Exchange under the symbol “DLR”.</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Short Positions</w:t>
      </w:r>
    </w:p>
    <w:p>
      <w:pPr>
        <w:spacing w:after="0" w:line="90" w:lineRule="exact"/>
        <w:rPr>
          <w:sz w:val="20"/>
          <w:szCs w:val="20"/>
          <w:color w:val="auto"/>
        </w:rPr>
      </w:pPr>
    </w:p>
    <w:p>
      <w:pPr>
        <w:jc w:val="both"/>
        <w:ind w:left="1400" w:right="299"/>
        <w:spacing w:after="0" w:line="262" w:lineRule="auto"/>
        <w:rPr>
          <w:sz w:val="20"/>
          <w:szCs w:val="20"/>
          <w:color w:val="auto"/>
        </w:rPr>
      </w:pPr>
      <w:r>
        <w:rPr>
          <w:rFonts w:ascii="Times New Roman" w:cs="Times New Roman" w:eastAsia="Times New Roman" w:hAnsi="Times New Roman"/>
          <w:sz w:val="14"/>
          <w:szCs w:val="14"/>
          <w:color w:val="auto"/>
        </w:rPr>
        <w:t>In connection with the offering, the underwriter may purchase and sell our common stock in the open market. These transactions may include short sales and purchases on the open market to cover positions created by short sales. Short sales involve the sale by the underwriter of a greater number of shares than it is required to purchase in the offering.</w:t>
      </w:r>
    </w:p>
    <w:p>
      <w:pPr>
        <w:spacing w:after="0" w:line="138" w:lineRule="exact"/>
        <w:rPr>
          <w:sz w:val="20"/>
          <w:szCs w:val="20"/>
          <w:color w:val="auto"/>
        </w:rPr>
      </w:pPr>
    </w:p>
    <w:p>
      <w:pPr>
        <w:ind w:left="1400" w:right="459"/>
        <w:spacing w:after="0" w:line="257" w:lineRule="auto"/>
        <w:rPr>
          <w:sz w:val="20"/>
          <w:szCs w:val="20"/>
          <w:color w:val="auto"/>
        </w:rPr>
      </w:pPr>
      <w:r>
        <w:rPr>
          <w:rFonts w:ascii="Times New Roman" w:cs="Times New Roman" w:eastAsia="Times New Roman" w:hAnsi="Times New Roman"/>
          <w:sz w:val="14"/>
          <w:szCs w:val="14"/>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 may conduct these transactions on the New York Stock Exchange, in the over-the-counter market or otherwise.</w:t>
      </w:r>
    </w:p>
    <w:p>
      <w:pPr>
        <w:spacing w:after="0" w:line="142" w:lineRule="exact"/>
        <w:rPr>
          <w:sz w:val="20"/>
          <w:szCs w:val="20"/>
          <w:color w:val="auto"/>
        </w:rPr>
      </w:pPr>
    </w:p>
    <w:p>
      <w:pPr>
        <w:ind w:left="1400" w:right="319"/>
        <w:spacing w:after="0" w:line="262" w:lineRule="auto"/>
        <w:rPr>
          <w:sz w:val="20"/>
          <w:szCs w:val="20"/>
          <w:color w:val="auto"/>
        </w:rPr>
      </w:pPr>
      <w:r>
        <w:rPr>
          <w:rFonts w:ascii="Times New Roman" w:cs="Times New Roman" w:eastAsia="Times New Roman" w:hAnsi="Times New Roman"/>
          <w:sz w:val="14"/>
          <w:szCs w:val="14"/>
          <w:color w:val="auto"/>
        </w:rPr>
        <w:t>Neither we nor the underwriter make any representation or prediction as to the direction or magnitude of any effect that the transactions described above may have on the price of our common stock. In addition, neither we nor the underwriter make any representation that the underwriter will engage in these transactions or that these transactions, once commenced, will not be discontinued without notice.</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Electronic Distribution</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connection with the offering, the underwriter or securities dealers may distribute prospectuses by electronic means, such as e-mail.</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0"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The underwriter and certain of its affiliates have engaged in, and may in the future engage in, investment banking and other commercial dealings in the ordinary course of business with us or our affiliates. They have received, or may in the future receive, customary fees and commissions for these transactions. In the ordinary course of their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certain of its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2"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499"/>
        <w:spacing w:after="0" w:line="255" w:lineRule="auto"/>
        <w:rPr>
          <w:sz w:val="20"/>
          <w:szCs w:val="20"/>
          <w:color w:val="auto"/>
        </w:rPr>
      </w:pPr>
      <w:r>
        <w:rPr>
          <w:rFonts w:ascii="Times New Roman" w:cs="Times New Roman" w:eastAsia="Times New Roman" w:hAnsi="Times New Roman"/>
          <w:sz w:val="14"/>
          <w:szCs w:val="14"/>
          <w:color w:val="auto"/>
        </w:rPr>
        <w:t>Morgan Stanley &amp; Co. LLC or its affiliates are a sales agent and/or forward seller under our sales agreement, pursuant to which we can issue and sell shares of our common stock having an aggregate offering price of up to $7.5 billion from time to time through them by means of ordinary brokers’ transactions at market prices, in negotiated transactions or in transactions that are deemed to be “at-the-market” offerings, including sales made to or through a market maker other than on an exchange, in block transactions or by any other method permitted by law, at prices related to the prevailing market prices or at negotiated prices subject to certain minimum prices.</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Additionally, the underwriter or its affiliates in the past have leased, currently lease and in the future may lease space from us.</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Australia</w:t>
      </w:r>
    </w:p>
    <w:p>
      <w:pPr>
        <w:spacing w:after="0" w:line="90" w:lineRule="exact"/>
        <w:rPr>
          <w:sz w:val="20"/>
          <w:szCs w:val="20"/>
          <w:color w:val="auto"/>
        </w:rPr>
      </w:pPr>
    </w:p>
    <w:p>
      <w:pPr>
        <w:ind w:left="1400" w:right="599"/>
        <w:spacing w:after="0" w:line="257"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42" w:lineRule="exact"/>
        <w:rPr>
          <w:sz w:val="20"/>
          <w:szCs w:val="20"/>
          <w:color w:val="auto"/>
        </w:rPr>
      </w:pPr>
    </w:p>
    <w:p>
      <w:pPr>
        <w:ind w:left="1400" w:right="339"/>
        <w:spacing w:after="0" w:line="257" w:lineRule="auto"/>
        <w:rPr>
          <w:sz w:val="20"/>
          <w:szCs w:val="20"/>
          <w:color w:val="auto"/>
        </w:rPr>
      </w:pPr>
      <w:r>
        <w:rPr>
          <w:rFonts w:ascii="Times New Roman" w:cs="Times New Roman" w:eastAsia="Times New Roman" w:hAnsi="Times New Roman"/>
          <w:sz w:val="14"/>
          <w:szCs w:val="14"/>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42" w:lineRule="exact"/>
        <w:rPr>
          <w:sz w:val="20"/>
          <w:szCs w:val="20"/>
          <w:color w:val="auto"/>
        </w:rPr>
      </w:pPr>
    </w:p>
    <w:p>
      <w:pPr>
        <w:ind w:left="1400" w:right="439"/>
        <w:spacing w:after="0" w:line="257" w:lineRule="auto"/>
        <w:rPr>
          <w:sz w:val="20"/>
          <w:szCs w:val="20"/>
          <w:color w:val="auto"/>
        </w:rPr>
      </w:pPr>
      <w:r>
        <w:rPr>
          <w:rFonts w:ascii="Times New Roman" w:cs="Times New Roman" w:eastAsia="Times New Roman" w:hAnsi="Times New Roman"/>
          <w:sz w:val="14"/>
          <w:szCs w:val="14"/>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42" w:lineRule="exact"/>
        <w:rPr>
          <w:sz w:val="20"/>
          <w:szCs w:val="20"/>
          <w:color w:val="auto"/>
        </w:rPr>
      </w:pPr>
    </w:p>
    <w:p>
      <w:pPr>
        <w:ind w:left="1400" w:right="419"/>
        <w:spacing w:after="0" w:line="257" w:lineRule="auto"/>
        <w:rPr>
          <w:sz w:val="20"/>
          <w:szCs w:val="20"/>
          <w:color w:val="auto"/>
        </w:rPr>
      </w:pPr>
      <w:r>
        <w:rPr>
          <w:rFonts w:ascii="Times New Roman" w:cs="Times New Roman" w:eastAsia="Times New Roman" w:hAnsi="Times New Roman"/>
          <w:sz w:val="14"/>
          <w:szCs w:val="14"/>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Dubai International Financial Centre</w:t>
      </w:r>
    </w:p>
    <w:p>
      <w:pPr>
        <w:spacing w:after="0" w:line="90"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Hong Kong</w:t>
      </w:r>
    </w:p>
    <w:p>
      <w:pPr>
        <w:spacing w:after="0" w:line="90" w:lineRule="exact"/>
        <w:rPr>
          <w:sz w:val="20"/>
          <w:szCs w:val="20"/>
          <w:color w:val="auto"/>
        </w:rPr>
      </w:pPr>
    </w:p>
    <w:p>
      <w:pPr>
        <w:ind w:left="1400" w:right="679"/>
        <w:spacing w:after="0" w:line="278" w:lineRule="auto"/>
        <w:rPr>
          <w:sz w:val="20"/>
          <w:szCs w:val="20"/>
          <w:color w:val="auto"/>
        </w:rPr>
      </w:pPr>
      <w:r>
        <w:rPr>
          <w:rFonts w:ascii="Times New Roman" w:cs="Times New Roman" w:eastAsia="Times New Roman" w:hAnsi="Times New Roman"/>
          <w:sz w:val="14"/>
          <w:szCs w:val="14"/>
          <w:color w:val="auto"/>
        </w:rPr>
        <w:t>The shares have not been offered or sold and will not be offered or sold in Hong Kong, by means of any document, other than (a) to “professional investors” as defined in the Securities and Futures Ordinance</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2"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Canada</w:t>
      </w:r>
    </w:p>
    <w:p>
      <w:pPr>
        <w:spacing w:after="0" w:line="90" w:lineRule="exact"/>
        <w:rPr>
          <w:sz w:val="20"/>
          <w:szCs w:val="20"/>
          <w:color w:val="auto"/>
        </w:rPr>
      </w:pPr>
    </w:p>
    <w:p>
      <w:pPr>
        <w:ind w:left="1400" w:right="439"/>
        <w:spacing w:after="0" w:line="257" w:lineRule="auto"/>
        <w:rPr>
          <w:sz w:val="20"/>
          <w:szCs w:val="20"/>
          <w:color w:val="auto"/>
        </w:rPr>
      </w:pPr>
      <w:r>
        <w:rPr>
          <w:rFonts w:ascii="Times New Roman" w:cs="Times New Roman" w:eastAsia="Times New Roman" w:hAnsi="Times New Roman"/>
          <w:sz w:val="14"/>
          <w:szCs w:val="14"/>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4"/>
          <w:szCs w:val="14"/>
          <w:i w:val="1"/>
          <w:iCs w:val="1"/>
          <w:color w:val="auto"/>
        </w:rPr>
        <w:t>Prospectus Exemptions</w:t>
      </w:r>
      <w:r>
        <w:rPr>
          <w:rFonts w:ascii="Times New Roman" w:cs="Times New Roman" w:eastAsia="Times New Roman" w:hAnsi="Times New Roman"/>
          <w:sz w:val="14"/>
          <w:szCs w:val="14"/>
          <w:color w:val="auto"/>
        </w:rPr>
        <w:t xml:space="preserve"> or subsection 73.3(1) of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xml:space="preserve"> (Ontario), and are permitted clients, as defined in National Instrument 31-103 </w:t>
      </w:r>
      <w:r>
        <w:rPr>
          <w:rFonts w:ascii="Times New Roman" w:cs="Times New Roman" w:eastAsia="Times New Roman" w:hAnsi="Times New Roman"/>
          <w:sz w:val="14"/>
          <w:szCs w:val="14"/>
          <w:i w:val="1"/>
          <w:iCs w:val="1"/>
          <w:color w:val="auto"/>
        </w:rPr>
        <w:t>Registration Requirements, Exemptions and Ongoing Registrant Obligations</w:t>
      </w:r>
      <w:r>
        <w:rPr>
          <w:rFonts w:ascii="Times New Roman" w:cs="Times New Roman" w:eastAsia="Times New Roman" w:hAnsi="Times New Roman"/>
          <w:sz w:val="14"/>
          <w:szCs w:val="14"/>
          <w:color w:val="auto"/>
        </w:rPr>
        <w:t>. Any resale of the shares must be made in accordance with an exemption from, or in a transaction not subject to, the prospectus requirements of applicable securities laws.</w:t>
      </w:r>
    </w:p>
    <w:p>
      <w:pPr>
        <w:spacing w:after="0" w:line="142" w:lineRule="exact"/>
        <w:rPr>
          <w:sz w:val="20"/>
          <w:szCs w:val="20"/>
          <w:color w:val="auto"/>
        </w:rPr>
      </w:pPr>
    </w:p>
    <w:p>
      <w:pPr>
        <w:ind w:left="1400" w:right="399"/>
        <w:spacing w:after="0" w:line="257"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2" w:lineRule="exact"/>
        <w:rPr>
          <w:sz w:val="20"/>
          <w:szCs w:val="20"/>
          <w:color w:val="auto"/>
        </w:rPr>
      </w:pPr>
    </w:p>
    <w:p>
      <w:pPr>
        <w:ind w:left="1400" w:right="399"/>
        <w:spacing w:after="0" w:line="262" w:lineRule="auto"/>
        <w:rPr>
          <w:sz w:val="20"/>
          <w:szCs w:val="20"/>
          <w:color w:val="auto"/>
        </w:rPr>
      </w:pPr>
      <w:r>
        <w:rPr>
          <w:rFonts w:ascii="Times New Roman" w:cs="Times New Roman" w:eastAsia="Times New Roman" w:hAnsi="Times New Roman"/>
          <w:sz w:val="14"/>
          <w:szCs w:val="14"/>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4"/>
          <w:szCs w:val="14"/>
          <w:i w:val="1"/>
          <w:iCs w:val="1"/>
          <w:color w:val="auto"/>
        </w:rPr>
        <w:t>Underwriting Conflicts</w:t>
      </w:r>
      <w:r>
        <w:rPr>
          <w:rFonts w:ascii="Times New Roman" w:cs="Times New Roman" w:eastAsia="Times New Roman" w:hAnsi="Times New Roman"/>
          <w:sz w:val="14"/>
          <w:szCs w:val="14"/>
          <w:color w:val="auto"/>
        </w:rPr>
        <w:t xml:space="preserve"> (NI 33-105), the underwriter is not required to comply with the disclosure requirements of NI 33-105 regarding underwriter conflicts of interest in connection with this offering.</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France</w:t>
      </w:r>
    </w:p>
    <w:p>
      <w:pPr>
        <w:spacing w:after="0" w:line="90" w:lineRule="exact"/>
        <w:rPr>
          <w:sz w:val="20"/>
          <w:szCs w:val="20"/>
          <w:color w:val="auto"/>
        </w:rPr>
      </w:pPr>
    </w:p>
    <w:p>
      <w:pPr>
        <w:ind w:left="1400" w:right="359"/>
        <w:spacing w:after="0" w:line="252" w:lineRule="auto"/>
        <w:rPr>
          <w:sz w:val="20"/>
          <w:szCs w:val="20"/>
          <w:color w:val="auto"/>
        </w:rPr>
      </w:pPr>
      <w:r>
        <w:rPr>
          <w:rFonts w:ascii="Times New Roman" w:cs="Times New Roman" w:eastAsia="Times New Roman" w:hAnsi="Times New Roman"/>
          <w:sz w:val="14"/>
          <w:szCs w:val="14"/>
          <w:color w:val="auto"/>
        </w:rPr>
        <w:t>This prospectus supplement has only been prepared in the context of a public offering in France pursuant to an exemption under Article L. 411-2 1° of the French Monetary and Financial Code (Code monétaire et financier) and the Prospectus Regulation and therefore this prospectus supplement has not been approved by, registered or filed with the Autorité des Marchés Financiers (the “AMF”). Therefore, the Shares may not be, directly or indirectly, offered or caused to be offered or sold to the public in France (offre au public de titres financiers) other than to a limited number of investors acting for their own account (cercle restreint d’investisseurs agissant pour compte propre) in accordance with Articles L.411-2 and D.411-4 of the French Monetary and Financial Code (Code monétaire et financier) or to qualified investors (investisseurs qualifiés) within the meaning of Article 2(e) of the Prospectus Regulation and Article L.411-2 of the French Monetary and Financial Code.</w:t>
      </w:r>
    </w:p>
    <w:p>
      <w:pPr>
        <w:spacing w:after="0" w:line="146" w:lineRule="exact"/>
        <w:rPr>
          <w:sz w:val="20"/>
          <w:szCs w:val="20"/>
          <w:color w:val="auto"/>
        </w:rPr>
      </w:pPr>
    </w:p>
    <w:p>
      <w:pPr>
        <w:ind w:left="1400" w:right="339"/>
        <w:spacing w:after="0" w:line="253" w:lineRule="auto"/>
        <w:rPr>
          <w:sz w:val="20"/>
          <w:szCs w:val="20"/>
          <w:color w:val="auto"/>
        </w:rPr>
      </w:pPr>
      <w:r>
        <w:rPr>
          <w:rFonts w:ascii="Times New Roman" w:cs="Times New Roman" w:eastAsia="Times New Roman" w:hAnsi="Times New Roman"/>
          <w:sz w:val="14"/>
          <w:szCs w:val="14"/>
          <w:color w:val="auto"/>
        </w:rPr>
        <w:t>This prospectus supplement and any other offering or marketing material or information relating to the shares has not been and will not be released, issued or distributed or caused to be released, issued or distributed, directly or indirectly, to the public in France or used in connection with any offer for subscription or sales of the Shares to the public in France other than pursuant to an exemption under the Prospectus Regulation. Offers, sales and distributions have only been and shall only be made in France to a limited number of investors acting for their own account or qualified investors in accordance with Articles L.411-1, L.411-2, L.762-1, D.411-4, D.754- 1, D.764-1 of the French Monetary and Financial Code and applicable regulations thereunder.</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2"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Kingdom</w:t>
      </w:r>
    </w:p>
    <w:p>
      <w:pPr>
        <w:spacing w:after="0" w:line="90" w:lineRule="exact"/>
        <w:rPr>
          <w:sz w:val="20"/>
          <w:szCs w:val="20"/>
          <w:color w:val="auto"/>
        </w:rPr>
      </w:pPr>
    </w:p>
    <w:p>
      <w:pPr>
        <w:ind w:left="1400" w:right="339"/>
        <w:spacing w:after="0" w:line="278" w:lineRule="auto"/>
        <w:rPr>
          <w:sz w:val="20"/>
          <w:szCs w:val="20"/>
          <w:color w:val="auto"/>
        </w:rPr>
      </w:pPr>
      <w:r>
        <w:rPr>
          <w:rFonts w:ascii="Times New Roman" w:cs="Times New Roman" w:eastAsia="Times New Roman" w:hAnsi="Times New Roman"/>
          <w:sz w:val="14"/>
          <w:szCs w:val="14"/>
          <w:color w:val="auto"/>
        </w:rPr>
        <w:t>No shares have been offered or will be offered pursuant to the offering to the public in the United Kingdom except that the Shares may be offered to the public in the United Kingdom at any time:</w:t>
      </w:r>
    </w:p>
    <w:p>
      <w:pPr>
        <w:spacing w:after="0" w:line="53" w:lineRule="exact"/>
        <w:rPr>
          <w:sz w:val="20"/>
          <w:szCs w:val="20"/>
          <w:color w:val="auto"/>
        </w:rPr>
      </w:pPr>
    </w:p>
    <w:p>
      <w:pPr>
        <w:ind w:left="2160" w:right="439" w:hanging="422"/>
        <w:spacing w:after="0" w:line="278" w:lineRule="auto"/>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offer is conditional on the admission of the Shares to trading on the London Stock Exchange plc’s main market (in reliance on the exception in paragraph 6(a) of Schedule 1 of the POATR);</w:t>
      </w:r>
    </w:p>
    <w:p>
      <w:pPr>
        <w:spacing w:after="0" w:line="52" w:lineRule="exact"/>
        <w:rPr>
          <w:rFonts w:ascii="Times New Roman" w:cs="Times New Roman" w:eastAsia="Times New Roman" w:hAnsi="Times New Roman"/>
          <w:sz w:val="14"/>
          <w:szCs w:val="14"/>
          <w:color w:val="auto"/>
        </w:rPr>
      </w:pPr>
    </w:p>
    <w:p>
      <w:pPr>
        <w:ind w:left="2160" w:hanging="42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paragraph 15 of Schedule 1 of the POATR;</w:t>
      </w:r>
    </w:p>
    <w:p>
      <w:pPr>
        <w:spacing w:after="0" w:line="98" w:lineRule="exact"/>
        <w:rPr>
          <w:rFonts w:ascii="Times New Roman" w:cs="Times New Roman" w:eastAsia="Times New Roman" w:hAnsi="Times New Roman"/>
          <w:sz w:val="14"/>
          <w:szCs w:val="14"/>
          <w:color w:val="auto"/>
        </w:rPr>
      </w:pPr>
    </w:p>
    <w:p>
      <w:pPr>
        <w:ind w:left="2160" w:right="339" w:hanging="422"/>
        <w:spacing w:after="0" w:line="278" w:lineRule="auto"/>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under paragraph 15 of Schedule 1 of the POATR), subject to obtaining the prior consent of the underwriter nominated by the company for any such offer; or</w:t>
      </w:r>
    </w:p>
    <w:p>
      <w:pPr>
        <w:spacing w:after="0" w:line="52" w:lineRule="exact"/>
        <w:rPr>
          <w:rFonts w:ascii="Times New Roman" w:cs="Times New Roman" w:eastAsia="Times New Roman" w:hAnsi="Times New Roman"/>
          <w:sz w:val="14"/>
          <w:szCs w:val="14"/>
          <w:color w:val="auto"/>
        </w:rPr>
      </w:pPr>
    </w:p>
    <w:p>
      <w:pPr>
        <w:ind w:left="2160" w:hanging="42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pacing w:after="0" w:line="171" w:lineRule="exact"/>
        <w:rPr>
          <w:sz w:val="20"/>
          <w:szCs w:val="20"/>
          <w:color w:val="auto"/>
        </w:rPr>
      </w:pPr>
    </w:p>
    <w:p>
      <w:pPr>
        <w:ind w:left="1400" w:right="299"/>
        <w:spacing w:after="0" w:line="292" w:lineRule="auto"/>
        <w:rPr>
          <w:sz w:val="20"/>
          <w:szCs w:val="20"/>
          <w:color w:val="auto"/>
        </w:rPr>
      </w:pPr>
      <w:r>
        <w:rPr>
          <w:rFonts w:ascii="Times New Roman" w:cs="Times New Roman" w:eastAsia="Times New Roman" w:hAnsi="Times New Roman"/>
          <w:sz w:val="13"/>
          <w:szCs w:val="13"/>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expressions “POATR” means the Public Offers and Admissions to Trading Regulations 2024.</w:t>
      </w:r>
    </w:p>
    <w:p>
      <w:pPr>
        <w:spacing w:after="0" w:line="6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2"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3" w:lineRule="exact"/>
        <w:rPr>
          <w:sz w:val="20"/>
          <w:szCs w:val="20"/>
          <w:color w:val="auto"/>
        </w:rPr>
      </w:pPr>
    </w:p>
    <w:p>
      <w:pPr>
        <w:ind w:left="1400" w:right="379" w:firstLine="339"/>
        <w:spacing w:after="0" w:line="262" w:lineRule="auto"/>
        <w:rPr>
          <w:sz w:val="20"/>
          <w:szCs w:val="20"/>
          <w:color w:val="auto"/>
        </w:rPr>
      </w:pPr>
      <w:r>
        <w:rPr>
          <w:rFonts w:ascii="Times New Roman" w:cs="Times New Roman" w:eastAsia="Times New Roman" w:hAnsi="Times New Roman"/>
          <w:sz w:val="14"/>
          <w:szCs w:val="14"/>
          <w:color w:val="auto"/>
        </w:rPr>
        <w:t>Certain legal matters will be passed upon for us by Latham &amp; Watkins LLP, Los Angeles, California and for the underwriter by Goodwin Procter LLP, Boston, Massachusetts. Venable LLP, Baltimore, Maryland, will issue an opinion to us regarding certain matters of Maryland law, including the validity of the common stock offered hereby.</w:t>
      </w:r>
    </w:p>
    <w:p>
      <w:pPr>
        <w:spacing w:after="0" w:line="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2"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3" w:lineRule="exact"/>
        <w:rPr>
          <w:sz w:val="20"/>
          <w:szCs w:val="20"/>
          <w:color w:val="auto"/>
        </w:rPr>
      </w:pPr>
    </w:p>
    <w:p>
      <w:pPr>
        <w:ind w:left="1400" w:right="459"/>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Digital Realty Trust, Inc. and its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142" w:lineRule="exact"/>
        <w:rPr>
          <w:sz w:val="20"/>
          <w:szCs w:val="20"/>
          <w:color w:val="auto"/>
        </w:rPr>
      </w:pPr>
    </w:p>
    <w:p>
      <w:pPr>
        <w:ind w:left="1400" w:right="459"/>
        <w:spacing w:after="0" w:line="292" w:lineRule="auto"/>
        <w:rPr>
          <w:sz w:val="20"/>
          <w:szCs w:val="20"/>
          <w:color w:val="auto"/>
        </w:rPr>
      </w:pPr>
      <w:r>
        <w:rPr>
          <w:rFonts w:ascii="Times New Roman" w:cs="Times New Roman" w:eastAsia="Times New Roman" w:hAnsi="Times New Roman"/>
          <w:sz w:val="13"/>
          <w:szCs w:val="13"/>
          <w:color w:val="auto"/>
        </w:rPr>
        <w:t>The consolidated financial statements of Digital Realty Trust, L.P. and its subsidiaries as of December 31, 2025 and 2024, and for each of the years in the three-year period ended December 31, 2025, have been incorporated by reference herein in reliance upon the report of KPMG LLP, independent registered public accounting firm, incorporated by reference herein, and upon the authority of said firm as experts in accounting and auditing.</w:t>
      </w:r>
    </w:p>
    <w:p>
      <w:pPr>
        <w:spacing w:after="0" w:line="2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3"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We file annual, quarterly and special reports, proxy statements and other information with the SEC. The SEC maintains a web site that contains reports, proxy and information statements, and other information regarding registrants that file electronically with the SEC at www.sec.gov. In addition, we maintain a web site that contains information about us at www.digitalrealty.com. The information found on, or otherwise accessible through, our website is not incorporated into, and does not form a part of, this prospectus supplement, the accompanying prospectus or any other report or document we file with or furnish to the SEC.</w:t>
      </w:r>
    </w:p>
    <w:p>
      <w:pPr>
        <w:spacing w:after="0" w:line="142"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(File Nos. 333-293494 and 333-293494-01), of which this prospectus supplement and the accompanying prospectus are a part, including exhibits, schedules and amendments filed with, or incorporated by reference in, such registration statement, under the Securities Act. This prospectus supplement and the accompanying prospectus do not contain all of the information set forth in the registration statement and exhibits and schedules to the registration statement. For further information with respect to our company, reference is made to the registration statement, including the exhibits to the registration statement. Statements contained in this prospectus supplement and the accompanying prospectus as to the contents of any contract or other document referred to, or incorporated by reference, in this prospectus supplement and the accompanying prospectus are not necessarily complete and, where that contract or document is an exhibit to the registration statement, each statement is qualified in all respects by the exhibit to which the reference relates. The registration statement, including the exhibits and schedules to the registration statement, is available to you on the SEC’s web site at www.sec.gov.</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2"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3" w:lineRule="exact"/>
        <w:rPr>
          <w:sz w:val="20"/>
          <w:szCs w:val="20"/>
          <w:color w:val="auto"/>
        </w:rPr>
      </w:pPr>
    </w:p>
    <w:p>
      <w:pPr>
        <w:ind w:left="1400" w:right="279"/>
        <w:spacing w:after="0" w:line="279" w:lineRule="auto"/>
        <w:rPr>
          <w:sz w:val="20"/>
          <w:szCs w:val="20"/>
          <w:color w:val="auto"/>
        </w:rPr>
      </w:pPr>
      <w:r>
        <w:rPr>
          <w:rFonts w:ascii="Times New Roman" w:cs="Times New Roman" w:eastAsia="Times New Roman" w:hAnsi="Times New Roman"/>
          <w:sz w:val="13"/>
          <w:szCs w:val="13"/>
          <w:color w:val="auto"/>
        </w:rPr>
        <w:t>The SEC allows us to “incorporate by reference” certain information we file with the SEC, which means that we can disclose important information to you by referring you to those documents instead of having to repeat the information in this prospectus supplement. The information incorporated by reference is considered to be part of this prospectus supplement and the accompanying prospectus, and later information that we file with the SEC will automatically update and supersede this information. We incorporate by reference into this prospectus supplement and the accompanying prospectus the following documents (except for any document or portion thereof deemed to be “furnished” and not filed in accordance with SEC rules and regulations):</w:t>
      </w:r>
    </w:p>
    <w:p>
      <w:pPr>
        <w:spacing w:after="0" w:line="56" w:lineRule="exact"/>
        <w:rPr>
          <w:sz w:val="20"/>
          <w:szCs w:val="20"/>
          <w:color w:val="auto"/>
        </w:rPr>
      </w:pPr>
    </w:p>
    <w:p>
      <w:pPr>
        <w:ind w:left="2160" w:right="479" w:hanging="339"/>
        <w:spacing w:after="0" w:line="278"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Combined Annual Report on </w:t>
      </w:r>
      <w:hyperlink r:id="rId4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and Digital Realty Trust, L.P. for the year ended December 31, 2025;</w:t>
      </w:r>
    </w:p>
    <w:p>
      <w:pPr>
        <w:spacing w:after="0" w:line="52" w:lineRule="exact"/>
        <w:rPr>
          <w:rFonts w:ascii="Times New Roman" w:cs="Times New Roman" w:eastAsia="Times New Roman" w:hAnsi="Times New Roman"/>
          <w:sz w:val="14"/>
          <w:szCs w:val="14"/>
          <w:color w:val="auto"/>
        </w:rPr>
      </w:pPr>
    </w:p>
    <w:p>
      <w:pPr>
        <w:ind w:left="2160" w:right="379" w:hanging="339"/>
        <w:spacing w:after="0" w:line="278"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w:t>
      </w:r>
      <w:hyperlink r:id="rId4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2025 from the Definitive Proxy Statement on </w:t>
      </w:r>
      <w:hyperlink r:id="rId44">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filed with the SEC on April 17, 2026;</w:t>
      </w:r>
    </w:p>
    <w:p>
      <w:pPr>
        <w:spacing w:after="0" w:line="52" w:lineRule="exact"/>
        <w:rPr>
          <w:rFonts w:ascii="Times New Roman" w:cs="Times New Roman" w:eastAsia="Times New Roman" w:hAnsi="Times New Roman"/>
          <w:sz w:val="14"/>
          <w:szCs w:val="14"/>
          <w:color w:val="auto"/>
        </w:rPr>
      </w:pPr>
    </w:p>
    <w:p>
      <w:pPr>
        <w:ind w:left="2160" w:right="399" w:hanging="339"/>
        <w:spacing w:after="0" w:line="278" w:lineRule="auto"/>
        <w:tabs>
          <w:tab w:leader="none" w:pos="2160" w:val="left"/>
        </w:tabs>
        <w:numPr>
          <w:ilvl w:val="0"/>
          <w:numId w:val="15"/>
        </w:numPr>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auto"/>
          </w:rPr>
          <w:t xml:space="preserve">the Combined Quarterly Report on Form 10-Q of Digital Realty Trust, Inc. and Digital Realty Trust, L.P. for the quarter ended </w:t>
        </w:r>
        <w:r>
          <w:rPr>
            <w:rFonts w:ascii="Times New Roman" w:cs="Times New Roman" w:eastAsia="Times New Roman" w:hAnsi="Times New Roman"/>
            <w:sz w:val="14"/>
            <w:szCs w:val="14"/>
            <w:u w:val="single" w:color="auto"/>
            <w:color w:val="0000EE"/>
          </w:rPr>
          <w:t>March 31,</w:t>
        </w:r>
      </w:hyperlink>
      <w:r>
        <w:rPr>
          <w:rFonts w:ascii="Times New Roman" w:cs="Times New Roman" w:eastAsia="Times New Roman" w:hAnsi="Times New Roman"/>
          <w:sz w:val="14"/>
          <w:szCs w:val="14"/>
          <w:color w:val="auto"/>
        </w:rPr>
        <w:t xml:space="preserve"> </w:t>
      </w:r>
      <w:hyperlink r:id="rId45">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hyperlink>
    </w:p>
    <w:p>
      <w:pPr>
        <w:spacing w:after="0" w:line="52" w:lineRule="exact"/>
        <w:rPr>
          <w:rFonts w:ascii="Times New Roman" w:cs="Times New Roman" w:eastAsia="Times New Roman" w:hAnsi="Times New Roman"/>
          <w:sz w:val="14"/>
          <w:szCs w:val="14"/>
          <w:color w:val="0000EE"/>
        </w:rPr>
      </w:pPr>
    </w:p>
    <w:p>
      <w:pPr>
        <w:ind w:left="2160" w:right="299" w:hanging="339"/>
        <w:spacing w:after="0" w:line="278" w:lineRule="auto"/>
        <w:tabs>
          <w:tab w:leader="none" w:pos="2160" w:val="left"/>
        </w:tabs>
        <w:numPr>
          <w:ilvl w:val="0"/>
          <w:numId w:val="15"/>
        </w:numPr>
        <w:rPr>
          <w:rFonts w:ascii="Times New Roman" w:cs="Times New Roman" w:eastAsia="Times New Roman" w:hAnsi="Times New Roman"/>
          <w:sz w:val="14"/>
          <w:szCs w:val="14"/>
          <w:color w:val="0000EE"/>
        </w:rPr>
      </w:pPr>
      <w:hyperlink r:id="rId46">
        <w:r>
          <w:rPr>
            <w:rFonts w:ascii="Times New Roman" w:cs="Times New Roman" w:eastAsia="Times New Roman" w:hAnsi="Times New Roman"/>
            <w:sz w:val="14"/>
            <w:szCs w:val="14"/>
            <w:color w:val="auto"/>
          </w:rPr>
          <w:t xml:space="preserve">the Combined Current Reports on Form 8-K of Digital Realty Trust, Inc. and Digital Realty Trust, L.P. filed with the SEC on </w:t>
        </w:r>
        <w:r>
          <w:rPr>
            <w:rFonts w:ascii="Times New Roman" w:cs="Times New Roman" w:eastAsia="Times New Roman" w:hAnsi="Times New Roman"/>
            <w:sz w:val="14"/>
            <w:szCs w:val="14"/>
            <w:u w:val="single" w:color="auto"/>
            <w:color w:val="0000EE"/>
          </w:rPr>
          <w:t>February 17,</w:t>
        </w:r>
      </w:hyperlink>
      <w:r>
        <w:rPr>
          <w:rFonts w:ascii="Times New Roman" w:cs="Times New Roman" w:eastAsia="Times New Roman" w:hAnsi="Times New Roman"/>
          <w:sz w:val="14"/>
          <w:szCs w:val="14"/>
          <w:color w:val="auto"/>
        </w:rPr>
        <w:t xml:space="preserve"> </w:t>
      </w:r>
      <w:hyperlink r:id="rId46">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7">
        <w:r>
          <w:rPr>
            <w:rFonts w:ascii="Times New Roman" w:cs="Times New Roman" w:eastAsia="Times New Roman" w:hAnsi="Times New Roman"/>
            <w:sz w:val="14"/>
            <w:szCs w:val="14"/>
            <w:u w:val="single" w:color="auto"/>
            <w:color w:val="0000EE"/>
          </w:rPr>
          <w:t>May 4, 2026</w:t>
        </w:r>
      </w:hyperlink>
      <w:hyperlink r:id="rId46">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8">
        <w:r>
          <w:rPr>
            <w:rFonts w:ascii="Times New Roman" w:cs="Times New Roman" w:eastAsia="Times New Roman" w:hAnsi="Times New Roman"/>
            <w:sz w:val="14"/>
            <w:szCs w:val="14"/>
            <w:u w:val="single" w:color="auto"/>
            <w:color w:val="0000EE"/>
          </w:rPr>
          <w:t xml:space="preserve">June 22, 2026 </w:t>
        </w:r>
      </w:hyperlink>
      <w:hyperlink r:id="rId46">
        <w:r>
          <w:rPr>
            <w:rFonts w:ascii="Times New Roman" w:cs="Times New Roman" w:eastAsia="Times New Roman" w:hAnsi="Times New Roman"/>
            <w:sz w:val="14"/>
            <w:szCs w:val="14"/>
            <w:color w:val="000000"/>
          </w:rPr>
          <w:t>(excluding Item 7.01) and June 29, 2026 (excluding Item 7.01);</w:t>
        </w:r>
      </w:hyperlink>
    </w:p>
    <w:p>
      <w:pPr>
        <w:spacing w:after="0" w:line="52" w:lineRule="exact"/>
        <w:rPr>
          <w:rFonts w:ascii="Times New Roman" w:cs="Times New Roman" w:eastAsia="Times New Roman" w:hAnsi="Times New Roman"/>
          <w:sz w:val="14"/>
          <w:szCs w:val="14"/>
          <w:color w:val="0000EE"/>
        </w:rPr>
      </w:pPr>
    </w:p>
    <w:p>
      <w:pPr>
        <w:ind w:left="2160" w:hanging="339"/>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Current Report on Form 8-K of Digital Realty Trust, Inc. filed with the SEC on </w:t>
      </w:r>
      <w:hyperlink r:id="rId49">
        <w:r>
          <w:rPr>
            <w:rFonts w:ascii="Times New Roman" w:cs="Times New Roman" w:eastAsia="Times New Roman" w:hAnsi="Times New Roman"/>
            <w:sz w:val="14"/>
            <w:szCs w:val="14"/>
            <w:u w:val="single" w:color="auto"/>
            <w:color w:val="0000EE"/>
          </w:rPr>
          <w:t>June 1, 2026</w:t>
        </w:r>
      </w:hyperlink>
      <w:r>
        <w:rPr>
          <w:rFonts w:ascii="Times New Roman" w:cs="Times New Roman" w:eastAsia="Times New Roman" w:hAnsi="Times New Roman"/>
          <w:sz w:val="14"/>
          <w:szCs w:val="14"/>
          <w:color w:val="auto"/>
        </w:rPr>
        <w:t>;</w:t>
      </w:r>
    </w:p>
    <w:p>
      <w:pPr>
        <w:spacing w:after="0" w:line="98" w:lineRule="exact"/>
        <w:rPr>
          <w:rFonts w:ascii="Times New Roman" w:cs="Times New Roman" w:eastAsia="Times New Roman" w:hAnsi="Times New Roman"/>
          <w:sz w:val="14"/>
          <w:szCs w:val="14"/>
          <w:color w:val="auto"/>
        </w:rPr>
      </w:pPr>
    </w:p>
    <w:p>
      <w:pPr>
        <w:ind w:left="2160" w:right="679" w:hanging="339"/>
        <w:spacing w:after="0" w:line="262"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common stock, par value $0.01 per share, contained in Digital Realty Trust, Inc.’s Registration Statement on </w:t>
      </w:r>
      <w:hyperlink r:id="rId50">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October 28, 2004 (file number 001-32336), including any amendment or reports filed for the purpose of updating this description; and</w:t>
      </w:r>
    </w:p>
    <w:p>
      <w:pPr>
        <w:spacing w:after="0" w:line="64" w:lineRule="exact"/>
        <w:rPr>
          <w:rFonts w:ascii="Times New Roman" w:cs="Times New Roman" w:eastAsia="Times New Roman" w:hAnsi="Times New Roman"/>
          <w:sz w:val="14"/>
          <w:szCs w:val="14"/>
          <w:color w:val="auto"/>
        </w:rPr>
      </w:pPr>
    </w:p>
    <w:p>
      <w:pPr>
        <w:ind w:left="2160" w:right="299" w:hanging="339"/>
        <w:spacing w:after="0" w:line="262"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filed by us with the SEC pursuant to Sections 13(a), 13(c), 14 or 15(d) of the Exchange Act after the date of this prospectus supplement and prior to the termination of this offering (excluding any portions of such documents that are deemed “furnished” to the SEC pursuant to applicable rules and regulations).</w:t>
      </w:r>
    </w:p>
    <w:p>
      <w:pPr>
        <w:spacing w:after="0" w:line="138" w:lineRule="exact"/>
        <w:rPr>
          <w:rFonts w:ascii="Times New Roman" w:cs="Times New Roman" w:eastAsia="Times New Roman" w:hAnsi="Times New Roman"/>
          <w:sz w:val="14"/>
          <w:szCs w:val="14"/>
          <w:color w:val="auto"/>
        </w:rPr>
      </w:pPr>
    </w:p>
    <w:p>
      <w:pPr>
        <w:jc w:val="both"/>
        <w:ind w:left="1400" w:right="339"/>
        <w:spacing w:after="0" w:line="262" w:lineRule="auto"/>
        <w:rPr>
          <w:sz w:val="20"/>
          <w:szCs w:val="20"/>
          <w:color w:val="auto"/>
        </w:rPr>
      </w:pPr>
      <w:r>
        <w:rPr>
          <w:rFonts w:ascii="Times New Roman" w:cs="Times New Roman" w:eastAsia="Times New Roman" w:hAnsi="Times New Roman"/>
          <w:sz w:val="14"/>
          <w:szCs w:val="14"/>
          <w:color w:val="auto"/>
        </w:rPr>
        <w:t>We will provide without charge to each person to whom a prospectus supplement is delivered, on written or oral request of that person, a copy of any or all of the documents we are incorporating by reference into this prospectus supplement, other than exhibits to those documents unless those exhibits are specifically incorporated by reference into those documents. A written request should be addressed to Investor Relations, Digital Realty Trust, Inc., 601 West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Street, Floor 32, Austin, Texas 78701.</w:t>
      </w:r>
    </w:p>
    <w:p>
      <w:pPr>
        <w:spacing w:after="0" w:line="1"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2"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b w:val="1"/>
          <w:bCs w:val="1"/>
          <w:color w:val="auto"/>
        </w:rPr>
        <w:t>PROSPECTUS</w:t>
      </w:r>
    </w:p>
    <w:p>
      <w:pPr>
        <w:spacing w:after="0" w:line="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Digital Realty Trust, Inc.</w:t>
      </w:r>
    </w:p>
    <w:p>
      <w:pPr>
        <w:spacing w:after="0" w:line="11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Common Stock, Preferred Stock, Depositary Shares, Warrants and Guarantees</w:t>
      </w:r>
    </w:p>
    <w:p>
      <w:pPr>
        <w:spacing w:after="0" w:line="9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Digital Realty Trust, L.P.</w:t>
      </w:r>
    </w:p>
    <w:p>
      <w:pPr>
        <w:spacing w:after="0" w:line="1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189865</wp:posOffset>
            </wp:positionV>
            <wp:extent cx="113474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400" w:right="299"/>
        <w:spacing w:after="0" w:line="281" w:lineRule="auto"/>
        <w:rPr>
          <w:sz w:val="20"/>
          <w:szCs w:val="20"/>
          <w:color w:val="auto"/>
        </w:rPr>
      </w:pPr>
      <w:r>
        <w:rPr>
          <w:rFonts w:ascii="Times New Roman" w:cs="Times New Roman" w:eastAsia="Times New Roman" w:hAnsi="Times New Roman"/>
          <w:sz w:val="12"/>
          <w:szCs w:val="12"/>
          <w:color w:val="auto"/>
        </w:rPr>
        <w:t>We may from time to time offer, in one or more series or classes, separately or together, and in amounts, at prices and on terms to be set forth in one or more supplements to this prospectus, the following securities: (i) shares of Digital Realty Trust, Inc.’s common stock, par value $0.01 per share, (ii) shares of Digital Realty Trust, Inc.’s preferred stock, par value $0.01 per share, (iii) depositary shares representing entitlement to all rights and preferences of fractions of shares of Digital Realty Trust, Inc.’s preferred stock of a specified series and represented by depositary receipts, (iv) warrants to purchase shares of Digital Realty Trust, Inc.’s common stock or preferred stock or depositary shares and (v) debt securities of Digital Realty Trust, L.P., which may be fully and unconditionally guaranteed by Digital Realty Trust, Inc.</w:t>
      </w:r>
    </w:p>
    <w:p>
      <w:pPr>
        <w:spacing w:after="0" w:line="138" w:lineRule="exact"/>
        <w:rPr>
          <w:sz w:val="20"/>
          <w:szCs w:val="20"/>
          <w:color w:val="auto"/>
        </w:rPr>
      </w:pPr>
    </w:p>
    <w:p>
      <w:pPr>
        <w:ind w:left="1400" w:right="339"/>
        <w:spacing w:after="0" w:line="281" w:lineRule="auto"/>
        <w:rPr>
          <w:sz w:val="20"/>
          <w:szCs w:val="20"/>
          <w:color w:val="auto"/>
        </w:rPr>
      </w:pPr>
      <w:r>
        <w:rPr>
          <w:rFonts w:ascii="Times New Roman" w:cs="Times New Roman" w:eastAsia="Times New Roman" w:hAnsi="Times New Roman"/>
          <w:sz w:val="12"/>
          <w:szCs w:val="12"/>
          <w:color w:val="auto"/>
        </w:rPr>
        <w:t>This prospectus also covers delayed delivery contracts that may be issued by Digital Realty Trust, Inc. or Digital Realty Trust, L.P. under which the counterparty may be required to purchase common stock, preferred stock, depositary shares or warrants to purchase common stock, preferred stock or depositary shares of Digital Realty Trust, Inc. or debt securities of Digital Realty Trust, L.P. (including guarantees of the debt securities by Digital Realty Trust, Inc.). Delayed delivery contracts may be issued together with the specific securities to which they relate. In addition, securities registered hereunder may be sold separately, together or as units with other securities registered hereunder.</w:t>
      </w:r>
    </w:p>
    <w:p>
      <w:pPr>
        <w:spacing w:after="0" w:line="138" w:lineRule="exact"/>
        <w:rPr>
          <w:sz w:val="20"/>
          <w:szCs w:val="20"/>
          <w:color w:val="auto"/>
        </w:rPr>
      </w:pPr>
    </w:p>
    <w:p>
      <w:pPr>
        <w:ind w:left="1400" w:right="339"/>
        <w:spacing w:after="0" w:line="314" w:lineRule="auto"/>
        <w:rPr>
          <w:sz w:val="20"/>
          <w:szCs w:val="20"/>
          <w:color w:val="auto"/>
        </w:rPr>
      </w:pPr>
      <w:r>
        <w:rPr>
          <w:rFonts w:ascii="Times New Roman" w:cs="Times New Roman" w:eastAsia="Times New Roman" w:hAnsi="Times New Roman"/>
          <w:sz w:val="12"/>
          <w:szCs w:val="12"/>
          <w:color w:val="auto"/>
        </w:rPr>
        <w:t>We refer to the common stock, preferred stock, depositary shares, warrants and debt securities (together with any related guarantees) registered hereunder collectively as the “securities” in this prospectus. We will offer our securities in amounts, at prices and on terms determined at the time of the offering of any such security.</w:t>
      </w:r>
    </w:p>
    <w:p>
      <w:pPr>
        <w:spacing w:after="0" w:line="117"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2"/>
          <w:szCs w:val="12"/>
          <w:color w:val="auto"/>
        </w:rPr>
        <w:t>The specific terms of each series or class of the securities will be set forth in the applicable prospectus supplement and will include, as applicable: (i) in the case of common stock, any public offering price; (ii) in the case of preferred stock, the specific title and any dividend, liquidation, redemption, conversion, voting and other rights and any public offering price; (iii) in the case of depositary shares, the fractional share of preferred stock represented by each such depositary share; (iv) in the case of warrants, the duration, offering price, exercise price and detachability; and (v) in the case of debt securities and, as applicable, related guarantees, the specific terms of such debt securities and related guarantees. In addition, because Digital Realty Trust, Inc. is organized and conducts its operations so as to qualify as a real estate investment trust, or REIT, for U.S. federal income tax purposes, the specific terms of any securities may include limitations on actual or constructive ownership and restrictions on transfer of the securities, in each case as may be appropriate to preserve Digital Realty Trust, Inc.’s status as a REIT.</w:t>
      </w:r>
    </w:p>
    <w:p>
      <w:pPr>
        <w:spacing w:after="0" w:line="138" w:lineRule="exact"/>
        <w:rPr>
          <w:sz w:val="20"/>
          <w:szCs w:val="20"/>
          <w:color w:val="auto"/>
        </w:rPr>
      </w:pPr>
    </w:p>
    <w:p>
      <w:pPr>
        <w:ind w:left="1400" w:right="319"/>
        <w:spacing w:after="0" w:line="279" w:lineRule="auto"/>
        <w:rPr>
          <w:sz w:val="20"/>
          <w:szCs w:val="20"/>
          <w:color w:val="auto"/>
        </w:rPr>
      </w:pPr>
      <w:r>
        <w:rPr>
          <w:rFonts w:ascii="Times New Roman" w:cs="Times New Roman" w:eastAsia="Times New Roman" w:hAnsi="Times New Roman"/>
          <w:sz w:val="12"/>
          <w:szCs w:val="12"/>
          <w:color w:val="auto"/>
        </w:rPr>
        <w:t>The securities may be offered directly by us, through agents designated from time to time by us, or to or through underwriters or dealers. These securities also may be offered by securityholders, if so provided in a prospectus supplement hereto. We will provide specific information about any selling securityholders in one or more supplements to this prospectus. If any agents, dealers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entitled “Plan of Distribution” and “About this Prospectus” for more information. No securities may be sold without delivery of this prospectus and the applicable prospectus supplement describing the method and terms of the offering of such series of securities.</w:t>
      </w:r>
    </w:p>
    <w:p>
      <w:pPr>
        <w:spacing w:after="0" w:line="139" w:lineRule="exact"/>
        <w:rPr>
          <w:sz w:val="20"/>
          <w:szCs w:val="20"/>
          <w:color w:val="auto"/>
        </w:rPr>
      </w:pPr>
    </w:p>
    <w:p>
      <w:pPr>
        <w:ind w:left="1400" w:right="279"/>
        <w:spacing w:after="0" w:line="314" w:lineRule="auto"/>
        <w:rPr>
          <w:sz w:val="20"/>
          <w:szCs w:val="20"/>
          <w:color w:val="auto"/>
        </w:rPr>
      </w:pPr>
      <w:r>
        <w:rPr>
          <w:rFonts w:ascii="Times New Roman" w:cs="Times New Roman" w:eastAsia="Times New Roman" w:hAnsi="Times New Roman"/>
          <w:sz w:val="12"/>
          <w:szCs w:val="12"/>
          <w:color w:val="auto"/>
        </w:rPr>
        <w:t>Digital Realty Trust, Inc.’s common stock, series J preferred stock, series K preferred stock and series L preferred stock currently trade on the New York Stock Exchange, or NYSE, under the symbols “DLR”, “ “DLR Pr J”, “DLR Pr K”, or “DLR Pr L”, respectively.</w:t>
      </w:r>
    </w:p>
    <w:p>
      <w:pPr>
        <w:spacing w:after="0" w:line="107" w:lineRule="exact"/>
        <w:rPr>
          <w:sz w:val="20"/>
          <w:szCs w:val="20"/>
          <w:color w:val="auto"/>
        </w:rPr>
      </w:pPr>
    </w:p>
    <w:p>
      <w:pPr>
        <w:ind w:left="1400" w:right="459"/>
        <w:spacing w:after="0" w:line="286" w:lineRule="auto"/>
        <w:rPr>
          <w:sz w:val="20"/>
          <w:szCs w:val="20"/>
          <w:color w:val="auto"/>
        </w:rPr>
      </w:pPr>
      <w:r>
        <w:rPr>
          <w:rFonts w:ascii="Times New Roman" w:cs="Times New Roman" w:eastAsia="Times New Roman" w:hAnsi="Times New Roman"/>
          <w:sz w:val="15"/>
          <w:szCs w:val="15"/>
          <w:b w:val="1"/>
          <w:bCs w:val="1"/>
          <w:color w:val="auto"/>
        </w:rPr>
        <w:t>Investing in our securities involves risks. See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3 of this prospectus and any similar section contained in the applicable prospectus supplement for certain risk factors you should consider before investing in our securities.</w:t>
      </w:r>
    </w:p>
    <w:p>
      <w:pPr>
        <w:spacing w:after="0" w:line="116" w:lineRule="exact"/>
        <w:rPr>
          <w:sz w:val="20"/>
          <w:szCs w:val="20"/>
          <w:color w:val="auto"/>
        </w:rPr>
      </w:pPr>
    </w:p>
    <w:p>
      <w:pPr>
        <w:ind w:left="1400" w:right="399"/>
        <w:spacing w:after="0" w:line="318" w:lineRule="auto"/>
        <w:rPr>
          <w:sz w:val="20"/>
          <w:szCs w:val="20"/>
          <w:color w:val="auto"/>
        </w:rPr>
      </w:pPr>
      <w:r>
        <w:rPr>
          <w:rFonts w:ascii="Times New Roman" w:cs="Times New Roman" w:eastAsia="Times New Roman" w:hAnsi="Times New Roman"/>
          <w:sz w:val="12"/>
          <w:szCs w:val="12"/>
          <w:b w:val="1"/>
          <w:bCs w:val="1"/>
          <w:color w:val="auto"/>
        </w:rPr>
        <w:t>Neither the United States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145415</wp:posOffset>
            </wp:positionV>
            <wp:extent cx="113474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37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The date of this prospectus is February 17, 2026.</w:t>
      </w:r>
    </w:p>
    <w:p>
      <w:pPr>
        <w:sectPr>
          <w:pgSz w:w="11900" w:h="16838" w:orient="portrait"/>
          <w:cols w:equalWidth="0" w:num="1">
            <w:col w:w="10159"/>
          </w:cols>
          <w:pgMar w:left="300" w:top="382"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right="299"/>
        <w:spacing w:after="0" w:line="250"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in an accompanying prospectus supplement or incorporated by reference herein or therein. We have not authorized anyone to provide you with information or make any representation that is different. If anyone provides you with different or inconsistent information, you should not rely on it.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and any accompanying prospectus supplement is correct on any date after the respective dates of this prospectus and such prospectus supplement or supplements, as applicable, even though this prospectus and such prospectus supplement or supplements are delivered or securities are sold pursuant to this prospectus and such prospectus supplement or supplements at a later date. Since the respective dates of the prospectus contained in this registration statement and any accompanying prospectus supplement, our business, financial condition, results of operations and prospects may have changed. We may only use this prospectus to sell the securities if it is accompanied by a prospectus supplement.</w:t>
      </w:r>
    </w:p>
    <w:p>
      <w:pPr>
        <w:sectPr>
          <w:pgSz w:w="11900" w:h="16838" w:orient="portrait"/>
          <w:cols w:equalWidth="0" w:num="1">
            <w:col w:w="10159"/>
          </w:cols>
          <w:pgMar w:left="300" w:top="382"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322"/>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About This Prospectus</w:t>
            </w:r>
          </w:p>
        </w:tc>
        <w:tc>
          <w:tcPr>
            <w:tcW w:w="1400" w:type="dxa"/>
            <w:vAlign w:val="bottom"/>
          </w:tcPr>
          <w:p>
            <w:pPr>
              <w:spacing w:after="0"/>
              <w:rPr>
                <w:sz w:val="12"/>
                <w:szCs w:val="12"/>
                <w:color w:val="auto"/>
              </w:rPr>
            </w:pPr>
          </w:p>
        </w:tc>
        <w:tc>
          <w:tcPr>
            <w:tcW w:w="26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1</w:t>
            </w:r>
          </w:p>
        </w:tc>
      </w:tr>
      <w:tr>
        <w:trPr>
          <w:trHeight w:val="146"/>
        </w:trPr>
        <w:tc>
          <w:tcPr>
            <w:tcW w:w="800" w:type="dxa"/>
            <w:vAlign w:val="bottom"/>
            <w:tcBorders>
              <w:top w:val="single" w:sz="8" w:color="0000EE"/>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7"/>
              </w:rPr>
              <w:t>Our Company</w:t>
            </w:r>
          </w:p>
        </w:tc>
        <w:tc>
          <w:tcPr>
            <w:tcW w:w="460" w:type="dxa"/>
            <w:vAlign w:val="bottom"/>
            <w:tcBorders>
              <w:top w:val="single" w:sz="8" w:color="0000EE"/>
            </w:tcBorders>
            <w:gridSpan w:val="3"/>
          </w:tcPr>
          <w:p>
            <w:pPr>
              <w:spacing w:after="0"/>
              <w:rPr>
                <w:sz w:val="12"/>
                <w:szCs w:val="12"/>
                <w:color w:val="auto"/>
              </w:rPr>
            </w:pPr>
          </w:p>
        </w:tc>
        <w:tc>
          <w:tcPr>
            <w:tcW w:w="5520" w:type="dxa"/>
            <w:vAlign w:val="bottom"/>
            <w:gridSpan w:val="12"/>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3</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46"/>
        </w:trPr>
        <w:tc>
          <w:tcPr>
            <w:tcW w:w="2220" w:type="dxa"/>
            <w:vAlign w:val="bottom"/>
            <w:tcBorders>
              <w:bottom w:val="single" w:sz="8" w:color="0000EE"/>
            </w:tcBorders>
            <w:gridSpan w:val="13"/>
          </w:tcPr>
          <w:p>
            <w:pPr>
              <w:spacing w:after="0" w:line="146"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4560" w:type="dxa"/>
            <w:vAlign w:val="bottom"/>
            <w:gridSpan w:val="6"/>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4</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5</w:t>
            </w:r>
          </w:p>
        </w:tc>
      </w:tr>
      <w:tr>
        <w:trPr>
          <w:trHeight w:val="146"/>
        </w:trPr>
        <w:tc>
          <w:tcPr>
            <w:tcW w:w="2780" w:type="dxa"/>
            <w:vAlign w:val="bottom"/>
            <w:tcBorders>
              <w:top w:val="single" w:sz="8" w:color="0000EE"/>
            </w:tcBorders>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4000" w:type="dxa"/>
            <w:vAlign w:val="bottom"/>
            <w:gridSpan w:val="4"/>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6</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46"/>
        </w:trPr>
        <w:tc>
          <w:tcPr>
            <w:tcW w:w="172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w w:val="99"/>
              </w:rPr>
              <w:t>Description of Common Stock</w:t>
            </w:r>
          </w:p>
        </w:tc>
        <w:tc>
          <w:tcPr>
            <w:tcW w:w="5060" w:type="dxa"/>
            <w:vAlign w:val="bottom"/>
            <w:gridSpan w:val="8"/>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7</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Description of Preferred Stock</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10</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Description of Depositary Shares</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21</w:t>
            </w:r>
          </w:p>
        </w:tc>
      </w:tr>
      <w:tr>
        <w:trPr>
          <w:trHeight w:val="146"/>
        </w:trPr>
        <w:tc>
          <w:tcPr>
            <w:tcW w:w="1340" w:type="dxa"/>
            <w:vAlign w:val="bottom"/>
            <w:tcBorders>
              <w:top w:val="single" w:sz="8" w:color="0000EE"/>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500" w:type="dxa"/>
            <w:vAlign w:val="bottom"/>
            <w:tcBorders>
              <w:top w:val="single" w:sz="8" w:color="0000EE"/>
            </w:tcBorders>
            <w:gridSpan w:val="3"/>
          </w:tcPr>
          <w:p>
            <w:pPr>
              <w:spacing w:after="0"/>
              <w:rPr>
                <w:sz w:val="12"/>
                <w:szCs w:val="12"/>
                <w:color w:val="auto"/>
              </w:rPr>
            </w:pPr>
          </w:p>
        </w:tc>
        <w:tc>
          <w:tcPr>
            <w:tcW w:w="4940" w:type="dxa"/>
            <w:vAlign w:val="bottom"/>
            <w:gridSpan w:val="7"/>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24</w:t>
            </w:r>
          </w:p>
        </w:tc>
      </w:tr>
      <w:tr>
        <w:trPr>
          <w:trHeight w:val="146"/>
        </w:trPr>
        <w:tc>
          <w:tcPr>
            <w:tcW w:w="3040" w:type="dxa"/>
            <w:vAlign w:val="bottom"/>
            <w:tcBorders>
              <w:bottom w:val="single" w:sz="8" w:color="0000EE"/>
            </w:tcBorders>
            <w:gridSpan w:val="16"/>
          </w:tcPr>
          <w:p>
            <w:pPr>
              <w:spacing w:after="0" w:line="146" w:lineRule="exact"/>
              <w:rPr>
                <w:sz w:val="20"/>
                <w:szCs w:val="20"/>
                <w:color w:val="auto"/>
              </w:rPr>
            </w:pPr>
            <w:r>
              <w:rPr>
                <w:rFonts w:ascii="Times New Roman" w:cs="Times New Roman" w:eastAsia="Times New Roman" w:hAnsi="Times New Roman"/>
                <w:sz w:val="14"/>
                <w:szCs w:val="14"/>
                <w:color w:val="0000EE"/>
                <w:w w:val="98"/>
              </w:rPr>
              <w:t>Description of Debt Securities and Related Guarantees</w:t>
            </w:r>
          </w:p>
        </w:tc>
        <w:tc>
          <w:tcPr>
            <w:tcW w:w="3740" w:type="dxa"/>
            <w:vAlign w:val="bottom"/>
            <w:gridSpan w:val="3"/>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26</w:t>
            </w:r>
          </w:p>
        </w:tc>
      </w:tr>
      <w:tr>
        <w:trPr>
          <w:trHeight w:val="146"/>
        </w:trPr>
        <w:tc>
          <w:tcPr>
            <w:tcW w:w="2220" w:type="dxa"/>
            <w:vAlign w:val="bottom"/>
            <w:tcBorders>
              <w:bottom w:val="single" w:sz="8" w:color="0000EE"/>
            </w:tcBorders>
            <w:gridSpan w:val="13"/>
          </w:tcPr>
          <w:p>
            <w:pPr>
              <w:spacing w:after="0" w:line="146" w:lineRule="exact"/>
              <w:rPr>
                <w:sz w:val="20"/>
                <w:szCs w:val="20"/>
                <w:color w:val="auto"/>
              </w:rPr>
            </w:pPr>
            <w:r>
              <w:rPr>
                <w:rFonts w:ascii="Times New Roman" w:cs="Times New Roman" w:eastAsia="Times New Roman" w:hAnsi="Times New Roman"/>
                <w:sz w:val="14"/>
                <w:szCs w:val="14"/>
                <w:color w:val="0000EE"/>
                <w:w w:val="98"/>
              </w:rPr>
              <w:t>Restrictions on Ownership and Transfer</w:t>
            </w:r>
          </w:p>
        </w:tc>
        <w:tc>
          <w:tcPr>
            <w:tcW w:w="4560" w:type="dxa"/>
            <w:vAlign w:val="bottom"/>
            <w:gridSpan w:val="6"/>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35</w:t>
            </w:r>
          </w:p>
        </w:tc>
      </w:tr>
      <w:tr>
        <w:trPr>
          <w:trHeight w:val="146"/>
        </w:trPr>
        <w:tc>
          <w:tcPr>
            <w:tcW w:w="3900" w:type="dxa"/>
            <w:vAlign w:val="bottom"/>
            <w:tcBorders>
              <w:bottom w:val="single" w:sz="8" w:color="0000EE"/>
            </w:tcBorders>
            <w:gridSpan w:val="17"/>
          </w:tcPr>
          <w:p>
            <w:pPr>
              <w:spacing w:after="0" w:line="146" w:lineRule="exact"/>
              <w:rPr>
                <w:sz w:val="20"/>
                <w:szCs w:val="20"/>
                <w:color w:val="auto"/>
              </w:rPr>
            </w:pPr>
            <w:r>
              <w:rPr>
                <w:rFonts w:ascii="Times New Roman" w:cs="Times New Roman" w:eastAsia="Times New Roman" w:hAnsi="Times New Roman"/>
                <w:sz w:val="14"/>
                <w:szCs w:val="14"/>
                <w:color w:val="0000EE"/>
                <w:w w:val="98"/>
              </w:rPr>
              <w:t>Description of the Partnership Agreement of Digital Realty Trust, L.P.</w:t>
            </w:r>
          </w:p>
        </w:tc>
        <w:tc>
          <w:tcPr>
            <w:tcW w:w="2880" w:type="dxa"/>
            <w:vAlign w:val="bottom"/>
            <w:gridSpan w:val="2"/>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39</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Material Provisions of Maryland Law and of the Charter and Bylaws of Digital Realty Trust, Inc.</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46</w:t>
            </w:r>
          </w:p>
        </w:tc>
      </w:tr>
      <w:tr>
        <w:trPr>
          <w:trHeight w:val="146"/>
        </w:trPr>
        <w:tc>
          <w:tcPr>
            <w:tcW w:w="2760" w:type="dxa"/>
            <w:vAlign w:val="bottom"/>
            <w:tcBorders>
              <w:top w:val="single" w:sz="8" w:color="0000EE"/>
              <w:bottom w:val="single" w:sz="8" w:color="0000EE"/>
            </w:tcBorders>
            <w:gridSpan w:val="14"/>
          </w:tcPr>
          <w:p>
            <w:pPr>
              <w:spacing w:after="0" w:line="146" w:lineRule="exact"/>
              <w:rPr>
                <w:sz w:val="20"/>
                <w:szCs w:val="20"/>
                <w:color w:val="auto"/>
              </w:rPr>
            </w:pPr>
            <w:r>
              <w:rPr>
                <w:rFonts w:ascii="Times New Roman" w:cs="Times New Roman" w:eastAsia="Times New Roman" w:hAnsi="Times New Roman"/>
                <w:sz w:val="14"/>
                <w:szCs w:val="14"/>
                <w:color w:val="0000EE"/>
                <w:w w:val="98"/>
              </w:rPr>
              <w:t>United States Federal Income Tax Considerations</w:t>
            </w:r>
          </w:p>
        </w:tc>
        <w:tc>
          <w:tcPr>
            <w:tcW w:w="2620" w:type="dxa"/>
            <w:vAlign w:val="bottom"/>
            <w:tcBorders>
              <w:top w:val="single" w:sz="8" w:color="0000EE"/>
            </w:tcBorders>
            <w:gridSpan w:val="4"/>
          </w:tcPr>
          <w:p>
            <w:pPr>
              <w:spacing w:after="0"/>
              <w:rPr>
                <w:sz w:val="12"/>
                <w:szCs w:val="12"/>
                <w:color w:val="auto"/>
              </w:rPr>
            </w:pPr>
          </w:p>
        </w:tc>
        <w:tc>
          <w:tcPr>
            <w:tcW w:w="1400" w:type="dxa"/>
            <w:vAlign w:val="bottom"/>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53</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Selling Securityholders</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80</w:t>
            </w:r>
          </w:p>
        </w:tc>
      </w:tr>
      <w:tr>
        <w:trPr>
          <w:trHeight w:val="146"/>
        </w:trPr>
        <w:tc>
          <w:tcPr>
            <w:tcW w:w="1300" w:type="dxa"/>
            <w:vAlign w:val="bottom"/>
            <w:tcBorders>
              <w:top w:val="single" w:sz="8" w:color="0000EE"/>
            </w:tcBorders>
            <w:gridSpan w:val="8"/>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5480" w:type="dxa"/>
            <w:vAlign w:val="bottom"/>
            <w:gridSpan w:val="11"/>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81</w:t>
            </w:r>
          </w:p>
        </w:tc>
      </w:tr>
      <w:tr>
        <w:trPr>
          <w:trHeight w:val="146"/>
        </w:trPr>
        <w:tc>
          <w:tcPr>
            <w:tcW w:w="780" w:type="dxa"/>
            <w:vAlign w:val="bottom"/>
            <w:tcBorders>
              <w:top w:val="single" w:sz="8" w:color="0000EE"/>
              <w:bottom w:val="single" w:sz="8" w:color="0000EE"/>
            </w:tcBorders>
            <w:gridSpan w:val="3"/>
          </w:tcPr>
          <w:p>
            <w:pPr>
              <w:spacing w:after="0" w:line="146"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3"/>
          </w:tcPr>
          <w:p>
            <w:pPr>
              <w:spacing w:after="0"/>
              <w:rPr>
                <w:sz w:val="12"/>
                <w:szCs w:val="12"/>
                <w:color w:val="auto"/>
              </w:rPr>
            </w:pPr>
          </w:p>
        </w:tc>
        <w:tc>
          <w:tcPr>
            <w:tcW w:w="5680" w:type="dxa"/>
            <w:vAlign w:val="bottom"/>
            <w:gridSpan w:val="13"/>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83</w:t>
            </w:r>
          </w:p>
        </w:tc>
      </w:tr>
      <w:tr>
        <w:trPr>
          <w:trHeight w:val="146"/>
        </w:trPr>
        <w:tc>
          <w:tcPr>
            <w:tcW w:w="6780" w:type="dxa"/>
            <w:vAlign w:val="bottom"/>
            <w:gridSpan w:val="19"/>
          </w:tcPr>
          <w:p>
            <w:pPr>
              <w:spacing w:after="0" w:line="146" w:lineRule="exact"/>
              <w:rPr>
                <w:sz w:val="20"/>
                <w:szCs w:val="20"/>
                <w:color w:val="auto"/>
              </w:rPr>
            </w:pPr>
            <w:r>
              <w:rPr>
                <w:rFonts w:ascii="Times New Roman" w:cs="Times New Roman" w:eastAsia="Times New Roman" w:hAnsi="Times New Roman"/>
                <w:sz w:val="14"/>
                <w:szCs w:val="14"/>
                <w:color w:val="0000EE"/>
              </w:rPr>
              <w:t>Experts</w:t>
            </w:r>
          </w:p>
        </w:tc>
        <w:tc>
          <w:tcPr>
            <w:tcW w:w="16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84</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2"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3" w:lineRule="exact"/>
        <w:rPr>
          <w:sz w:val="20"/>
          <w:szCs w:val="20"/>
          <w:color w:val="auto"/>
        </w:rPr>
      </w:pPr>
    </w:p>
    <w:p>
      <w:pPr>
        <w:ind w:left="1400" w:right="299"/>
        <w:spacing w:after="0" w:line="271" w:lineRule="auto"/>
        <w:rPr>
          <w:sz w:val="20"/>
          <w:szCs w:val="20"/>
          <w:color w:val="auto"/>
        </w:rPr>
      </w:pPr>
      <w:r>
        <w:rPr>
          <w:rFonts w:ascii="Times New Roman" w:cs="Times New Roman" w:eastAsia="Times New Roman" w:hAnsi="Times New Roman"/>
          <w:sz w:val="13"/>
          <w:szCs w:val="13"/>
          <w:color w:val="auto"/>
        </w:rPr>
        <w:t>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and the selling securityholders to be named in a supplement to this prospectus may, from time to time, sell shares of common stock in one or more offerings as described in this prospectus. Each time that we or the selling securityholders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or incorporated by reference into this prospectus with respect to that offering. If there is any inconsistency between the information in or incorporated by reference into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headings “Where You Can Find More Information” and “Incorporation of Certain Documents by Reference.”</w:t>
      </w:r>
    </w:p>
    <w:p>
      <w:pPr>
        <w:spacing w:after="0" w:line="135" w:lineRule="exact"/>
        <w:rPr>
          <w:sz w:val="20"/>
          <w:szCs w:val="20"/>
          <w:color w:val="auto"/>
        </w:rPr>
      </w:pPr>
    </w:p>
    <w:p>
      <w:pPr>
        <w:ind w:left="1400" w:right="299"/>
        <w:spacing w:after="0" w:line="249" w:lineRule="auto"/>
        <w:rPr>
          <w:sz w:val="20"/>
          <w:szCs w:val="20"/>
          <w:color w:val="auto"/>
        </w:rPr>
      </w:pPr>
      <w:r>
        <w:rPr>
          <w:rFonts w:ascii="Times New Roman" w:cs="Times New Roman" w:eastAsia="Times New Roman" w:hAnsi="Times New Roman"/>
          <w:sz w:val="14"/>
          <w:szCs w:val="14"/>
          <w:color w:val="auto"/>
        </w:rPr>
        <w:t>Neither we nor any selling securityholder has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Neither we nor any selling securityholder will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53"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Unless otherwise indicated or unless the context requires otherwise, all references in this prospectus to “we,” “us,” “our,” “our company” or “the company” refer to Digital Realty Trust, Inc., a Maryland corporation, together with its consolidated subsidiaries, including Digital Realty Trust, L.P., a Maryland limited partnership, of which Digital Realty Trust, Inc. is the sole general partner. In statements regarding qualification as a REIT, such terms refer solely to Digital Realty Trust, Inc. Unless otherwise indicated or unless the context requires otherwise, all references in this prospectus to “our operating partnership” or “the operating partnership” refer to Digital Realty Trust, L.P. together with its consolidated subsidiaries.</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2"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3" w:lineRule="exact"/>
        <w:rPr>
          <w:sz w:val="20"/>
          <w:szCs w:val="20"/>
          <w:color w:val="auto"/>
        </w:rPr>
      </w:pPr>
    </w:p>
    <w:p>
      <w:pPr>
        <w:ind w:left="1400" w:right="419"/>
        <w:spacing w:after="0" w:line="292" w:lineRule="auto"/>
        <w:rPr>
          <w:sz w:val="20"/>
          <w:szCs w:val="20"/>
          <w:color w:val="auto"/>
        </w:rPr>
      </w:pPr>
      <w:r>
        <w:rPr>
          <w:rFonts w:ascii="Times New Roman" w:cs="Times New Roman" w:eastAsia="Times New Roman" w:hAnsi="Times New Roman"/>
          <w:sz w:val="13"/>
          <w:szCs w:val="13"/>
          <w:color w:val="auto"/>
        </w:rPr>
        <w:t>We are a leading global provider of data center, colocation and interconnection solutions for customers across a variety of industry verticals. Digital Realty Trust, L.P., a Maryland limited partnership, is the entity through which Digital Realty Trust, Inc., a Maryland corporation, conducts its business of owning, acquiring, developing and operating data centers. Digital Realty Trust, Inc. operates as a REIT for U.S. federal income tax purposes.</w:t>
      </w:r>
    </w:p>
    <w:p>
      <w:pPr>
        <w:spacing w:after="0" w:line="119" w:lineRule="exact"/>
        <w:rPr>
          <w:sz w:val="20"/>
          <w:szCs w:val="20"/>
          <w:color w:val="auto"/>
        </w:rPr>
      </w:pPr>
    </w:p>
    <w:p>
      <w:pPr>
        <w:ind w:left="1400" w:right="379"/>
        <w:spacing w:after="0" w:line="279" w:lineRule="auto"/>
        <w:rPr>
          <w:sz w:val="20"/>
          <w:szCs w:val="20"/>
          <w:color w:val="auto"/>
        </w:rPr>
      </w:pPr>
      <w:r>
        <w:rPr>
          <w:rFonts w:ascii="Times New Roman" w:cs="Times New Roman" w:eastAsia="Times New Roman" w:hAnsi="Times New Roman"/>
          <w:sz w:val="13"/>
          <w:szCs w:val="13"/>
          <w:color w:val="auto"/>
        </w:rPr>
        <w:t>Digital Realty Trust, Inc. was incorporated in the state of Maryland on March 9, 2004. Digital Realty Trust, L.P. was organized in the state of Maryland on July 21, 2004. Our principal executive offices are located at 2323 Bryan Street, Suite 1800, Dallas, Texas 75201. Our telephone number is (214)</w:t>
      </w:r>
    </w:p>
    <w:p>
      <w:pPr>
        <w:ind w:left="1400" w:right="439"/>
        <w:spacing w:after="0" w:line="255" w:lineRule="auto"/>
        <w:rPr>
          <w:sz w:val="20"/>
          <w:szCs w:val="20"/>
          <w:color w:val="auto"/>
        </w:rPr>
      </w:pPr>
      <w:r>
        <w:rPr>
          <w:rFonts w:ascii="Times New Roman" w:cs="Times New Roman" w:eastAsia="Times New Roman" w:hAnsi="Times New Roman"/>
          <w:sz w:val="14"/>
          <w:szCs w:val="14"/>
          <w:color w:val="auto"/>
        </w:rPr>
        <w:t>231-1350. Our website is www.digitalrealty.com. The information found on, or otherwise accessible through, our website is not incorporated into, and does not form a part of, this prospectus or any other report or document we file with or furnish to the SEC.</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2"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3"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Before acquiring any offered securities pursuant to this prospectus, you should carefully consider the information contained or incorporated by reference in this prospectus or in any accompanying prospectus supplement, including, without limitation, the risk factors incorporated by reference to the company’s and the operating partnership’s most recent combined Annual Report on Form 10-K and any subsequent Quarterly Reports on Form 10-Q or Current Reports on Form 8-K we file after the date of this prospectus, and the other information contained or incorporated by reference in this prospectus, as updated by our subsequent filings under the Securities Exchange Act of 1934, as amended, or the Exchange Act, and the risk factors and other information contained in the applicable prospectus supplement before acquiring any of such securities. The occurrence of any of these risks might cause you to lose all or a part of your investment in the offered securities.</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2"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3" w:lineRule="exact"/>
        <w:rPr>
          <w:sz w:val="20"/>
          <w:szCs w:val="20"/>
          <w:color w:val="auto"/>
        </w:rPr>
      </w:pPr>
    </w:p>
    <w:p>
      <w:pPr>
        <w:jc w:val="both"/>
        <w:ind w:left="1400" w:right="359"/>
        <w:spacing w:after="0" w:line="262" w:lineRule="auto"/>
        <w:rPr>
          <w:sz w:val="20"/>
          <w:szCs w:val="20"/>
          <w:color w:val="auto"/>
        </w:rPr>
      </w:pPr>
      <w:r>
        <w:rPr>
          <w:rFonts w:ascii="Times New Roman" w:cs="Times New Roman" w:eastAsia="Times New Roman" w:hAnsi="Times New Roman"/>
          <w:sz w:val="14"/>
          <w:szCs w:val="14"/>
          <w:color w:val="auto"/>
        </w:rPr>
        <w:t xml:space="preserve">We file annual, quarterly and special reports, proxy statements and other information with the SEC. The SEC maintains a web site that contains reports, proxy and information statements and other information about issuers, such as us, who file electronically with the SEC at www.sec.gov. The address of that website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400" w:right="399"/>
        <w:spacing w:after="0" w:line="262" w:lineRule="auto"/>
        <w:rPr>
          <w:sz w:val="20"/>
          <w:szCs w:val="20"/>
          <w:color w:val="auto"/>
        </w:rPr>
      </w:pPr>
      <w:r>
        <w:rPr>
          <w:rFonts w:ascii="Times New Roman" w:cs="Times New Roman" w:eastAsia="Times New Roman" w:hAnsi="Times New Roman"/>
          <w:sz w:val="14"/>
          <w:szCs w:val="14"/>
          <w:color w:val="auto"/>
        </w:rPr>
        <w:t>In addition, we maintain a website that contains information about us at www.digitalrealty.com. The information found on, or otherwise accessible through, this website is not incorporated into, and does not form a part of, this prospectus or any other report or document we file with or furnish to the SEC.</w:t>
      </w:r>
    </w:p>
    <w:p>
      <w:pPr>
        <w:spacing w:after="0" w:line="138" w:lineRule="exact"/>
        <w:rPr>
          <w:sz w:val="20"/>
          <w:szCs w:val="20"/>
          <w:color w:val="auto"/>
        </w:rPr>
      </w:pPr>
    </w:p>
    <w:p>
      <w:pPr>
        <w:ind w:left="1400" w:right="359"/>
        <w:spacing w:after="0" w:line="277" w:lineRule="auto"/>
        <w:rPr>
          <w:sz w:val="20"/>
          <w:szCs w:val="20"/>
          <w:color w:val="auto"/>
        </w:rPr>
      </w:pPr>
      <w:r>
        <w:rPr>
          <w:rFonts w:ascii="Times New Roman" w:cs="Times New Roman" w:eastAsia="Times New Roman" w:hAnsi="Times New Roman"/>
          <w:sz w:val="13"/>
          <w:szCs w:val="13"/>
          <w:color w:val="auto"/>
        </w:rPr>
        <w:t>This prospectus and any prospectus supplement are part of a registration statement that we filed with the SEC and do not contain all of the information in the registration statement. The full registration statement may be obtained from the SEC as provided above,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3"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73" w:lineRule="exact"/>
        <w:rPr>
          <w:sz w:val="20"/>
          <w:szCs w:val="20"/>
          <w:color w:val="auto"/>
        </w:rPr>
      </w:pPr>
    </w:p>
    <w:p>
      <w:pPr>
        <w:ind w:left="1400" w:right="319"/>
        <w:spacing w:after="0" w:line="279" w:lineRule="auto"/>
        <w:rPr>
          <w:sz w:val="20"/>
          <w:szCs w:val="20"/>
          <w:color w:val="auto"/>
        </w:rPr>
      </w:pPr>
      <w:r>
        <w:rPr>
          <w:rFonts w:ascii="Times New Roman" w:cs="Times New Roman" w:eastAsia="Times New Roman" w:hAnsi="Times New Roman"/>
          <w:sz w:val="13"/>
          <w:szCs w:val="13"/>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8" w:lineRule="exact"/>
        <w:rPr>
          <w:sz w:val="20"/>
          <w:szCs w:val="20"/>
          <w:color w:val="auto"/>
        </w:rPr>
      </w:pPr>
    </w:p>
    <w:p>
      <w:pPr>
        <w:ind w:left="1400" w:right="439"/>
        <w:spacing w:after="0" w:line="278"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53" w:lineRule="exact"/>
        <w:rPr>
          <w:sz w:val="20"/>
          <w:szCs w:val="20"/>
          <w:color w:val="auto"/>
        </w:rPr>
      </w:pPr>
    </w:p>
    <w:p>
      <w:pPr>
        <w:ind w:left="2160" w:right="499" w:hanging="339"/>
        <w:spacing w:after="0" w:line="278"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combined Annual Report on </w:t>
      </w:r>
      <w:hyperlink r:id="rId6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and Digital Realty Trust, L.P. for the year ended December 31, 2025;</w:t>
      </w:r>
    </w:p>
    <w:p>
      <w:pPr>
        <w:spacing w:after="0" w:line="52" w:lineRule="exact"/>
        <w:rPr>
          <w:rFonts w:ascii="Times New Roman" w:cs="Times New Roman" w:eastAsia="Times New Roman" w:hAnsi="Times New Roman"/>
          <w:sz w:val="14"/>
          <w:szCs w:val="14"/>
          <w:color w:val="auto"/>
        </w:rPr>
      </w:pPr>
    </w:p>
    <w:p>
      <w:pPr>
        <w:ind w:left="2160" w:right="479" w:hanging="339"/>
        <w:spacing w:after="0" w:line="262"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Definitive Proxy Statement on </w:t>
      </w:r>
      <w:hyperlink r:id="rId62">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Digital Realty Trust, Inc. filed with the SEC on April 25, 2025 (solely to the extent specifically incorporated by reference into the combined Annual Report on </w:t>
      </w:r>
      <w:hyperlink r:id="rId6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and Digital Realty Trust, L.P. for the year ended December 31, 2024);</w:t>
      </w:r>
    </w:p>
    <w:p>
      <w:pPr>
        <w:spacing w:after="0" w:line="64" w:lineRule="exact"/>
        <w:rPr>
          <w:rFonts w:ascii="Times New Roman" w:cs="Times New Roman" w:eastAsia="Times New Roman" w:hAnsi="Times New Roman"/>
          <w:sz w:val="14"/>
          <w:szCs w:val="14"/>
          <w:color w:val="auto"/>
        </w:rPr>
      </w:pPr>
    </w:p>
    <w:p>
      <w:pPr>
        <w:ind w:left="2160" w:right="359" w:hanging="339"/>
        <w:spacing w:after="0" w:line="262"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common stock, par value $0.01 per share, contained in Digital Realty Trust, Inc.’s Registration Statement on </w:t>
      </w:r>
      <w:hyperlink r:id="rId50">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October 28, 2004 (file number 001-32336), including any amendment or reports filed for the purpose of updating this description;</w:t>
      </w:r>
    </w:p>
    <w:p>
      <w:pPr>
        <w:spacing w:after="0" w:line="64" w:lineRule="exact"/>
        <w:rPr>
          <w:rFonts w:ascii="Times New Roman" w:cs="Times New Roman" w:eastAsia="Times New Roman" w:hAnsi="Times New Roman"/>
          <w:sz w:val="14"/>
          <w:szCs w:val="14"/>
          <w:color w:val="auto"/>
        </w:rPr>
      </w:pPr>
    </w:p>
    <w:p>
      <w:pPr>
        <w:ind w:left="2160" w:right="559" w:hanging="339"/>
        <w:spacing w:after="0" w:line="262"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Series J Cumulative Redeemable Preferred Stock, par value $0.01 per share, contained in Digital Realty Trust, Inc.’s Registration Statement on </w:t>
      </w:r>
      <w:hyperlink r:id="rId6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August 4, 2017 (file number 001-32336), including any amendments or reports filed for the purpose of updating this description;</w:t>
      </w:r>
    </w:p>
    <w:p>
      <w:pPr>
        <w:spacing w:after="0" w:line="64" w:lineRule="exact"/>
        <w:rPr>
          <w:rFonts w:ascii="Times New Roman" w:cs="Times New Roman" w:eastAsia="Times New Roman" w:hAnsi="Times New Roman"/>
          <w:sz w:val="14"/>
          <w:szCs w:val="14"/>
          <w:color w:val="auto"/>
        </w:rPr>
      </w:pPr>
    </w:p>
    <w:p>
      <w:pPr>
        <w:ind w:left="2160" w:right="499" w:hanging="339"/>
        <w:spacing w:after="0" w:line="262"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Series K Cumulative Redeemable Preferred Stock, par value $0.01 per share, contained in Digital Realty Trust, Inc.’s Registration Statement on </w:t>
      </w:r>
      <w:hyperlink r:id="rId65">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March 12, 2019 (file number 001-32336), including any amendments or reports filed for the purpose of updating this description;</w:t>
      </w:r>
    </w:p>
    <w:p>
      <w:pPr>
        <w:spacing w:after="0" w:line="64" w:lineRule="exact"/>
        <w:rPr>
          <w:rFonts w:ascii="Times New Roman" w:cs="Times New Roman" w:eastAsia="Times New Roman" w:hAnsi="Times New Roman"/>
          <w:sz w:val="14"/>
          <w:szCs w:val="14"/>
          <w:color w:val="auto"/>
        </w:rPr>
      </w:pPr>
    </w:p>
    <w:p>
      <w:pPr>
        <w:ind w:left="2160" w:right="519" w:hanging="339"/>
        <w:spacing w:after="0" w:line="262"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Series L Cumulative Redeemable Preferred Stock, par value $0.01 per share, contained in Digital Realty Trust, Inc.’s Registration Statement on </w:t>
      </w:r>
      <w:hyperlink r:id="rId66">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October 9, 2019 (file number 001-32336), including any amendments or reports filed for the purpose of updating this description; and</w:t>
      </w:r>
    </w:p>
    <w:p>
      <w:pPr>
        <w:spacing w:after="0" w:line="64" w:lineRule="exact"/>
        <w:rPr>
          <w:rFonts w:ascii="Times New Roman" w:cs="Times New Roman" w:eastAsia="Times New Roman" w:hAnsi="Times New Roman"/>
          <w:sz w:val="14"/>
          <w:szCs w:val="14"/>
          <w:color w:val="auto"/>
        </w:rPr>
      </w:pPr>
    </w:p>
    <w:p>
      <w:pPr>
        <w:ind w:left="2160" w:right="359" w:hanging="339"/>
        <w:spacing w:after="0" w:line="262"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filed by us with the SEC pursuant to Sections 13(a), 13(c), 14 or 15(d) of the Exchange Act after the date of this prospectus and prior to the termination of the offering of the underlying securities (excluding any portions of such documents that are deemed “furnished” to the SEC pursuant to applicable rules and regulations).</w:t>
      </w:r>
    </w:p>
    <w:p>
      <w:pPr>
        <w:spacing w:after="0" w:line="138" w:lineRule="exact"/>
        <w:rPr>
          <w:rFonts w:ascii="Times New Roman" w:cs="Times New Roman" w:eastAsia="Times New Roman" w:hAnsi="Times New Roman"/>
          <w:sz w:val="14"/>
          <w:szCs w:val="14"/>
          <w:color w:val="auto"/>
        </w:rPr>
      </w:pPr>
    </w:p>
    <w:p>
      <w:pPr>
        <w:ind w:left="1400" w:right="319"/>
        <w:spacing w:after="0" w:line="257"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those exhibits are specifically incorporated by reference into those documents. A written request should be addressed to Investor Relations, Digital Realty Trust, Inc., 2323 Bryan Street, Suite 1800, Dallas, Texas 75201.</w:t>
      </w:r>
    </w:p>
    <w:p>
      <w:pPr>
        <w:spacing w:after="0" w:line="90"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2"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3"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We will disclose the intended use of proceeds from the sale of any securities under this prospectus in the applicable prospectus supplement. We will not receive any proceeds from sales of securities by selling securityholders.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2"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73" w:lineRule="exact"/>
        <w:rPr>
          <w:sz w:val="20"/>
          <w:szCs w:val="20"/>
          <w:color w:val="auto"/>
        </w:rPr>
      </w:pPr>
    </w:p>
    <w:p>
      <w:pPr>
        <w:ind w:left="1400" w:right="339"/>
        <w:spacing w:after="0" w:line="283" w:lineRule="auto"/>
        <w:rPr>
          <w:sz w:val="20"/>
          <w:szCs w:val="20"/>
          <w:color w:val="auto"/>
        </w:rPr>
      </w:pPr>
      <w:r>
        <w:rPr>
          <w:rFonts w:ascii="Times New Roman" w:cs="Times New Roman" w:eastAsia="Times New Roman" w:hAnsi="Times New Roman"/>
          <w:sz w:val="13"/>
          <w:szCs w:val="13"/>
          <w:color w:val="auto"/>
        </w:rPr>
        <w:t>The following description of Digital Realty Trust, Inc.’s common stock sets forth certain general terms and provisions of the common stock to which any prospectus supplement may relate and will apply to the common stock offered by this prospectus unless we provide otherwise in the applicable prospectus supplement. The description of Digital Realty Trust, Inc.’s common stock set forth below and in any prospectus supplement does not purport to be complete and is subject to and qualified in its entirety by reference to the applicable provisions of Digital Realty Trust, Inc.’s charter and bylaws.</w:t>
      </w:r>
    </w:p>
    <w:p>
      <w:pPr>
        <w:spacing w:after="0" w:line="124" w:lineRule="exact"/>
        <w:rPr>
          <w:sz w:val="20"/>
          <w:szCs w:val="20"/>
          <w:color w:val="auto"/>
        </w:rPr>
      </w:pPr>
    </w:p>
    <w:p>
      <w:pPr>
        <w:ind w:left="1400" w:right="559"/>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The company’s charter provides that it may issue up to 502,000,000 shares of its common stock, par value $0.01 per share, or the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As of February 9, 2026, 343,615,444 shares of the common stock were issued and outstanding, excluding:</w:t>
      </w:r>
    </w:p>
    <w:p>
      <w:pPr>
        <w:spacing w:after="0" w:line="51" w:lineRule="exact"/>
        <w:rPr>
          <w:sz w:val="20"/>
          <w:szCs w:val="20"/>
          <w:color w:val="auto"/>
        </w:rPr>
      </w:pPr>
    </w:p>
    <w:p>
      <w:pPr>
        <w:ind w:left="2160" w:hanging="339"/>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2.9 million shares available for future issuance under our incentive award plans;</w:t>
      </w:r>
    </w:p>
    <w:p>
      <w:pPr>
        <w:spacing w:after="0" w:line="98" w:lineRule="exact"/>
        <w:rPr>
          <w:rFonts w:ascii="Times New Roman" w:cs="Times New Roman" w:eastAsia="Times New Roman" w:hAnsi="Times New Roman"/>
          <w:sz w:val="14"/>
          <w:szCs w:val="14"/>
          <w:color w:val="auto"/>
        </w:rPr>
      </w:pPr>
    </w:p>
    <w:p>
      <w:pPr>
        <w:ind w:left="2160" w:right="419" w:hanging="339"/>
        <w:spacing w:after="0" w:line="262"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1,791,403 shares issuable upon redemption of outstanding vested long-term incentive units (including class C profits interest units of our operating partnership, or class C units, and class D profits interest units of our operating partnership, or class D units) issued under our incentive award plans;</w:t>
      </w:r>
    </w:p>
    <w:p>
      <w:pPr>
        <w:spacing w:after="0" w:line="64" w:lineRule="exact"/>
        <w:rPr>
          <w:rFonts w:ascii="Times New Roman" w:cs="Times New Roman" w:eastAsia="Times New Roman" w:hAnsi="Times New Roman"/>
          <w:sz w:val="14"/>
          <w:szCs w:val="14"/>
          <w:color w:val="auto"/>
        </w:rPr>
      </w:pPr>
    </w:p>
    <w:p>
      <w:pPr>
        <w:ind w:left="2160" w:right="619" w:hanging="339"/>
        <w:spacing w:after="0" w:line="278"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427,561 shares issuable upon redemption of outstanding unvested long-term incentive units (excluding unvested class D units) issued under our incentive award plans;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4,044,535 shares issuable upon redemption of outstanding common units;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648,044 shares issuable upon vesting of restricted stock units;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182,572 shares potentially issuable upon redemption of outstanding unvested class D units;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37,128 shares potentially issuable upon redemption of unvested market performance-based restricted stock units;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465,609 shares potentially issuable upon achievement of a market or financial performance condition for unvested class D units;</w:t>
      </w:r>
    </w:p>
    <w:p>
      <w:pPr>
        <w:spacing w:after="0" w:line="98" w:lineRule="exact"/>
        <w:rPr>
          <w:rFonts w:ascii="Times New Roman" w:cs="Times New Roman" w:eastAsia="Times New Roman" w:hAnsi="Times New Roman"/>
          <w:sz w:val="14"/>
          <w:szCs w:val="14"/>
          <w:color w:val="auto"/>
        </w:rPr>
      </w:pPr>
    </w:p>
    <w:p>
      <w:pPr>
        <w:ind w:left="2160" w:right="639" w:hanging="339"/>
        <w:spacing w:after="0" w:line="278"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69,903 shares potentially issuable upon achievement of a market or financial performance condition for unvested performance-based restricted stock units; and</w:t>
      </w:r>
    </w:p>
    <w:p>
      <w:pPr>
        <w:spacing w:after="0" w:line="52" w:lineRule="exact"/>
        <w:rPr>
          <w:rFonts w:ascii="Times New Roman" w:cs="Times New Roman" w:eastAsia="Times New Roman" w:hAnsi="Times New Roman"/>
          <w:sz w:val="14"/>
          <w:szCs w:val="14"/>
          <w:color w:val="auto"/>
        </w:rPr>
      </w:pPr>
    </w:p>
    <w:p>
      <w:pPr>
        <w:jc w:val="both"/>
        <w:ind w:left="2160" w:right="279" w:hanging="339"/>
        <w:spacing w:after="0" w:line="262"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maximum of 3,401,680, 3,663,324, and 5,315,484 shares of common stock potentially issuable upon conversion of the company’s series J preferred stock, series K preferred stock and series L preferred stock respectively, in each case upon the occurrence of specified change in control transactions as described in “Description of Preferred Stock” below.</w:t>
      </w:r>
    </w:p>
    <w:p>
      <w:pPr>
        <w:spacing w:after="0" w:line="138"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All outstanding shares of the common stock are duly authorized, fully paid and nonassessable. Subject to the preferential rights of any other class or series of stock and to the provisions of the company’s charter regarding the restrictions on transfer of stock, holders of shares of the common stock are entitled to receive dividends on such stock if, as and when authorized by the company’s board of directors out of assets legally available therefor and declared by the company and to share ratably in the assets of the company legally available for distribution to the company’s stockholders in the event of the company’s liquidation, dissolution or winding up after payment or establishment of reserves for all known debts and liabilities of the company.</w:t>
      </w:r>
    </w:p>
    <w:p>
      <w:pPr>
        <w:spacing w:after="0" w:line="142" w:lineRule="exact"/>
        <w:rPr>
          <w:sz w:val="20"/>
          <w:szCs w:val="20"/>
          <w:color w:val="auto"/>
        </w:rPr>
      </w:pPr>
    </w:p>
    <w:p>
      <w:pPr>
        <w:ind w:left="1400" w:right="379"/>
        <w:spacing w:after="0" w:line="253" w:lineRule="auto"/>
        <w:rPr>
          <w:sz w:val="20"/>
          <w:szCs w:val="20"/>
          <w:color w:val="auto"/>
        </w:rPr>
      </w:pPr>
      <w:r>
        <w:rPr>
          <w:rFonts w:ascii="Times New Roman" w:cs="Times New Roman" w:eastAsia="Times New Roman" w:hAnsi="Times New Roman"/>
          <w:sz w:val="14"/>
          <w:szCs w:val="14"/>
          <w:color w:val="auto"/>
        </w:rPr>
        <w:t>Subject to the provisions of the company’s charter regarding the restrictions on transfer of stock and except as may be otherwise specified therein with respect to any class or series of common stock, each outstanding share of the common stock entitles the holder to one vote on all matters submitted to a vote of stockholders, including the election of directors and, except as provided with respect to any other class or series of stock, the holders of such shares will possess the exclusive voting power. There is no cumulative voting in the election of the company’s board of directors, which means that the holders of a majority of the outstanding shares of the common stock can elect all of the directors then standing for election and the holders of the remaining shares will not be able to elect</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2"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39"/>
        <w:spacing w:after="0" w:line="262" w:lineRule="auto"/>
        <w:rPr>
          <w:sz w:val="20"/>
          <w:szCs w:val="20"/>
          <w:color w:val="auto"/>
        </w:rPr>
      </w:pPr>
      <w:r>
        <w:rPr>
          <w:rFonts w:ascii="Times New Roman" w:cs="Times New Roman" w:eastAsia="Times New Roman" w:hAnsi="Times New Roman"/>
          <w:sz w:val="14"/>
          <w:szCs w:val="14"/>
          <w:color w:val="auto"/>
        </w:rPr>
        <w:t>any directors. Directors are elected by a majority of all the votes cast at a meeting of stockholders duly called and at which a quorum is present if the election is uncontested. Directors are elected by a plurality of the votes cast at a meeting of stockholders duly called and at which a quorum is present if the election is contested.</w:t>
      </w:r>
    </w:p>
    <w:p>
      <w:pPr>
        <w:spacing w:after="0" w:line="138"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Holders of shares of the common stock have no preference, conversion, exchange, sinking fund or redemption rights, have no preemptive rights to subscribe for any securities of the company and generally have no appraisal rights unless the company’s board of directors determines that appraisal rights apply, with respect to all or any classes or series of stock, to one or more transactions occurring after the date of such determination in connection with which stockholders would otherwise be entitled to exercise appraisal rights. Subject to the provisions of the company’s charter regarding the restrictions on transfer of stock, shares of the common stock will have equal dividend, liquidation and other rights.</w:t>
      </w:r>
    </w:p>
    <w:p>
      <w:pPr>
        <w:spacing w:after="0" w:line="142"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Under the Maryland General Corporation Law, or MGCL, a Maryland corporation generally cannot dissolve, amend its charter, merge, convert, sell all or substantially all of its assets, engage in a share exchange or engage in similar transactions outside the ordinary course of business unless the action is approved by the affirmative vote of stockholders entitled to cast at least two-thirds of the votes entitled to be cast on the matter unless a lesser percentage (but not less than a majority of all of the votes entitled to be cast on the matter) is set forth in the corporation’s charter. Except for certain charter amendments relating to the removal of directors and the vote required for certain amendments, the company’s charter provides that these actions may be taken if declared advisable by a majority of the company’s board of directors and approved by the vote of stockholders entitled to cast a majority of the votes entitled to be cast on the matter. However, Maryland law permits a corporation to transfer all or substantially all of its assets without the approval of the stockholders of the corporation to one or more persons if all of the equity interests of the person or persons are owned, directly or indirectly, by the corporation. In addition, operating assets may be held by a corporation’s subsidiaries, as in the company’s situation, and these subsidiaries may be able to transfer all or substantially all of such assets without a vote of the parent corporation’s stockholders.</w:t>
      </w:r>
    </w:p>
    <w:p>
      <w:pPr>
        <w:spacing w:after="0" w:line="145" w:lineRule="exact"/>
        <w:rPr>
          <w:sz w:val="20"/>
          <w:szCs w:val="20"/>
          <w:color w:val="auto"/>
        </w:rPr>
      </w:pPr>
    </w:p>
    <w:p>
      <w:pPr>
        <w:jc w:val="both"/>
        <w:ind w:left="1400" w:right="319"/>
        <w:spacing w:after="0" w:line="262" w:lineRule="auto"/>
        <w:rPr>
          <w:sz w:val="20"/>
          <w:szCs w:val="20"/>
          <w:color w:val="auto"/>
        </w:rPr>
      </w:pPr>
      <w:r>
        <w:rPr>
          <w:rFonts w:ascii="Times New Roman" w:cs="Times New Roman" w:eastAsia="Times New Roman" w:hAnsi="Times New Roman"/>
          <w:sz w:val="14"/>
          <w:szCs w:val="14"/>
          <w:color w:val="auto"/>
        </w:rPr>
        <w:t>The company’s charter authorizes its board of directors to reclassify any unissued shares of the common stock into other classes or series of stock and to establish the number of shares in each class or series and to set the preferences, conversion and other rights, voting powers, restrictions, limitations as to dividends or other distributions, qualifications or terms or conditions of redemption for each such class or series.</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Power to Increase Authorized Stock and Issue Additional Shares of the Common Stock</w:t>
      </w:r>
    </w:p>
    <w:p>
      <w:pPr>
        <w:spacing w:after="0" w:line="90" w:lineRule="exact"/>
        <w:rPr>
          <w:sz w:val="20"/>
          <w:szCs w:val="20"/>
          <w:color w:val="auto"/>
        </w:rPr>
      </w:pPr>
    </w:p>
    <w:p>
      <w:pPr>
        <w:ind w:left="1400" w:right="319"/>
        <w:spacing w:after="0" w:line="271" w:lineRule="auto"/>
        <w:rPr>
          <w:sz w:val="20"/>
          <w:szCs w:val="20"/>
          <w:color w:val="auto"/>
        </w:rPr>
      </w:pPr>
      <w:r>
        <w:rPr>
          <w:rFonts w:ascii="Times New Roman" w:cs="Times New Roman" w:eastAsia="Times New Roman" w:hAnsi="Times New Roman"/>
          <w:sz w:val="13"/>
          <w:szCs w:val="13"/>
          <w:color w:val="auto"/>
        </w:rPr>
        <w:t>The company’s board of directors has the power to amend the company’s charter from time to time without stockholder approval to increase or decrease the number of authorized shares of common stock, to issue additional authorized but unissued shares of the common stock and to classify or reclassify unissued shares of the common stock into other classes or series of stock and thereafter to cause the company to issue such classified or reclassified shares of stock. The company believes these powers provide it with increased flexibility in structuring possible future financings and acquisitions and in meeting other needs which might arise. Subject to the limited rights of holders of the company’s series J preferred stock, series K preferred stock and series L preferred stock and each other parity class or series of preferred stock, voting together as a single class, to approve certain issuances of senior classes or series of stock, the additional classes or series, as well as the common stock,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us to issue a class or series that could, depending upon the terms of the particular class or series, delay, defer or prevent a transaction or a change of control of the company that might involve a premium price for the company’s stockholders or otherwise be in their best interest.</w:t>
      </w:r>
    </w:p>
    <w:p>
      <w:pPr>
        <w:spacing w:after="0" w:line="8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Ownership and Transfer</w:t>
      </w:r>
    </w:p>
    <w:p>
      <w:pPr>
        <w:spacing w:after="0" w:line="90"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To assist us in complying with certain U.S. federal income tax requirements applicable to REITs, the company has adopted certain restrictions relating to the ownership and transfer of the common stock. See “Restrictions on Ownership and Transfer.”</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transfer agent and registrar for the common stock is Equiniti Trust Company, LLC.</w:t>
      </w:r>
    </w:p>
    <w:p>
      <w:pPr>
        <w:spacing w:after="0" w:line="1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DESCRIPTION OF PREFERRED STOCK</w:t>
      </w:r>
    </w:p>
    <w:p>
      <w:pPr>
        <w:spacing w:after="0" w:line="173" w:lineRule="exact"/>
        <w:rPr>
          <w:sz w:val="20"/>
          <w:szCs w:val="20"/>
          <w:color w:val="auto"/>
        </w:rPr>
      </w:pPr>
    </w:p>
    <w:p>
      <w:pPr>
        <w:ind w:left="1400" w:right="379"/>
        <w:spacing w:after="0" w:line="283" w:lineRule="auto"/>
        <w:rPr>
          <w:sz w:val="20"/>
          <w:szCs w:val="20"/>
          <w:color w:val="auto"/>
        </w:rPr>
      </w:pPr>
      <w:r>
        <w:rPr>
          <w:rFonts w:ascii="Times New Roman" w:cs="Times New Roman" w:eastAsia="Times New Roman" w:hAnsi="Times New Roman"/>
          <w:sz w:val="13"/>
          <w:szCs w:val="13"/>
          <w:color w:val="auto"/>
        </w:rPr>
        <w:t>The specific terms of a particular class or series of preferred stock will be described in the prospectus supplement relating to that class or series, including a prospectus supplement providing that preferred stock may be issuable upon the exercise of warrants the company issues. The description of preferred stock set forth below and the description of the terms of a particular class or series of preferred stock set forth in the applicable prospectus supplement do not purport to be complete and are qualified in their entirety by reference to the articles supplementary relating to that class or series.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0"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The company’s charter provides that it may issue up to 110 million shares of preferred stock, $0.01 par value per share, or preferred stock. The company’s charter authorizes its board of directors to amend its charter from time to time without stockholder approval to increase or decrease the number of authorized shares of preferred stock. As of February 9, 2026, 8,000,000 shares of the company’s series J preferred stock, 8,400,000 shares of the company’s series K preferred stock and 13,800,000 shares of the company’s series L preferred stock were issued and outstanding. No other shares of the company’s preferred stock are currently outstanding.</w:t>
      </w:r>
    </w:p>
    <w:p>
      <w:pPr>
        <w:spacing w:after="0" w:line="142" w:lineRule="exact"/>
        <w:rPr>
          <w:sz w:val="20"/>
          <w:szCs w:val="20"/>
          <w:color w:val="auto"/>
        </w:rPr>
      </w:pPr>
    </w:p>
    <w:p>
      <w:pPr>
        <w:ind w:left="1400" w:right="339"/>
        <w:spacing w:after="0" w:line="252" w:lineRule="auto"/>
        <w:rPr>
          <w:sz w:val="20"/>
          <w:szCs w:val="20"/>
          <w:color w:val="auto"/>
        </w:rPr>
      </w:pPr>
      <w:r>
        <w:rPr>
          <w:rFonts w:ascii="Times New Roman" w:cs="Times New Roman" w:eastAsia="Times New Roman" w:hAnsi="Times New Roman"/>
          <w:sz w:val="14"/>
          <w:szCs w:val="14"/>
          <w:color w:val="auto"/>
        </w:rPr>
        <w:t>The company’s charter authorizes its board of directors to classify any unissued shares of preferred stock and to reclassify any previously classified but unissued shares of any series into other classes or series of stock. Prior to the issuance of shares of each class or series, the company’s board of directors is required by the MGCL and the company’s charter to set, subject to the provisions of the company’s charter regarding the restrictions on transfers of stock, the terms, preferences, conversion or other rights, voting powers, restrictions, limitations as to dividends or other distributions, qualifications and terms or conditions of redemption for each such class or series. Thus, the company’s board of directors could authorize the issuance of shares of preferred stock with terms and conditions which could have the effect of delaying, deferring or preventing a transaction or a change of control of the company that might involve a premium price for holders of the common stock or otherwise be in their best interest.</w:t>
      </w:r>
    </w:p>
    <w:p>
      <w:pPr>
        <w:spacing w:after="0" w:line="1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preferences and other terms of the preferred stock of each class or series will be fixed by the articles supplementary relating to such class or series.</w:t>
      </w:r>
    </w:p>
    <w:p>
      <w:pPr>
        <w:spacing w:after="0" w:line="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 prospectus supplement, relating to each class or series, will describe the terms of the preferred stock, including, where applicable, the following:</w:t>
      </w:r>
    </w:p>
    <w:p>
      <w:pPr>
        <w:spacing w:after="0" w:line="84" w:lineRule="exact"/>
        <w:rPr>
          <w:sz w:val="20"/>
          <w:szCs w:val="20"/>
          <w:color w:val="auto"/>
        </w:rPr>
      </w:pPr>
    </w:p>
    <w:p>
      <w:pPr>
        <w:ind w:left="2160" w:hanging="339"/>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 of such preferred stock;</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such preferred stock offered, the liquidation preference per share and the offering price of such preferred stock;</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rate(s), period(s), and/or payment date(s) or method(s) of calculation thereof applicable to such preferred stock;</w:t>
      </w:r>
    </w:p>
    <w:p>
      <w:pPr>
        <w:spacing w:after="0" w:line="98" w:lineRule="exact"/>
        <w:rPr>
          <w:rFonts w:ascii="Times New Roman" w:cs="Times New Roman" w:eastAsia="Times New Roman" w:hAnsi="Times New Roman"/>
          <w:sz w:val="14"/>
          <w:szCs w:val="14"/>
          <w:color w:val="auto"/>
        </w:rPr>
      </w:pPr>
    </w:p>
    <w:p>
      <w:pPr>
        <w:ind w:left="2160" w:right="839" w:hanging="339"/>
        <w:spacing w:after="0" w:line="278"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preferred stock is cumulative or not and, if cumulative, the date from which dividends on such preferred stock shall accumulate;</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a sinking fund, if any, for such preferred stock;</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redemption, if applicable, of such preferred stock;</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such preferred stock on any securities exchange;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pacing w:after="0" w:line="98" w:lineRule="exact"/>
        <w:rPr>
          <w:rFonts w:ascii="Times New Roman" w:cs="Times New Roman" w:eastAsia="Times New Roman" w:hAnsi="Times New Roman"/>
          <w:sz w:val="14"/>
          <w:szCs w:val="14"/>
          <w:color w:val="auto"/>
        </w:rPr>
      </w:pPr>
    </w:p>
    <w:p>
      <w:pPr>
        <w:ind w:left="2160" w:right="279" w:hanging="339"/>
        <w:spacing w:after="0" w:line="278"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applicable, upon which such preferred stock will be converted into the common stock, including the conversion price (or manner of calculation thereof);</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additional material U.S. federal income tax consequences, if any, applicable to an investment in such preferred stock;</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2"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39"/>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actual and constructive ownership and restrictions on transfer;</w:t>
      </w:r>
    </w:p>
    <w:p>
      <w:pPr>
        <w:spacing w:after="0" w:line="20" w:lineRule="exact"/>
        <w:rPr>
          <w:rFonts w:ascii="Times New Roman" w:cs="Times New Roman" w:eastAsia="Times New Roman" w:hAnsi="Times New Roman"/>
          <w:sz w:val="14"/>
          <w:szCs w:val="14"/>
          <w:color w:val="auto"/>
        </w:rPr>
      </w:pPr>
    </w:p>
    <w:p>
      <w:pPr>
        <w:ind w:left="2160" w:right="379" w:hanging="339"/>
        <w:spacing w:after="0" w:line="255"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such preferred stock as to dividend rights and rights upon liquidation, dissolution or winding up of the affairs of the company;</w:t>
      </w:r>
    </w:p>
    <w:p>
      <w:pPr>
        <w:spacing w:after="0" w:line="68" w:lineRule="exact"/>
        <w:rPr>
          <w:rFonts w:ascii="Times New Roman" w:cs="Times New Roman" w:eastAsia="Times New Roman" w:hAnsi="Times New Roman"/>
          <w:sz w:val="14"/>
          <w:szCs w:val="14"/>
          <w:color w:val="auto"/>
        </w:rPr>
      </w:pPr>
    </w:p>
    <w:p>
      <w:pPr>
        <w:ind w:left="2160" w:right="479" w:hanging="339"/>
        <w:spacing w:after="0" w:line="278"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 of any class or series of preferred stock ranking senior to or on a parity with such class or series of preferred stock as to dividend rights and rights upon liquidation, dissolution or winding up of the affairs of the company;</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voting rights of such preferred stock; and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limitations or restrictions of such preferred stock.</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Rank</w:t>
      </w:r>
    </w:p>
    <w:p>
      <w:pPr>
        <w:spacing w:after="0" w:line="90"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preferred stock will, with respect to dividend rights and rights upon liquidation, dissolution or winding up of the company, rank: (i) senior to all classes or series of the common stock, and to any other class or series of the company’s stock expressly designated as ranking junior to the preferred stock; (ii) on parity with any class or series of the company’s stock expressly designated as ranking on parity with the preferred stock; and (iii) junior to any other class or series of the company’s stock expressly designated as ranking senior to the preferred stock.</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Conversion Rights</w:t>
      </w:r>
    </w:p>
    <w:p>
      <w:pPr>
        <w:spacing w:after="0" w:line="90"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The terms and conditions, if any, upon which any shares of any class or series of preferred stock are convertible into common stock will be described in the applicable prospectus supplement relating thereto. Such terms will include the number of shares of the common stock into which the shares of preferred stock are convertible, the conversion price (or manner of calculation thereof), the conversion period, provisions as to whether conversion will be at the option of the holders of such class or series of preferred stock, the events requiring an adjustment of the conversion price and provisions affecting conversion in the event of the redemption of such class or series of preferred stock.</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Power to Increase or Decrease Authorized Stock and Issue Additional Shares of Preferred Stock</w:t>
      </w:r>
    </w:p>
    <w:p>
      <w:pPr>
        <w:spacing w:after="0" w:line="90"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The company’s board of directors has the power to amend the company’s charter from time to time without stockholder approval to increase or decrease the number of authorized shares of preferred stock, to issue additional authorized but unissued shares of the company’s preferred stock and to classify or reclassify unissued shares of the company’s preferred stock into other classes or series of stock and thereafter to cause us to issue such classified or reclassified shares of stock. Subject to the limited rights of holders of the company’s series J preferred stock, series K preferred stock and series L preferred stock and each other parity class or series of preferred stock, voting together as a single class, to approve certain issuances of senior classes or series of stock, the additional classes or series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the company to issue a class or series that could, depending upon the terms of the particular class or series, delay, defer or prevent a transaction or a change of control of the company that might involve a premium price for the company’s stockholders or otherwise be in their best interest.</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Ownership and Transfer</w:t>
      </w:r>
    </w:p>
    <w:p>
      <w:pPr>
        <w:spacing w:after="0" w:line="90" w:lineRule="exact"/>
        <w:rPr>
          <w:sz w:val="20"/>
          <w:szCs w:val="20"/>
          <w:color w:val="auto"/>
        </w:rPr>
      </w:pPr>
    </w:p>
    <w:p>
      <w:pPr>
        <w:ind w:left="1400" w:right="299"/>
        <w:spacing w:after="0" w:line="262" w:lineRule="auto"/>
        <w:rPr>
          <w:sz w:val="20"/>
          <w:szCs w:val="20"/>
          <w:color w:val="auto"/>
        </w:rPr>
      </w:pPr>
      <w:r>
        <w:rPr>
          <w:rFonts w:ascii="Times New Roman" w:cs="Times New Roman" w:eastAsia="Times New Roman" w:hAnsi="Times New Roman"/>
          <w:sz w:val="14"/>
          <w:szCs w:val="14"/>
          <w:color w:val="auto"/>
        </w:rPr>
        <w:t>To assist the company in complying with certain U.S. federal income tax requirements applicable to REITs, the company has adopted certain restrictions relating to the ownership and transfer of the company’s series J preferred stock, series K preferred stock and series L preferred stock. The company expects to adopt similar</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419"/>
        <w:spacing w:after="0" w:line="262" w:lineRule="auto"/>
        <w:rPr>
          <w:sz w:val="20"/>
          <w:szCs w:val="20"/>
          <w:color w:val="auto"/>
        </w:rPr>
      </w:pPr>
      <w:r>
        <w:rPr>
          <w:rFonts w:ascii="Times New Roman" w:cs="Times New Roman" w:eastAsia="Times New Roman" w:hAnsi="Times New Roman"/>
          <w:sz w:val="14"/>
          <w:szCs w:val="14"/>
          <w:color w:val="auto"/>
        </w:rPr>
        <w:t>restrictions with respect to any class or series offered pursuant to this prospectus under the articles supplementary for each such class or series. The applicable prospectus supplement will specify any additional ownership limitation relating to such class or series. See “Restrictions on Ownership and Transfer.”</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5.250% Series J Cumulative Redeemable Preferred Stock</w:t>
      </w:r>
    </w:p>
    <w:p>
      <w:pPr>
        <w:spacing w:after="0" w:line="8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0" w:lineRule="exact"/>
        <w:rPr>
          <w:sz w:val="20"/>
          <w:szCs w:val="20"/>
          <w:color w:val="auto"/>
        </w:rPr>
      </w:pPr>
    </w:p>
    <w:p>
      <w:pPr>
        <w:ind w:left="1400" w:right="399"/>
        <w:spacing w:after="0" w:line="257" w:lineRule="auto"/>
        <w:rPr>
          <w:sz w:val="20"/>
          <w:szCs w:val="20"/>
          <w:color w:val="auto"/>
        </w:rPr>
      </w:pPr>
      <w:r>
        <w:rPr>
          <w:rFonts w:ascii="Times New Roman" w:cs="Times New Roman" w:eastAsia="Times New Roman" w:hAnsi="Times New Roman"/>
          <w:sz w:val="14"/>
          <w:szCs w:val="14"/>
          <w:color w:val="auto"/>
        </w:rPr>
        <w:t>The company’s board of directors and a duly authorized committee thereof approved articles supplementary, a copy of which has been previously filed with the SEC and which is incorporated by reference as an exhibit to the registration statement of which this prospectus is a part, creating the series J preferred stock as a series of the company’s preferred stock, designated as the 5.250% Series J Cumulative Redeemable Preferred Stock. The series J preferred stock is validly issued, fully paid and nonassessable.</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series J preferred stock is currently listed on the NYSE as “DLR Pr J”.</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Ranking</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series J preferred stock ranks, with respect to dividend rights and rights upon the company’s liquidation, dissolution or winding-up:</w:t>
      </w:r>
    </w:p>
    <w:p>
      <w:pPr>
        <w:spacing w:after="0" w:line="99" w:lineRule="exact"/>
        <w:rPr>
          <w:sz w:val="20"/>
          <w:szCs w:val="20"/>
          <w:color w:val="auto"/>
        </w:rPr>
      </w:pPr>
    </w:p>
    <w:p>
      <w:pPr>
        <w:ind w:left="2160" w:right="399" w:hanging="339"/>
        <w:spacing w:after="0" w:line="278"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all classes or series of the common stock and to any other class or series of the company’s stock expressly designated as ranking junior to the series J preferred stock;</w:t>
      </w:r>
    </w:p>
    <w:p>
      <w:pPr>
        <w:spacing w:after="0" w:line="52" w:lineRule="exact"/>
        <w:rPr>
          <w:rFonts w:ascii="Times New Roman" w:cs="Times New Roman" w:eastAsia="Times New Roman" w:hAnsi="Times New Roman"/>
          <w:sz w:val="14"/>
          <w:szCs w:val="14"/>
          <w:color w:val="auto"/>
        </w:rPr>
      </w:pPr>
    </w:p>
    <w:p>
      <w:pPr>
        <w:ind w:left="2160" w:right="719" w:hanging="339"/>
        <w:spacing w:after="0" w:line="278"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parity with any class or series of the company’s stock expressly designated as ranking on parity with the series J preferred stock, including the company’s series K preferred stock and series L preferred stock; and</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any other class or series of the company’s stock expressly designated as ranking senior to the series J preferred stock.</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Dividend Rate and Payment Date</w:t>
      </w:r>
    </w:p>
    <w:p>
      <w:pPr>
        <w:spacing w:after="0" w:line="90"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Holders of series J preferred stock are entitled to receive cumulative cash dividends on the series J preferred stock from and including the date of original issue, payable quarterly in arrears on or about the last calendar day of March, June, September and December of each year, at the rate of 5.250% per annum of the $25.00 liquidation preference per share (equivalent to an annual amount of $1.3125 per share). Dividends on the series J preferred stock will accrue whether or not the company has earnings, whether or not there are funds legally available for the payment of such dividends and whether or not such dividends are authorized or declared.</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0"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In the event of a liquidation, dissolution or winding up, holders of the series J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J preferred stock as to liquidation rights. The rights of holders of series J preferred stock to receive their liquidation preference will be subject to the proportionate rights of any other class or series of stock ranking on parity with the series J preferred stock as to liquidation.</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90" w:lineRule="exact"/>
        <w:rPr>
          <w:sz w:val="20"/>
          <w:szCs w:val="20"/>
          <w:color w:val="auto"/>
        </w:rPr>
      </w:pPr>
    </w:p>
    <w:p>
      <w:pPr>
        <w:ind w:left="1400" w:right="299"/>
        <w:spacing w:after="0" w:line="262" w:lineRule="auto"/>
        <w:rPr>
          <w:sz w:val="20"/>
          <w:szCs w:val="20"/>
          <w:color w:val="auto"/>
        </w:rPr>
      </w:pPr>
      <w:r>
        <w:rPr>
          <w:rFonts w:ascii="Times New Roman" w:cs="Times New Roman" w:eastAsia="Times New Roman" w:hAnsi="Times New Roman"/>
          <w:sz w:val="14"/>
          <w:szCs w:val="14"/>
          <w:color w:val="auto"/>
        </w:rPr>
        <w:t>The series J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J preferred stock for all past dividend periods have been, or contemporaneously are, paid or an amount</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2"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jc w:val="both"/>
        <w:ind w:left="1400" w:right="579"/>
        <w:spacing w:after="0" w:line="262" w:lineRule="auto"/>
        <w:rPr>
          <w:sz w:val="20"/>
          <w:szCs w:val="20"/>
          <w:color w:val="auto"/>
        </w:rPr>
      </w:pPr>
      <w:r>
        <w:rPr>
          <w:rFonts w:ascii="Times New Roman" w:cs="Times New Roman" w:eastAsia="Times New Roman" w:hAnsi="Times New Roman"/>
          <w:sz w:val="14"/>
          <w:szCs w:val="14"/>
          <w:color w:val="auto"/>
        </w:rPr>
        <w:t>in cash sufficient for the payment thereof is set apart, no shares of series J preferred stock may be redeemed unless all outstanding shares of series J preferred stock are simultaneously redeemed; provided, that the foregoing restriction does not prevent the company from taking action necessary to preserve the company’s status as a REIT. Any partial redemption will be on a pro rata basis.</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Special Optional Redemption</w:t>
      </w:r>
    </w:p>
    <w:p>
      <w:pPr>
        <w:spacing w:after="0" w:line="90" w:lineRule="exact"/>
        <w:rPr>
          <w:sz w:val="20"/>
          <w:szCs w:val="20"/>
          <w:color w:val="auto"/>
        </w:rPr>
      </w:pPr>
    </w:p>
    <w:p>
      <w:pPr>
        <w:ind w:left="1400" w:right="379"/>
        <w:spacing w:after="0" w:line="255" w:lineRule="auto"/>
        <w:rPr>
          <w:sz w:val="20"/>
          <w:szCs w:val="20"/>
          <w:color w:val="auto"/>
        </w:rPr>
      </w:pPr>
      <w:r>
        <w:rPr>
          <w:rFonts w:ascii="Times New Roman" w:cs="Times New Roman" w:eastAsia="Times New Roman" w:hAnsi="Times New Roman"/>
          <w:sz w:val="14"/>
          <w:szCs w:val="14"/>
          <w:color w:val="auto"/>
        </w:rPr>
        <w:t>Upon the occurrence of a Change of Control (as defined below), the company may, at its option, redeem the series J 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the company exercises any of its redemption rights relating to the series J preferred stock (whether its optional redemption right or its special optional redemption right), the holders of series J preferred stock will not have the conversion right described below.</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 “Change of Control” is when, after the original issuance of the series J preferred stock, the following have occurred and are continuing:</w:t>
      </w:r>
    </w:p>
    <w:p>
      <w:pPr>
        <w:spacing w:after="0" w:line="99" w:lineRule="exact"/>
        <w:rPr>
          <w:sz w:val="20"/>
          <w:szCs w:val="20"/>
          <w:color w:val="auto"/>
        </w:rPr>
      </w:pPr>
    </w:p>
    <w:p>
      <w:pPr>
        <w:ind w:left="2160" w:right="299" w:hanging="339"/>
        <w:spacing w:after="0" w:line="253" w:lineRule="auto"/>
        <w:tabs>
          <w:tab w:leader="none" w:pos="2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72" w:lineRule="exact"/>
        <w:rPr>
          <w:rFonts w:ascii="Times New Roman" w:cs="Times New Roman" w:eastAsia="Times New Roman" w:hAnsi="Times New Roman"/>
          <w:sz w:val="14"/>
          <w:szCs w:val="14"/>
          <w:color w:val="auto"/>
        </w:rPr>
      </w:pPr>
    </w:p>
    <w:p>
      <w:pPr>
        <w:ind w:left="2160" w:right="359" w:hanging="339"/>
        <w:spacing w:after="0" w:line="262" w:lineRule="auto"/>
        <w:tabs>
          <w:tab w:leader="none" w:pos="2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 Maturity, Sinking Fund or Mandatory Redemption</w:t>
      </w:r>
    </w:p>
    <w:p>
      <w:pPr>
        <w:spacing w:after="0" w:line="90" w:lineRule="exact"/>
        <w:rPr>
          <w:sz w:val="20"/>
          <w:szCs w:val="20"/>
          <w:color w:val="auto"/>
        </w:rPr>
      </w:pPr>
    </w:p>
    <w:p>
      <w:pPr>
        <w:ind w:left="1400" w:right="359"/>
        <w:spacing w:after="0" w:line="257" w:lineRule="auto"/>
        <w:rPr>
          <w:sz w:val="20"/>
          <w:szCs w:val="20"/>
          <w:color w:val="auto"/>
        </w:rPr>
      </w:pPr>
      <w:r>
        <w:rPr>
          <w:rFonts w:ascii="Times New Roman" w:cs="Times New Roman" w:eastAsia="Times New Roman" w:hAnsi="Times New Roman"/>
          <w:sz w:val="14"/>
          <w:szCs w:val="14"/>
          <w:color w:val="auto"/>
        </w:rPr>
        <w:t>The series J preferred stock has no stated maturity date and the company is not required to redeem the series J preferred stock at any time. Accordingly, the series J preferred stock will remain outstanding indefinitely, unless the company decides, at its option, to exercise its redemption right or, under circumstances where the holders of the series J preferred stock have a conversion right, such holders decide to convert the series J preferred stock into common stock. The series J preferred stock is not subject to any sinking fund.</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0" w:lineRule="exact"/>
        <w:rPr>
          <w:sz w:val="20"/>
          <w:szCs w:val="20"/>
          <w:color w:val="auto"/>
        </w:rPr>
      </w:pPr>
    </w:p>
    <w:p>
      <w:pPr>
        <w:ind w:left="1400" w:right="319"/>
        <w:spacing w:after="0" w:line="273" w:lineRule="auto"/>
        <w:rPr>
          <w:sz w:val="20"/>
          <w:szCs w:val="20"/>
          <w:color w:val="auto"/>
        </w:rPr>
      </w:pPr>
      <w:r>
        <w:rPr>
          <w:rFonts w:ascii="Times New Roman" w:cs="Times New Roman" w:eastAsia="Times New Roman" w:hAnsi="Times New Roman"/>
          <w:sz w:val="13"/>
          <w:szCs w:val="13"/>
          <w:color w:val="auto"/>
        </w:rPr>
        <w:t>Holders of series J preferred stock generally have no voting rights. However, if the company is in arrears on dividends on the series J preferred stock for six or more quarterly periods, whether or not consecutive, holders of the series J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company’s next annual meeting of stockholders and each subsequent annual meeting of stockholders for the election of two additional directors to serve on the company’s board of directors until all unpaid dividends with respect to the series J preferred stock and any other class or series of parity preferred stock have been paid or declared and a sum sufficient for the payment thereof set aside for payment. In addition, the company may not make certain material and adverse changes to the terms of the series J preferred stock without the affirmative vote of the holders of at least two-thirds of the outstanding shares of series J preferred stock and all other shares of any class or series ranking on parity with the series J preferred stock that are entitled to similar voting rights (voting together as a single class).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3"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0" w:lineRule="exact"/>
        <w:rPr>
          <w:sz w:val="20"/>
          <w:szCs w:val="20"/>
          <w:color w:val="auto"/>
        </w:rPr>
      </w:pPr>
    </w:p>
    <w:p>
      <w:pPr>
        <w:ind w:left="1400" w:right="299"/>
        <w:spacing w:after="0" w:line="257" w:lineRule="auto"/>
        <w:rPr>
          <w:sz w:val="20"/>
          <w:szCs w:val="20"/>
          <w:color w:val="auto"/>
        </w:rPr>
      </w:pPr>
      <w:r>
        <w:rPr>
          <w:rFonts w:ascii="Times New Roman" w:cs="Times New Roman" w:eastAsia="Times New Roman" w:hAnsi="Times New Roman"/>
          <w:sz w:val="14"/>
          <w:szCs w:val="14"/>
          <w:color w:val="auto"/>
        </w:rPr>
        <w:t>Upon the occurrence of a Change of Control, each holder of series J preferred stock will have the right (unless, prior to the Change of Control Conversion Date, the company has provided or provides notice of its election to redeem the series J preferred stock) to convert some or all of the series J preferred stock held by such holder on the date the series J preferred stock is to be converted, which we refer to as the Change of Control Conversion Date, into a number of shares of common stock per share of series J preferred stock to be converted equal to the lesser of:</w:t>
      </w:r>
    </w:p>
    <w:p>
      <w:pPr>
        <w:spacing w:after="0" w:line="69" w:lineRule="exact"/>
        <w:rPr>
          <w:sz w:val="20"/>
          <w:szCs w:val="20"/>
          <w:color w:val="auto"/>
        </w:rPr>
      </w:pPr>
    </w:p>
    <w:p>
      <w:pPr>
        <w:ind w:left="2160" w:right="319" w:hanging="339"/>
        <w:spacing w:after="0" w:line="255" w:lineRule="auto"/>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J preferred stock dividend payment and prior to the corresponding series J preferred stock dividend payment date, in which case no additional amount for such accrued and unpaid dividends will be included in this sum) by (ii) the Common Stock Price (as defined below); and</w:t>
      </w:r>
    </w:p>
    <w:p>
      <w:pPr>
        <w:spacing w:after="0" w:line="69"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0.42521 (i.e., the Share Cap), subject to certain adjustments;</w:t>
      </w:r>
    </w:p>
    <w:p>
      <w:pPr>
        <w:spacing w:after="0" w:line="171" w:lineRule="exact"/>
        <w:rPr>
          <w:sz w:val="20"/>
          <w:szCs w:val="20"/>
          <w:color w:val="auto"/>
        </w:rPr>
      </w:pPr>
    </w:p>
    <w:p>
      <w:pPr>
        <w:ind w:left="1400" w:right="319"/>
        <w:spacing w:after="0" w:line="278" w:lineRule="auto"/>
        <w:rPr>
          <w:sz w:val="20"/>
          <w:szCs w:val="20"/>
          <w:color w:val="auto"/>
        </w:rPr>
      </w:pPr>
      <w:r>
        <w:rPr>
          <w:rFonts w:ascii="Times New Roman" w:cs="Times New Roman" w:eastAsia="Times New Roman" w:hAnsi="Times New Roman"/>
          <w:sz w:val="14"/>
          <w:szCs w:val="14"/>
          <w:color w:val="auto"/>
        </w:rPr>
        <w:t>subject, in each case, to provisions for the receipt of alternative consideration as described in the articles supplementary relating to the Series J preferred stock.</w:t>
      </w:r>
    </w:p>
    <w:p>
      <w:pPr>
        <w:spacing w:after="0" w:line="126" w:lineRule="exact"/>
        <w:rPr>
          <w:sz w:val="20"/>
          <w:szCs w:val="20"/>
          <w:color w:val="auto"/>
        </w:rPr>
      </w:pPr>
    </w:p>
    <w:p>
      <w:pPr>
        <w:ind w:left="1400" w:right="299"/>
        <w:spacing w:after="0" w:line="274" w:lineRule="auto"/>
        <w:rPr>
          <w:sz w:val="20"/>
          <w:szCs w:val="20"/>
          <w:color w:val="auto"/>
        </w:rPr>
      </w:pPr>
      <w:r>
        <w:rPr>
          <w:rFonts w:ascii="Times New Roman" w:cs="Times New Roman" w:eastAsia="Times New Roman" w:hAnsi="Times New Roman"/>
          <w:sz w:val="13"/>
          <w:szCs w:val="13"/>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31"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If, prior to the Change of Control Conversion Date, the company has provided or provides a redemption notice, whether pursuant to its special optional redemption right in connection with a Change of Control or its optional redemption right, holders of series J preferred stock will not have any right to convert the series J preferred stock into shares of the common stock in connection with the Change of Control and any shares of series J preferred stock selected for redemption that have been tendered for conversion will be redeemed on the related date of redemption instead of converted on the Change of Control Conversion Date.</w:t>
      </w:r>
    </w:p>
    <w:p>
      <w:pPr>
        <w:spacing w:after="0" w:line="142" w:lineRule="exact"/>
        <w:rPr>
          <w:sz w:val="20"/>
          <w:szCs w:val="20"/>
          <w:color w:val="auto"/>
        </w:rPr>
      </w:pPr>
    </w:p>
    <w:p>
      <w:pPr>
        <w:ind w:left="1400" w:right="619"/>
        <w:spacing w:after="0" w:line="278" w:lineRule="auto"/>
        <w:rPr>
          <w:sz w:val="20"/>
          <w:szCs w:val="20"/>
          <w:color w:val="auto"/>
        </w:rPr>
      </w:pPr>
      <w:r>
        <w:rPr>
          <w:rFonts w:ascii="Times New Roman" w:cs="Times New Roman" w:eastAsia="Times New Roman" w:hAnsi="Times New Roman"/>
          <w:sz w:val="14"/>
          <w:szCs w:val="14"/>
          <w:color w:val="auto"/>
        </w:rPr>
        <w:t>Except as provided above in connection with a Change of Control, the series J preferred stock is not convertible into or exchangeable for any other securities or property.</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transfer agent and registrar for the series J preferred stock is Equiniti Trust Company, LLC.</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5.850% Series K Cumulative Redeemable Preferred Stock</w:t>
      </w:r>
    </w:p>
    <w:p>
      <w:pPr>
        <w:spacing w:after="0" w:line="8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0" w:lineRule="exact"/>
        <w:rPr>
          <w:sz w:val="20"/>
          <w:szCs w:val="20"/>
          <w:color w:val="auto"/>
        </w:rPr>
      </w:pPr>
    </w:p>
    <w:p>
      <w:pPr>
        <w:ind w:left="1400" w:right="399"/>
        <w:spacing w:after="0" w:line="278" w:lineRule="auto"/>
        <w:rPr>
          <w:sz w:val="20"/>
          <w:szCs w:val="20"/>
          <w:color w:val="auto"/>
        </w:rPr>
      </w:pPr>
      <w:r>
        <w:rPr>
          <w:rFonts w:ascii="Times New Roman" w:cs="Times New Roman" w:eastAsia="Times New Roman" w:hAnsi="Times New Roman"/>
          <w:sz w:val="14"/>
          <w:szCs w:val="14"/>
          <w:color w:val="auto"/>
        </w:rPr>
        <w:t>The company’s board of directors and a duly authorized committee thereof approved articles supplementary, a copy of which has been previously filed with the SEC and which is incorporated by reference as an exhibit to the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3"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599"/>
        <w:spacing w:after="0" w:line="278" w:lineRule="auto"/>
        <w:rPr>
          <w:sz w:val="20"/>
          <w:szCs w:val="20"/>
          <w:color w:val="auto"/>
        </w:rPr>
      </w:pPr>
      <w:r>
        <w:rPr>
          <w:rFonts w:ascii="Times New Roman" w:cs="Times New Roman" w:eastAsia="Times New Roman" w:hAnsi="Times New Roman"/>
          <w:sz w:val="14"/>
          <w:szCs w:val="14"/>
          <w:color w:val="auto"/>
        </w:rPr>
        <w:t>registration statement of which this prospectus is a part, creating the series K preferred stock as a series of DLR’s preferred stock, designated as the 5.850% Series K Cumulative Redeemable Preferred Stock. The series K preferred stock is validly issued, fully paid and nonassessable.</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series K preferred stock is currently listed on the NYSE as “DLR Pr K”.</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Ranking</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series K preferred stock ranks, with respect to dividend rights and rights upon the company’s liquidation, dissolution or winding-up:</w:t>
      </w:r>
    </w:p>
    <w:p>
      <w:pPr>
        <w:spacing w:after="0" w:line="99" w:lineRule="exact"/>
        <w:rPr>
          <w:sz w:val="20"/>
          <w:szCs w:val="20"/>
          <w:color w:val="auto"/>
        </w:rPr>
      </w:pPr>
    </w:p>
    <w:p>
      <w:pPr>
        <w:ind w:left="2160" w:right="519" w:hanging="339"/>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all classes or series of the common stock and to any other class or series of stock expressly designated as ranking junior to the series K preferred stock;</w:t>
      </w:r>
    </w:p>
    <w:p>
      <w:pPr>
        <w:spacing w:after="0" w:line="52" w:lineRule="exact"/>
        <w:rPr>
          <w:rFonts w:ascii="Times New Roman" w:cs="Times New Roman" w:eastAsia="Times New Roman" w:hAnsi="Times New Roman"/>
          <w:sz w:val="14"/>
          <w:szCs w:val="14"/>
          <w:color w:val="auto"/>
        </w:rPr>
      </w:pPr>
    </w:p>
    <w:p>
      <w:pPr>
        <w:ind w:left="2160" w:right="759" w:hanging="339"/>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parity with any class or series of stock expressly designated as ranking on parity with the series K preferred stock, including the company’s series J preferred stock and series L preferred stock; and</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any other class or series of stock expressly designated as ranking senior to the series K preferred stock.</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Dividend Rate and Payment Date</w:t>
      </w:r>
    </w:p>
    <w:p>
      <w:pPr>
        <w:spacing w:after="0" w:line="90"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Holders of series K preferred stock are entitled to receive cumulative cash dividends on the series K preferred stock from and including the date of original issue, payable quarterly in arrears on or about the last calendar day of March, June, September and December of each year, at the rate of 5.850% per annum of the $25.00 liquidation preference per share (equivalent to an annual amount of $1.4625 per share). Dividends on the series K preferred stock will accrue whether or not the company has earnings, whether or not there are funds legally available for the payment of such dividends and whether or not such dividends are authorized or declared.</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0"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In the event of a liquidation, dissolution or winding up, holders of the series K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K preferred stock as to liquidation rights. The rights of holders of series K preferred stock to receive their liquidation preference will be subject to the proportionate rights of any other class or series of stock ranking on parity with the series K preferred stock as to liquidation.</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90"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The series K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K preferred stock for all past dividend periods have been, or contemporaneously are, paid or an amount in cash sufficient for the payment thereof is set apart, no shares of series K preferred stock may be redeemed unless all outstanding shares of series K preferred stock are simultaneously redeemed; provided, that the foregoing restriction does not prevent the company from taking action necessary to preserve its status as a REIT. Any partial redemption will be on a pro rata basis.</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Special Optional Redemption</w:t>
      </w:r>
    </w:p>
    <w:p>
      <w:pPr>
        <w:spacing w:after="0" w:line="90" w:lineRule="exact"/>
        <w:rPr>
          <w:sz w:val="20"/>
          <w:szCs w:val="20"/>
          <w:color w:val="auto"/>
        </w:rPr>
      </w:pPr>
    </w:p>
    <w:p>
      <w:pPr>
        <w:ind w:left="1400" w:right="339"/>
        <w:spacing w:after="0" w:line="262" w:lineRule="auto"/>
        <w:rPr>
          <w:sz w:val="20"/>
          <w:szCs w:val="20"/>
          <w:color w:val="auto"/>
        </w:rPr>
      </w:pPr>
      <w:r>
        <w:rPr>
          <w:rFonts w:ascii="Times New Roman" w:cs="Times New Roman" w:eastAsia="Times New Roman" w:hAnsi="Times New Roman"/>
          <w:sz w:val="14"/>
          <w:szCs w:val="14"/>
          <w:color w:val="auto"/>
        </w:rPr>
        <w:t>Upon the occurrence of a Change of Control (as defined below), the company may, at its option, redeem the series K preferred stock, in whole or in part within 120 days after the first date on which such Change of Control occurred, by paying $25.00 per share, plus any accrued and unpaid dividends to, but not including, the date of</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3"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jc w:val="both"/>
        <w:ind w:left="1400" w:right="419"/>
        <w:spacing w:after="0" w:line="262" w:lineRule="auto"/>
        <w:rPr>
          <w:sz w:val="20"/>
          <w:szCs w:val="20"/>
          <w:color w:val="auto"/>
        </w:rPr>
      </w:pPr>
      <w:r>
        <w:rPr>
          <w:rFonts w:ascii="Times New Roman" w:cs="Times New Roman" w:eastAsia="Times New Roman" w:hAnsi="Times New Roman"/>
          <w:sz w:val="14"/>
          <w:szCs w:val="14"/>
          <w:color w:val="auto"/>
        </w:rPr>
        <w:t>redemption. If, prior to the Change of Control Conversion Date (as defined below), the company exercises any of its redemption rights relating to the series K preferred stock (whether its optional redemption right or its special optional redemption right), the holders of series K preferred stock will not have the conversion right described below.</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 “Change of Control” is when, after the original issuance of the series K preferred stock, the following have occurred and are continuing:</w:t>
      </w:r>
    </w:p>
    <w:p>
      <w:pPr>
        <w:spacing w:after="0" w:line="99" w:lineRule="exact"/>
        <w:rPr>
          <w:sz w:val="20"/>
          <w:szCs w:val="20"/>
          <w:color w:val="auto"/>
        </w:rPr>
      </w:pPr>
    </w:p>
    <w:p>
      <w:pPr>
        <w:ind w:left="2160" w:right="299" w:hanging="339"/>
        <w:spacing w:after="0" w:line="253"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72" w:lineRule="exact"/>
        <w:rPr>
          <w:rFonts w:ascii="Times New Roman" w:cs="Times New Roman" w:eastAsia="Times New Roman" w:hAnsi="Times New Roman"/>
          <w:sz w:val="14"/>
          <w:szCs w:val="14"/>
          <w:color w:val="auto"/>
        </w:rPr>
      </w:pPr>
    </w:p>
    <w:p>
      <w:pPr>
        <w:ind w:left="2160" w:right="359" w:hanging="339"/>
        <w:spacing w:after="0" w:line="262"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 Maturity, Sinking Fund or Mandatory Redemption</w:t>
      </w:r>
    </w:p>
    <w:p>
      <w:pPr>
        <w:spacing w:after="0" w:line="90" w:lineRule="exact"/>
        <w:rPr>
          <w:sz w:val="20"/>
          <w:szCs w:val="20"/>
          <w:color w:val="auto"/>
        </w:rPr>
      </w:pPr>
    </w:p>
    <w:p>
      <w:pPr>
        <w:ind w:left="1400" w:right="339"/>
        <w:spacing w:after="0" w:line="257" w:lineRule="auto"/>
        <w:rPr>
          <w:sz w:val="20"/>
          <w:szCs w:val="20"/>
          <w:color w:val="auto"/>
        </w:rPr>
      </w:pPr>
      <w:r>
        <w:rPr>
          <w:rFonts w:ascii="Times New Roman" w:cs="Times New Roman" w:eastAsia="Times New Roman" w:hAnsi="Times New Roman"/>
          <w:sz w:val="14"/>
          <w:szCs w:val="14"/>
          <w:color w:val="auto"/>
        </w:rPr>
        <w:t>The series K preferred stock has no stated maturity date and the company is not required to redeem the series K preferred stock at any time. Accordingly, the series K preferred stock will remain outstanding indefinitely, unless the company decides, at its option, to exercise its redemption right or, under circumstances where the holders of the series K preferred stock have a conversion right, such holders decide to convert the series K preferred stock into common stock. The series K preferred stock is not subject to any sinking fund.</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0"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Holders of series K preferred stock generally have no voting rights. However, if the company is in arrears on dividends on the series K preferred stock for six or more quarterly periods, whether or not consecutive, holders of the series K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company’s board until all unpaid dividends with respect to the series K preferred stock and any other class or series of parity preferred stock have been paid or declared and a sum sufficient for the payment thereof set aside for payment. In addition, the company may not make certain material and adverse changes to the terms of the series K preferred stock without the affirmative vote of the holders of at least two-thirds of the outstanding shares of series K preferred stock and all other shares of any class or series ranking on parity with the series K preferred stock that are entitled to similar voting rights (voting together as a single class).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0" w:lineRule="exact"/>
        <w:rPr>
          <w:sz w:val="20"/>
          <w:szCs w:val="20"/>
          <w:color w:val="auto"/>
        </w:rPr>
      </w:pPr>
    </w:p>
    <w:p>
      <w:pPr>
        <w:ind w:left="1400" w:right="319"/>
        <w:spacing w:after="0" w:line="257" w:lineRule="auto"/>
        <w:rPr>
          <w:sz w:val="20"/>
          <w:szCs w:val="20"/>
          <w:color w:val="auto"/>
        </w:rPr>
      </w:pPr>
      <w:r>
        <w:rPr>
          <w:rFonts w:ascii="Times New Roman" w:cs="Times New Roman" w:eastAsia="Times New Roman" w:hAnsi="Times New Roman"/>
          <w:sz w:val="14"/>
          <w:szCs w:val="14"/>
          <w:color w:val="auto"/>
        </w:rPr>
        <w:t>Upon the occurrence of a Change of Control, each holder of series K preferred stock will have the right (unless, prior to the Change of Control Conversion Date, the company has provided or provides notice of its election to redeem the series K preferred stock) to convert some or all of the series K preferred stock held by such holder on the date the series K preferred stock is to be converted, which we refer to as the Change of Control Conversion Date, into a number of shares of common stock per share of series K preferred stock to be converted equal to the lesser of:</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319" w:hanging="339"/>
        <w:spacing w:after="0" w:line="255"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K preferred stock dividend payment and prior to the corresponding series K preferred stock dividend payment date, in which case no additional amount for such accrued and unpaid dividends will be included in this sum) by (ii) the Common Stock Price (as defined below); and</w:t>
      </w:r>
    </w:p>
    <w:p>
      <w:pPr>
        <w:spacing w:after="0" w:line="69"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0.43611 (i.e., the Share Cap), subject to certain adjustments;</w:t>
      </w:r>
    </w:p>
    <w:p>
      <w:pPr>
        <w:spacing w:after="0" w:line="171" w:lineRule="exact"/>
        <w:rPr>
          <w:sz w:val="20"/>
          <w:szCs w:val="20"/>
          <w:color w:val="auto"/>
        </w:rPr>
      </w:pPr>
    </w:p>
    <w:p>
      <w:pPr>
        <w:ind w:left="1400" w:right="819"/>
        <w:spacing w:after="0" w:line="278" w:lineRule="auto"/>
        <w:rPr>
          <w:sz w:val="20"/>
          <w:szCs w:val="20"/>
          <w:color w:val="auto"/>
        </w:rPr>
      </w:pPr>
      <w:r>
        <w:rPr>
          <w:rFonts w:ascii="Times New Roman" w:cs="Times New Roman" w:eastAsia="Times New Roman" w:hAnsi="Times New Roman"/>
          <w:sz w:val="14"/>
          <w:szCs w:val="14"/>
          <w:color w:val="auto"/>
        </w:rPr>
        <w:t>subject, in each case, to provisions for the receipt of alternative consideration as described in the articles supplementary relating to the Series K preferred stock.</w:t>
      </w:r>
    </w:p>
    <w:p>
      <w:pPr>
        <w:spacing w:after="0" w:line="126" w:lineRule="exact"/>
        <w:rPr>
          <w:sz w:val="20"/>
          <w:szCs w:val="20"/>
          <w:color w:val="auto"/>
        </w:rPr>
      </w:pPr>
    </w:p>
    <w:p>
      <w:pPr>
        <w:ind w:left="1400" w:right="299"/>
        <w:spacing w:after="0" w:line="270" w:lineRule="auto"/>
        <w:rPr>
          <w:sz w:val="20"/>
          <w:szCs w:val="20"/>
          <w:color w:val="auto"/>
        </w:rPr>
      </w:pPr>
      <w:r>
        <w:rPr>
          <w:rFonts w:ascii="Times New Roman" w:cs="Times New Roman" w:eastAsia="Times New Roman" w:hAnsi="Times New Roman"/>
          <w:sz w:val="13"/>
          <w:szCs w:val="13"/>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w:t>
      </w:r>
    </w:p>
    <w:p>
      <w:pPr>
        <w:spacing w:after="0" w:line="3" w:lineRule="exact"/>
        <w:rPr>
          <w:sz w:val="20"/>
          <w:szCs w:val="20"/>
          <w:color w:val="auto"/>
        </w:rPr>
      </w:pPr>
    </w:p>
    <w:p>
      <w:pPr>
        <w:ind w:left="1400" w:right="319"/>
        <w:spacing w:after="0" w:line="266" w:lineRule="auto"/>
        <w:rPr>
          <w:sz w:val="20"/>
          <w:szCs w:val="20"/>
          <w:color w:val="auto"/>
        </w:rPr>
      </w:pPr>
      <w:r>
        <w:rPr>
          <w:rFonts w:ascii="Times New Roman" w:cs="Times New Roman" w:eastAsia="Times New Roman" w:hAnsi="Times New Roman"/>
          <w:sz w:val="13"/>
          <w:szCs w:val="13"/>
          <w:color w:val="auto"/>
        </w:rPr>
        <w:t>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 w:lineRule="exact"/>
        <w:rPr>
          <w:sz w:val="20"/>
          <w:szCs w:val="20"/>
          <w:color w:val="auto"/>
        </w:rPr>
      </w:pPr>
    </w:p>
    <w:p>
      <w:pPr>
        <w:ind w:left="1400" w:right="379"/>
        <w:spacing w:after="0" w:line="249" w:lineRule="auto"/>
        <w:rPr>
          <w:sz w:val="20"/>
          <w:szCs w:val="20"/>
          <w:color w:val="auto"/>
        </w:rPr>
      </w:pPr>
      <w:r>
        <w:rPr>
          <w:rFonts w:ascii="Times New Roman" w:cs="Times New Roman" w:eastAsia="Times New Roman" w:hAnsi="Times New Roman"/>
          <w:sz w:val="14"/>
          <w:szCs w:val="14"/>
          <w:color w:val="auto"/>
        </w:rPr>
        <w:t>If, prior to the Change of Control Conversion Date, the company has provided or provides a redemption notice, whether pursuant to its special optional redemption right in connection with a Change of Control or its optional redemption right, holders of series K preferred stock will not have any right to convert the series K preferred stock into shares of the common stock in connection with the Change of Control and any shares of series K preferred stock selected for redemption that have been tendered for conversion will be redeemed on the related date of redemption instead of converted on the Change of Control Conversion Date.</w:t>
      </w:r>
    </w:p>
    <w:p>
      <w:pPr>
        <w:spacing w:after="0" w:line="147" w:lineRule="exact"/>
        <w:rPr>
          <w:sz w:val="20"/>
          <w:szCs w:val="20"/>
          <w:color w:val="auto"/>
        </w:rPr>
      </w:pPr>
    </w:p>
    <w:p>
      <w:pPr>
        <w:ind w:left="1400" w:right="579"/>
        <w:spacing w:after="0" w:line="278" w:lineRule="auto"/>
        <w:rPr>
          <w:sz w:val="20"/>
          <w:szCs w:val="20"/>
          <w:color w:val="auto"/>
        </w:rPr>
      </w:pPr>
      <w:r>
        <w:rPr>
          <w:rFonts w:ascii="Times New Roman" w:cs="Times New Roman" w:eastAsia="Times New Roman" w:hAnsi="Times New Roman"/>
          <w:sz w:val="14"/>
          <w:szCs w:val="14"/>
          <w:color w:val="auto"/>
        </w:rPr>
        <w:t>Except as provided above in connection with a Change of Control, the series K preferred stock is not convertible into or exchangeable for any other securities or property.</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transfer agent and registrar for the series K preferred stock is Equiniti Trust Company, LLC.</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5.200% Series L Cumulative Redeemable Preferred Stock</w:t>
      </w:r>
    </w:p>
    <w:p>
      <w:pPr>
        <w:spacing w:after="0" w:line="8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0" w:lineRule="exact"/>
        <w:rPr>
          <w:sz w:val="20"/>
          <w:szCs w:val="20"/>
          <w:color w:val="auto"/>
        </w:rPr>
      </w:pPr>
    </w:p>
    <w:p>
      <w:pPr>
        <w:jc w:val="both"/>
        <w:ind w:left="1400" w:right="399"/>
        <w:spacing w:after="0" w:line="257" w:lineRule="auto"/>
        <w:rPr>
          <w:sz w:val="20"/>
          <w:szCs w:val="20"/>
          <w:color w:val="auto"/>
        </w:rPr>
      </w:pPr>
      <w:r>
        <w:rPr>
          <w:rFonts w:ascii="Times New Roman" w:cs="Times New Roman" w:eastAsia="Times New Roman" w:hAnsi="Times New Roman"/>
          <w:sz w:val="14"/>
          <w:szCs w:val="14"/>
          <w:color w:val="auto"/>
        </w:rPr>
        <w:t>The company’s board of directors and a duly authorized committee thereof approved articles supplementary, a copy of which has been previously filed with the SEC and which is incorporated by reference as an exhibit to the registration statement of which this prospectus is a part, creating the series L preferred stock as a series of the company’s preferred stock, designated as the 5.200% Series L Cumulative Redeemable Preferred Stock. The series L preferred stock is validly issued, fully paid and nonassessable.</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series L preferred stock is currently listed on the NYSE as “DLR Pr L”.</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Ranking</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series L preferred stock ranks, with respect to dividend rights and rights upon the company’s liquidation, dissolution or winding-up:</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2"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519" w:hanging="339"/>
        <w:spacing w:after="0" w:line="278"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all classes or series of the common stock and to any other class or series of stock expressly designated as ranking junior to the series L preferred stock;</w:t>
      </w:r>
    </w:p>
    <w:p>
      <w:pPr>
        <w:spacing w:after="0" w:line="52" w:lineRule="exact"/>
        <w:rPr>
          <w:rFonts w:ascii="Times New Roman" w:cs="Times New Roman" w:eastAsia="Times New Roman" w:hAnsi="Times New Roman"/>
          <w:sz w:val="14"/>
          <w:szCs w:val="14"/>
          <w:color w:val="auto"/>
        </w:rPr>
      </w:pPr>
    </w:p>
    <w:p>
      <w:pPr>
        <w:ind w:left="2160" w:right="779" w:hanging="339"/>
        <w:spacing w:after="0" w:line="278"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parity with any class or series of stock expressly designated as ranking on parity with the series L preferred stock, including the company’s series J preferred stock and series K preferred stock; and</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any other class or series of stock expressly designated as ranking senior to the series L preferred stock.</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Dividend Rate and Payment Date</w:t>
      </w:r>
    </w:p>
    <w:p>
      <w:pPr>
        <w:spacing w:after="0" w:line="90"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Holders of series L preferred stock are entitled to receive cumulative cash dividends on the series L preferred stock from and including the date of original issue, payable quarterly in arrears on or about the last calendar day of March, June, September and December of each year, at the rate of 5.200% per annum of the $25.00 liquidation preference per share (equivalent to an annual amount of $1.30 per share). Dividends on the series L preferred stock will accrue whether or not the company has earnings, whether or not there are funds legally available for the payment of such dividends and whether or not such dividends are authorized or declared.</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0"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In the event of a liquidation, dissolution or winding up, holders of the series L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L preferred stock as to liquidation rights. The rights of holders of series L preferred stock to receive their liquidation preference will be subject to the proportionate rights of any other class or series of stock ranking on parity with the series L preferred stock as to liquidation.</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90" w:lineRule="exact"/>
        <w:rPr>
          <w:sz w:val="20"/>
          <w:szCs w:val="20"/>
          <w:color w:val="auto"/>
        </w:rPr>
      </w:pPr>
    </w:p>
    <w:p>
      <w:pPr>
        <w:ind w:left="1400" w:right="339"/>
        <w:spacing w:after="0" w:line="253" w:lineRule="auto"/>
        <w:rPr>
          <w:sz w:val="20"/>
          <w:szCs w:val="20"/>
          <w:color w:val="auto"/>
        </w:rPr>
      </w:pPr>
      <w:r>
        <w:rPr>
          <w:rFonts w:ascii="Times New Roman" w:cs="Times New Roman" w:eastAsia="Times New Roman" w:hAnsi="Times New Roman"/>
          <w:sz w:val="14"/>
          <w:szCs w:val="14"/>
          <w:color w:val="auto"/>
        </w:rPr>
        <w:t>The series L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L preferred stock for all past dividend periods have been, or contemporaneously are, paid or an amount in cash sufficient for the payment thereof is set apart, no shares of series L preferred stock may be redeemed unless all outstanding shares of series L preferred stock are simultaneously redeemed; provided, that the foregoing restriction does not prevent the company from taking action necessary to preserve its status as a REIT. Any partial redemption will be on a pro rata basis.</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Special Optional Redemption</w:t>
      </w:r>
    </w:p>
    <w:p>
      <w:pPr>
        <w:spacing w:after="0" w:line="90"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Upon the occurrence of a Change of Control, (as defined below) the company may, at its option, redeem the series L 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the company exercises any of its redemption rights relating to the series L preferred stock (whether its optional redemption right or its special optional redemption right), the holders of series L preferred stock will not have the conversion right described below.</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 “Change of Control” is when, after the original issuance of the series L preferred stock, the following have occurred and are continuing:</w:t>
      </w:r>
    </w:p>
    <w:p>
      <w:pPr>
        <w:spacing w:after="0" w:line="99" w:lineRule="exact"/>
        <w:rPr>
          <w:sz w:val="20"/>
          <w:szCs w:val="20"/>
          <w:color w:val="auto"/>
        </w:rPr>
      </w:pPr>
    </w:p>
    <w:p>
      <w:pPr>
        <w:ind w:left="2160" w:right="439" w:hanging="339"/>
        <w:spacing w:after="0" w:line="278"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any person, including any syndicate or group deemed to be a “person” under Section 13(d)(3) of the Exchange Act, of beneficial ownership, directly or indirectly, through a</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3"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339"/>
        <w:spacing w:after="0" w:line="255" w:lineRule="auto"/>
        <w:rPr>
          <w:sz w:val="20"/>
          <w:szCs w:val="20"/>
          <w:color w:val="auto"/>
        </w:rPr>
      </w:pPr>
      <w:r>
        <w:rPr>
          <w:rFonts w:ascii="Times New Roman" w:cs="Times New Roman" w:eastAsia="Times New Roman" w:hAnsi="Times New Roman"/>
          <w:sz w:val="14"/>
          <w:szCs w:val="14"/>
          <w:color w:val="auto"/>
        </w:rPr>
        <w:t>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69" w:lineRule="exact"/>
        <w:rPr>
          <w:sz w:val="20"/>
          <w:szCs w:val="20"/>
          <w:color w:val="auto"/>
        </w:rPr>
      </w:pPr>
    </w:p>
    <w:p>
      <w:pPr>
        <w:ind w:left="2160" w:right="359" w:hanging="339"/>
        <w:spacing w:after="0" w:line="262"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 Maturity, Sinking Fund or Mandatory Redemption</w:t>
      </w:r>
    </w:p>
    <w:p>
      <w:pPr>
        <w:spacing w:after="0" w:line="90" w:lineRule="exact"/>
        <w:rPr>
          <w:sz w:val="20"/>
          <w:szCs w:val="20"/>
          <w:color w:val="auto"/>
        </w:rPr>
      </w:pPr>
    </w:p>
    <w:p>
      <w:pPr>
        <w:ind w:left="1400" w:right="299"/>
        <w:spacing w:after="0" w:line="257" w:lineRule="auto"/>
        <w:rPr>
          <w:sz w:val="20"/>
          <w:szCs w:val="20"/>
          <w:color w:val="auto"/>
        </w:rPr>
      </w:pPr>
      <w:r>
        <w:rPr>
          <w:rFonts w:ascii="Times New Roman" w:cs="Times New Roman" w:eastAsia="Times New Roman" w:hAnsi="Times New Roman"/>
          <w:sz w:val="14"/>
          <w:szCs w:val="14"/>
          <w:color w:val="auto"/>
        </w:rPr>
        <w:t>The series L preferred stock has no stated maturity date and the company is not required to redeem the series L preferred stock at any time. Accordingly, the series L preferred stock will remain outstanding indefinitely, unless the company decides, at its option, to exercise its redemption right or, under circumstances where the holders of the series L preferred stock have a conversion right, such holders decide to convert the series L preferred stock into common stock. The series L preferred stock is not subject to any sinking fund.</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0" w:lineRule="exact"/>
        <w:rPr>
          <w:sz w:val="20"/>
          <w:szCs w:val="20"/>
          <w:color w:val="auto"/>
        </w:rPr>
      </w:pPr>
    </w:p>
    <w:p>
      <w:pPr>
        <w:ind w:left="1400" w:right="279"/>
        <w:spacing w:after="0" w:line="273" w:lineRule="auto"/>
        <w:rPr>
          <w:sz w:val="20"/>
          <w:szCs w:val="20"/>
          <w:color w:val="auto"/>
        </w:rPr>
      </w:pPr>
      <w:r>
        <w:rPr>
          <w:rFonts w:ascii="Times New Roman" w:cs="Times New Roman" w:eastAsia="Times New Roman" w:hAnsi="Times New Roman"/>
          <w:sz w:val="13"/>
          <w:szCs w:val="13"/>
          <w:color w:val="auto"/>
        </w:rPr>
        <w:t>Holders of series L preferred stock generally have no voting rights. However, if the company is in arrears on dividends on the series L preferred stock for six or more quarterly periods, whether or not consecutive, holders of the series L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company’s board of directors until all unpaid dividends with respect to the series L preferred stock and any other class or series of parity preferred stock have been paid or declared and a sum sufficient for the payment thereof set aside for payment. In addition, the company may not make certain material and adverse changes to the terms of the series L preferred stock without the affirmative vote of the holders of at least two-thirds of the outstanding shares of series L preferred stock and all other shares of any class or series ranking on parity with the series L preferred stock that are entitled to similar voting rights (voting together as a single class).</w:t>
      </w:r>
    </w:p>
    <w:p>
      <w:pPr>
        <w:spacing w:after="0" w:line="2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0" w:lineRule="exact"/>
        <w:rPr>
          <w:sz w:val="20"/>
          <w:szCs w:val="20"/>
          <w:color w:val="auto"/>
        </w:rPr>
      </w:pPr>
    </w:p>
    <w:p>
      <w:pPr>
        <w:ind w:left="1400" w:right="339"/>
        <w:spacing w:after="0" w:line="257" w:lineRule="auto"/>
        <w:rPr>
          <w:sz w:val="20"/>
          <w:szCs w:val="20"/>
          <w:color w:val="auto"/>
        </w:rPr>
      </w:pPr>
      <w:r>
        <w:rPr>
          <w:rFonts w:ascii="Times New Roman" w:cs="Times New Roman" w:eastAsia="Times New Roman" w:hAnsi="Times New Roman"/>
          <w:sz w:val="14"/>
          <w:szCs w:val="14"/>
          <w:color w:val="auto"/>
        </w:rPr>
        <w:t>Upon the occurrence of a Change of Control, each holder of series L preferred stock will have the right (unless, prior to the Change of Control Conversion Date, the company has provided or provides notice of its election to redeem the series L preferred stock) to convert some or all of the series L preferred stock held by such holder on the date the series L preferred stock is to be converted, which we refer to as the Change of Control Conversion Date, into a number of shares of common stock per share of series L preferred stock to be converted equal to the lesser of:</w:t>
      </w:r>
    </w:p>
    <w:p>
      <w:pPr>
        <w:spacing w:after="0" w:line="162" w:lineRule="exact"/>
        <w:rPr>
          <w:sz w:val="20"/>
          <w:szCs w:val="20"/>
          <w:color w:val="auto"/>
        </w:rPr>
      </w:pPr>
    </w:p>
    <w:p>
      <w:pPr>
        <w:jc w:val="both"/>
        <w:ind w:left="2160" w:right="319" w:hanging="339"/>
        <w:spacing w:after="0" w:line="262"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L preferred stock dividend</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2"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659"/>
        <w:spacing w:after="0" w:line="278" w:lineRule="auto"/>
        <w:rPr>
          <w:sz w:val="20"/>
          <w:szCs w:val="20"/>
          <w:color w:val="auto"/>
        </w:rPr>
      </w:pPr>
      <w:r>
        <w:rPr>
          <w:rFonts w:ascii="Times New Roman" w:cs="Times New Roman" w:eastAsia="Times New Roman" w:hAnsi="Times New Roman"/>
          <w:sz w:val="14"/>
          <w:szCs w:val="14"/>
          <w:color w:val="auto"/>
        </w:rPr>
        <w:t>payment and prior to the corresponding series L preferred stock dividend payment date, in which case no additional amount for such accrued and unpaid dividends will be included in this sum) by (ii) the Common Stock Price (as defined below); and</w:t>
      </w:r>
    </w:p>
    <w:p>
      <w:pPr>
        <w:spacing w:after="0" w:line="146" w:lineRule="exact"/>
        <w:rPr>
          <w:sz w:val="20"/>
          <w:szCs w:val="20"/>
          <w:color w:val="auto"/>
        </w:rPr>
      </w:pPr>
    </w:p>
    <w:p>
      <w:pPr>
        <w:ind w:left="2160" w:hanging="339"/>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0.38518 (i.e., the Share Cap), subject to certain adjustments;</w:t>
      </w:r>
    </w:p>
    <w:p>
      <w:pPr>
        <w:spacing w:after="0" w:line="171"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4"/>
          <w:szCs w:val="14"/>
          <w:color w:val="auto"/>
        </w:rPr>
        <w:t>subject, in each case, to provisions for the receipt of alternative consideration as described in the articles supplementary relating to the Series L preferred stock.</w:t>
      </w:r>
    </w:p>
    <w:p>
      <w:pPr>
        <w:spacing w:after="0" w:line="126" w:lineRule="exact"/>
        <w:rPr>
          <w:sz w:val="20"/>
          <w:szCs w:val="20"/>
          <w:color w:val="auto"/>
        </w:rPr>
      </w:pPr>
    </w:p>
    <w:p>
      <w:pPr>
        <w:ind w:left="1400" w:right="299"/>
        <w:spacing w:after="0" w:line="270" w:lineRule="auto"/>
        <w:rPr>
          <w:sz w:val="20"/>
          <w:szCs w:val="20"/>
          <w:color w:val="auto"/>
        </w:rPr>
      </w:pPr>
      <w:r>
        <w:rPr>
          <w:rFonts w:ascii="Times New Roman" w:cs="Times New Roman" w:eastAsia="Times New Roman" w:hAnsi="Times New Roman"/>
          <w:sz w:val="13"/>
          <w:szCs w:val="13"/>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w:t>
      </w:r>
    </w:p>
    <w:p>
      <w:pPr>
        <w:spacing w:after="0" w:line="3" w:lineRule="exact"/>
        <w:rPr>
          <w:sz w:val="20"/>
          <w:szCs w:val="20"/>
          <w:color w:val="auto"/>
        </w:rPr>
      </w:pPr>
    </w:p>
    <w:p>
      <w:pPr>
        <w:ind w:left="1400" w:right="319"/>
        <w:spacing w:after="0" w:line="293" w:lineRule="auto"/>
        <w:rPr>
          <w:sz w:val="20"/>
          <w:szCs w:val="20"/>
          <w:color w:val="auto"/>
        </w:rPr>
      </w:pPr>
      <w:r>
        <w:rPr>
          <w:rFonts w:ascii="Times New Roman" w:cs="Times New Roman" w:eastAsia="Times New Roman" w:hAnsi="Times New Roman"/>
          <w:sz w:val="13"/>
          <w:szCs w:val="13"/>
          <w:color w:val="auto"/>
        </w:rPr>
        <w:t>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18"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If, prior to the Change of Control Conversion Date, the company has provided or provides a redemption notice, whether pursuant to its special optional redemption right in connection with a Change of Control or its optional redemption right, holders of series L preferred stock will not have any right to convert the series L preferred stock into shares of the common stock in connection with the Change of Control and any shares of series L preferred stock selected for redemption that have been tendered for conversion will be redeemed on the related date of redemption instead of converted on the Change of Control Conversion Date.</w:t>
      </w:r>
    </w:p>
    <w:p>
      <w:pPr>
        <w:spacing w:after="0" w:line="142" w:lineRule="exact"/>
        <w:rPr>
          <w:sz w:val="20"/>
          <w:szCs w:val="20"/>
          <w:color w:val="auto"/>
        </w:rPr>
      </w:pPr>
    </w:p>
    <w:p>
      <w:pPr>
        <w:ind w:left="1400" w:right="599"/>
        <w:spacing w:after="0" w:line="278" w:lineRule="auto"/>
        <w:rPr>
          <w:sz w:val="20"/>
          <w:szCs w:val="20"/>
          <w:color w:val="auto"/>
        </w:rPr>
      </w:pPr>
      <w:r>
        <w:rPr>
          <w:rFonts w:ascii="Times New Roman" w:cs="Times New Roman" w:eastAsia="Times New Roman" w:hAnsi="Times New Roman"/>
          <w:sz w:val="14"/>
          <w:szCs w:val="14"/>
          <w:color w:val="auto"/>
        </w:rPr>
        <w:t>Except as provided above in connection with a Change of Control, the series L preferred stock is not convertible into or exchangeable for any other securities or property.</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transfer agent and registrar for the series L preferred stock is Equiniti Trust Company, LLC.</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3"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73"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The company may, at its option, elect to offer depositary shares rather than full shares of preferred stock. Each depositary share will represent ownership of and entitlement to all rights and preferences of a fraction of a share of preferred stock of a specified series (including dividend, voting, redemption and liquidation rights). The applicable fraction will be specified in a prospectus supplement. The shares of preferred stock represented by the depositary shares will be deposited with a depositary named in the applicable prospectus supplement, under a deposit agreement, among the company, the depositary and the holders of the certificates evidencing depositary shares, or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w:t>
      </w:r>
    </w:p>
    <w:p>
      <w:pPr>
        <w:spacing w:after="0" w:line="144" w:lineRule="exact"/>
        <w:rPr>
          <w:sz w:val="20"/>
          <w:szCs w:val="20"/>
          <w:color w:val="auto"/>
        </w:rPr>
      </w:pPr>
    </w:p>
    <w:p>
      <w:pPr>
        <w:ind w:left="1400" w:right="399"/>
        <w:spacing w:after="0" w:line="257" w:lineRule="auto"/>
        <w:rPr>
          <w:sz w:val="20"/>
          <w:szCs w:val="20"/>
          <w:color w:val="auto"/>
        </w:rPr>
      </w:pPr>
      <w:r>
        <w:rPr>
          <w:rFonts w:ascii="Times New Roman" w:cs="Times New Roman" w:eastAsia="Times New Roman" w:hAnsi="Times New Roman"/>
          <w:sz w:val="14"/>
          <w:szCs w:val="14"/>
          <w:color w:val="auto"/>
        </w:rPr>
        <w:t>The summary of the terms of the depositary shares contained in this prospectus shall apply unless otherwise specified on a supplement to this prospectus. This summary, as modified by any supplement to this prospectus, does not purport to be complete and is subject to, and qualified in its entirety by, the provisions of the deposit agreement, the company’s charter and the form of articles supplementary for the applicable series of preferred stock.</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0" w:lineRule="exact"/>
        <w:rPr>
          <w:sz w:val="20"/>
          <w:szCs w:val="20"/>
          <w:color w:val="auto"/>
        </w:rPr>
      </w:pPr>
    </w:p>
    <w:p>
      <w:pPr>
        <w:ind w:left="1400" w:right="439"/>
        <w:spacing w:after="0" w:line="253" w:lineRule="auto"/>
        <w:rPr>
          <w:sz w:val="20"/>
          <w:szCs w:val="20"/>
          <w:color w:val="auto"/>
        </w:rPr>
      </w:pPr>
      <w:r>
        <w:rPr>
          <w:rFonts w:ascii="Times New Roman" w:cs="Times New Roman" w:eastAsia="Times New Roman" w:hAnsi="Times New Roman"/>
          <w:sz w:val="14"/>
          <w:szCs w:val="14"/>
          <w:color w:val="auto"/>
        </w:rPr>
        <w:t>The depositary will distribute all cash dividends or other cash distributions received in respect of the series of preferred stock represented by the depositary shares to the record holders of depositary receipts in proportion to the number of depositary shares owned by such holders on the relevant record date, which will be the same date as the record date fixed by the company for the applicable series of preferred stock.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145" w:lineRule="exact"/>
        <w:rPr>
          <w:sz w:val="20"/>
          <w:szCs w:val="20"/>
          <w:color w:val="auto"/>
        </w:rPr>
      </w:pPr>
    </w:p>
    <w:p>
      <w:pPr>
        <w:ind w:left="1400" w:right="359"/>
        <w:spacing w:after="0" w:line="279" w:lineRule="auto"/>
        <w:rPr>
          <w:sz w:val="20"/>
          <w:szCs w:val="20"/>
          <w:color w:val="auto"/>
        </w:rPr>
      </w:pPr>
      <w:r>
        <w:rPr>
          <w:rFonts w:ascii="Times New Roman" w:cs="Times New Roman" w:eastAsia="Times New Roman" w:hAnsi="Times New Roman"/>
          <w:sz w:val="13"/>
          <w:szCs w:val="13"/>
          <w:color w:val="auto"/>
        </w:rPr>
        <w:t>In the event of a distribution other than in cash,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the company) that it is not feasible to make such distribution, in which case the depositary may (with the company’s approval) adopt any other method for such distribution as it deems equitable and appropriate, including the sale of such property (at such place or places and upon such terms as it may deem equitable and appropriate) and distribution of the net proceeds from such sale to such holders.</w:t>
      </w:r>
    </w:p>
    <w:p>
      <w:pPr>
        <w:spacing w:after="0" w:line="20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0" w:lineRule="exact"/>
        <w:rPr>
          <w:sz w:val="20"/>
          <w:szCs w:val="20"/>
          <w:color w:val="auto"/>
        </w:rPr>
      </w:pPr>
    </w:p>
    <w:p>
      <w:pPr>
        <w:ind w:left="1400" w:right="379"/>
        <w:spacing w:after="0" w:line="262" w:lineRule="auto"/>
        <w:rPr>
          <w:sz w:val="20"/>
          <w:szCs w:val="20"/>
          <w:color w:val="auto"/>
        </w:rPr>
      </w:pPr>
      <w:r>
        <w:rPr>
          <w:rFonts w:ascii="Times New Roman" w:cs="Times New Roman" w:eastAsia="Times New Roman" w:hAnsi="Times New Roman"/>
          <w:sz w:val="14"/>
          <w:szCs w:val="14"/>
          <w:color w:val="auto"/>
        </w:rPr>
        <w:t>In the event of the liquidation, dissolution or winding up of the affairs of the company, whether voluntary or involuntary, the holders of each depositary share will be entitled to the fraction of the liquidation preference accorded each share of the applicable series of preferred stock as set forth in the applicable prospectus supplement.</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0"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If the series of preferred stock represented by the applicable series of depositary shares is redeemable, such depositary shares will be redeemed from the proceeds received by the depositary resulting from the redemption, in whole or in part, of preferred stock held by the depositary. Whenever the company redeems any preferred stock held by the depositary, the depositary will redeem as of the same redemption date the number of depositary shares representing the preferred stock so redeemed. The depositary will mail the notice of redemption promptly upon receipt of such notice from the company and not less than 30 nor more than 60 days prior to the date fixed for redemption of the preferred stock and the depositary shares to the record holders of the depositary receipts.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90"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Promptly upon receipt of notice of any meeting at which the holders of the series of preferred stock represented by the applicable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shares of preferred stock represented by such record holder’s depositary shares. The depositary will endeavor, insofar as practicable, to vote such preferred stock represented by such depositary shares in accordance with such instructions, and the company will agree to take all action which may be deemed necessary by the depositary in order to enable the depositary to do so. The depositary will abstain from voting any of the preferred stock to the extent that it does not receive specific instructions from the holders of depositary receipts.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Withdrawal of Preferred Stock</w:t>
      </w:r>
    </w:p>
    <w:p>
      <w:pPr>
        <w:spacing w:after="0" w:line="90"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Upon surrender of depositary receipts at the principal office of the depositary and payment of any unpaid amount due the depositary, and subject to the terms of the deposit agreement, the owner of the depositary shares evidenced thereby is entitled to delivery of the number of whole shares of preferred stock and all money and other property, if any, represented by such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Holders of preferred stock thus withdrawn will not thereafter be entitled to deposit such shares under the deposit agreement or to receive depositary receipts evidencing depositary shares therefor.</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Amendment and Termination of Deposit Agreement</w:t>
      </w:r>
    </w:p>
    <w:p>
      <w:pPr>
        <w:spacing w:after="0" w:line="90" w:lineRule="exact"/>
        <w:rPr>
          <w:sz w:val="20"/>
          <w:szCs w:val="20"/>
          <w:color w:val="auto"/>
        </w:rPr>
      </w:pPr>
    </w:p>
    <w:p>
      <w:pPr>
        <w:ind w:left="1400" w:right="359"/>
        <w:spacing w:after="0" w:line="253" w:lineRule="auto"/>
        <w:rPr>
          <w:sz w:val="20"/>
          <w:szCs w:val="20"/>
          <w:color w:val="auto"/>
        </w:rPr>
      </w:pPr>
      <w:r>
        <w:rPr>
          <w:rFonts w:ascii="Times New Roman" w:cs="Times New Roman" w:eastAsia="Times New Roman" w:hAnsi="Times New Roman"/>
          <w:sz w:val="14"/>
          <w:szCs w:val="14"/>
          <w:color w:val="auto"/>
        </w:rPr>
        <w:t>The form of depositary receipt evidencing the depositary shares and any provision of the deposit agreement may at any time and from time to time be amended by agreement between the company and the depositary. However, any amendment which materially and adversely alters the rights of the holders (other than any change in fees) of depositary shares will not be effective unless such amendment has been approved by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to the holder the preferred stock and all money and other property, if any, represented thereby, except in order to comply with mandatory provisions of applicable law.</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deposit agreement will be permitted to be terminated by the company upon not less than 30 days prior written notice to the applicable depositary if</w:t>
      </w:r>
    </w:p>
    <w:p>
      <w:pPr>
        <w:spacing w:after="0" w:line="20" w:lineRule="exact"/>
        <w:rPr>
          <w:sz w:val="20"/>
          <w:szCs w:val="20"/>
          <w:color w:val="auto"/>
        </w:rPr>
      </w:pPr>
    </w:p>
    <w:p>
      <w:pPr>
        <w:ind w:left="1400" w:right="279" w:firstLine="6"/>
        <w:spacing w:after="0" w:line="248" w:lineRule="auto"/>
        <w:tabs>
          <w:tab w:leader="none" w:pos="156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termination is necessary to preserve the company’s status as a REIT or (ii) a majority of each series of preferred stock affected by such termination consents to such termination, whereupon such depositary will be required to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such depositary with respect to such depositary receipts. The company will agree that if the deposit agreement is terminated to preserve the company’s status as a REIT, then it will use its best efforts to list the preferred stock issued upon surrender of the related depositary shares on a national securities exchange. In addition, the deposit agreement will automatically terminate if (i) all outstanding depositary shares thereunder shall have been redeemed, (ii) there shall have been a final distribution in respect of the related preferred stock in connection with any liquidation, dissolution or winding-up of the company and such distribution shall have been distributed to the holders of depositary receipts evidencing the depositary shares representing such preferred stock or (iii) each share of the related preferred stock shall have been converted into stock of the company not so represented by depositary shares.</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3"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Charges of Depositary</w:t>
      </w:r>
    </w:p>
    <w:p>
      <w:pPr>
        <w:spacing w:after="0" w:line="90" w:lineRule="exact"/>
        <w:rPr>
          <w:sz w:val="20"/>
          <w:szCs w:val="20"/>
          <w:color w:val="auto"/>
        </w:rPr>
      </w:pPr>
    </w:p>
    <w:p>
      <w:pPr>
        <w:ind w:left="1400" w:right="279"/>
        <w:spacing w:after="0" w:line="273" w:lineRule="auto"/>
        <w:rPr>
          <w:sz w:val="20"/>
          <w:szCs w:val="20"/>
          <w:color w:val="auto"/>
        </w:rPr>
      </w:pPr>
      <w:r>
        <w:rPr>
          <w:rFonts w:ascii="Times New Roman" w:cs="Times New Roman" w:eastAsia="Times New Roman" w:hAnsi="Times New Roman"/>
          <w:sz w:val="13"/>
          <w:szCs w:val="13"/>
          <w:color w:val="auto"/>
        </w:rPr>
        <w:t>The company will pay all transfer and other taxes and governmental charges arising solely from the existence of the depositary arrangements. The company will pay charges of the depositary in connection with the initial deposit of the preferred stock and initial issuance of the depositary shares, and redemption of the preferred stock and all withdrawals of preferred stock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such depositary receipt if such charges are not paid. The applicable prospectus supplement will include information with respect to fees and charges, if any, in connection with the deposit or substitution of the underlying securities, the receipt and distribution of dividends, the sale or exercise of rights, the withdrawal of the underlying security, and the transferring, splitting or grouping of receipts. The applicable prospectus supplement will also include information with respect to the right to collect the fees and charges, if any, against dividends received and deposited securities.</w:t>
      </w:r>
    </w:p>
    <w:p>
      <w:pPr>
        <w:spacing w:after="0" w:line="2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Miscellaneous</w:t>
      </w:r>
    </w:p>
    <w:p>
      <w:pPr>
        <w:spacing w:after="0" w:line="90"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The depositary will forward to the holders of depositary receipts all notices, reports and proxy soliciting material from the company which are delivered to the depositary and which the company is required to furnish to the holders of the preferred stock. In addition, the depositary will make available for inspection by holders of depositary receipts at the principal office of the depositary, and at such other places as it may from time to time deem advisable, any notices, reports and proxy soliciting material received from the company which are received by the depositary as the holder of preferred stock. The applicable prospectus supplement will include information about the rights, if any, of holders of receipts to inspect the transfer books of the depositary and the list of holders of receipts.</w:t>
      </w:r>
    </w:p>
    <w:p>
      <w:pPr>
        <w:spacing w:after="0" w:line="145" w:lineRule="exact"/>
        <w:rPr>
          <w:sz w:val="20"/>
          <w:szCs w:val="20"/>
          <w:color w:val="auto"/>
        </w:rPr>
      </w:pPr>
    </w:p>
    <w:p>
      <w:pPr>
        <w:ind w:left="1400" w:right="319"/>
        <w:spacing w:after="0" w:line="275" w:lineRule="auto"/>
        <w:rPr>
          <w:sz w:val="20"/>
          <w:szCs w:val="20"/>
          <w:color w:val="auto"/>
        </w:rPr>
      </w:pPr>
      <w:r>
        <w:rPr>
          <w:rFonts w:ascii="Times New Roman" w:cs="Times New Roman" w:eastAsia="Times New Roman" w:hAnsi="Times New Roman"/>
          <w:sz w:val="13"/>
          <w:szCs w:val="13"/>
          <w:color w:val="auto"/>
        </w:rPr>
        <w:t>Neither the depositary nor the company assumes any obligation or will be subject to any liability under the deposit agreement to holders of depositary receipts other than for its negligence or willful misconduct. Neither the depositary nor the company will be liable if it is prevented or delayed by law or any circumstance beyond its control in performing its obligations under the deposit agreement. The obligations of the company and the depositary under the deposit agreement will be limited to performance in good faith of their duties thereunder, and they will not be obligated to prosecute or defend any legal proceeding in respect of any depositary shares or preferred stock unless satisfactory indemnity is furnished. The company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w:t>
      </w:r>
    </w:p>
    <w:p>
      <w:pPr>
        <w:spacing w:after="0" w:line="131" w:lineRule="exact"/>
        <w:rPr>
          <w:sz w:val="20"/>
          <w:szCs w:val="20"/>
          <w:color w:val="auto"/>
        </w:rPr>
      </w:pPr>
    </w:p>
    <w:p>
      <w:pPr>
        <w:ind w:left="1400" w:right="539"/>
        <w:spacing w:after="0" w:line="278" w:lineRule="auto"/>
        <w:rPr>
          <w:sz w:val="20"/>
          <w:szCs w:val="20"/>
          <w:color w:val="auto"/>
        </w:rPr>
      </w:pPr>
      <w:r>
        <w:rPr>
          <w:rFonts w:ascii="Times New Roman" w:cs="Times New Roman" w:eastAsia="Times New Roman" w:hAnsi="Times New Roman"/>
          <w:sz w:val="14"/>
          <w:szCs w:val="14"/>
          <w:color w:val="auto"/>
        </w:rPr>
        <w:t>In the event the depositary shall receive conflicting claims, requests or instructions from any holders of depositary receipts, on the one hand, and the company, on the other hand, the depositary shall be entitled to act on such claims, requests or instructions received from the company.</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Resignation and Removal of Depositary</w:t>
      </w:r>
    </w:p>
    <w:p>
      <w:pPr>
        <w:spacing w:after="0" w:line="90" w:lineRule="exact"/>
        <w:rPr>
          <w:sz w:val="20"/>
          <w:szCs w:val="20"/>
          <w:color w:val="auto"/>
        </w:rPr>
      </w:pPr>
    </w:p>
    <w:p>
      <w:pPr>
        <w:ind w:left="1400" w:right="459"/>
        <w:spacing w:after="0" w:line="257" w:lineRule="auto"/>
        <w:rPr>
          <w:sz w:val="20"/>
          <w:szCs w:val="20"/>
          <w:color w:val="auto"/>
        </w:rPr>
      </w:pPr>
      <w:r>
        <w:rPr>
          <w:rFonts w:ascii="Times New Roman" w:cs="Times New Roman" w:eastAsia="Times New Roman" w:hAnsi="Times New Roman"/>
          <w:sz w:val="14"/>
          <w:szCs w:val="14"/>
          <w:color w:val="auto"/>
        </w:rPr>
        <w:t>The depositary may resign at any time by delivering to us notice of its election to do so, and the company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and having a combined capital and surplus of at least $150,000,000.</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2"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3"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The company may issue warrants for the purchase of the common stock, preferred stock or depositary shares of Digital Realty Trust, Inc., and may issue warrants independently or together with common stock, preferred stock, depositary shares or debt securities or attached to or separate from such securities. The company will issue each series of warrants under a separate warrant agreement, and may appoint a bank or trust company as warrant agent, all as specified in the applicable prospectus supplement. Any warrant agent will act solely as the company’s agent in connection with the warrants and will not act for or on behalf of warrant holders.</w:t>
      </w:r>
    </w:p>
    <w:p>
      <w:pPr>
        <w:spacing w:after="0" w:line="142" w:lineRule="exact"/>
        <w:rPr>
          <w:sz w:val="20"/>
          <w:szCs w:val="20"/>
          <w:color w:val="auto"/>
        </w:rPr>
      </w:pPr>
    </w:p>
    <w:p>
      <w:pPr>
        <w:ind w:left="1400" w:right="419"/>
        <w:spacing w:after="0" w:line="278" w:lineRule="auto"/>
        <w:rPr>
          <w:sz w:val="20"/>
          <w:szCs w:val="20"/>
          <w:color w:val="auto"/>
        </w:rPr>
      </w:pPr>
      <w:r>
        <w:rPr>
          <w:rFonts w:ascii="Times New Roman" w:cs="Times New Roman" w:eastAsia="Times New Roman" w:hAnsi="Times New Roman"/>
          <w:sz w:val="14"/>
          <w:szCs w:val="14"/>
          <w:color w:val="auto"/>
        </w:rPr>
        <w:t>The following sets forth certain general terms and provisions of the warrants that may be offered under this registration statement. Further terms of the warrants and applicable warrant agreements will be set forth in the applicable prospectus supplement.</w:t>
      </w:r>
    </w:p>
    <w:p>
      <w:pPr>
        <w:spacing w:after="0" w:line="126" w:lineRule="exact"/>
        <w:rPr>
          <w:sz w:val="20"/>
          <w:szCs w:val="20"/>
          <w:color w:val="auto"/>
        </w:rPr>
      </w:pPr>
    </w:p>
    <w:p>
      <w:pPr>
        <w:ind w:left="1400" w:right="499"/>
        <w:spacing w:after="0" w:line="278"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of the warrants in respect of which this prospectus is being delivered, including, where applicable, the following:</w:t>
      </w:r>
    </w:p>
    <w:p>
      <w:pPr>
        <w:spacing w:after="0" w:line="53" w:lineRule="exact"/>
        <w:rPr>
          <w:sz w:val="20"/>
          <w:szCs w:val="20"/>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 outstanding;</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and number of securities purchasable upon exercise of such warrants;</w:t>
      </w:r>
    </w:p>
    <w:p>
      <w:pPr>
        <w:spacing w:after="0" w:line="98" w:lineRule="exact"/>
        <w:rPr>
          <w:rFonts w:ascii="Times New Roman" w:cs="Times New Roman" w:eastAsia="Times New Roman" w:hAnsi="Times New Roman"/>
          <w:sz w:val="14"/>
          <w:szCs w:val="14"/>
          <w:color w:val="auto"/>
        </w:rPr>
      </w:pPr>
    </w:p>
    <w:p>
      <w:pPr>
        <w:ind w:left="2160" w:right="399" w:hanging="339"/>
        <w:spacing w:after="0" w:line="278"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other securities, if any, with which such warrants are issued and the number of such warrants issued with each such offered security;</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such warrants and the related securities will be separately transferable;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each security purchasable upon exercise of such warrants may be purchased;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for changes to or adjustments in the exercise price;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shall commence and the date on which such right shall expire;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or maximum amount of such warrants that may be exercised at any one time;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anti-dilution protection;</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material U.S. federal income tax considerations; and</w:t>
      </w:r>
    </w:p>
    <w:p>
      <w:pPr>
        <w:spacing w:after="0" w:line="98" w:lineRule="exact"/>
        <w:rPr>
          <w:rFonts w:ascii="Times New Roman" w:cs="Times New Roman" w:eastAsia="Times New Roman" w:hAnsi="Times New Roman"/>
          <w:sz w:val="14"/>
          <w:szCs w:val="14"/>
          <w:color w:val="auto"/>
        </w:rPr>
      </w:pPr>
    </w:p>
    <w:p>
      <w:pPr>
        <w:ind w:left="2160" w:right="359" w:hanging="339"/>
        <w:spacing w:after="0" w:line="278"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transferability, exercise and exchange of such warrants.</w:t>
      </w:r>
    </w:p>
    <w:p>
      <w:pPr>
        <w:spacing w:after="0" w:line="126" w:lineRule="exact"/>
        <w:rPr>
          <w:sz w:val="20"/>
          <w:szCs w:val="20"/>
          <w:color w:val="auto"/>
        </w:rPr>
      </w:pPr>
    </w:p>
    <w:p>
      <w:pPr>
        <w:ind w:left="1400" w:right="479"/>
        <w:spacing w:after="0" w:line="283" w:lineRule="auto"/>
        <w:rPr>
          <w:sz w:val="20"/>
          <w:szCs w:val="20"/>
          <w:color w:val="auto"/>
        </w:rPr>
      </w:pPr>
      <w:r>
        <w:rPr>
          <w:rFonts w:ascii="Times New Roman" w:cs="Times New Roman" w:eastAsia="Times New Roman" w:hAnsi="Times New Roman"/>
          <w:sz w:val="13"/>
          <w:szCs w:val="13"/>
          <w:color w:val="auto"/>
        </w:rPr>
        <w:t>Warrant certificates will be exchangeable for new warrant certificates of different denominations and warrants may be exercised at the corporate trust office of the warrant agent or any other office indicated in the applicable prospectus supplement. Prior to the exercise of their warrants, holders of warrants will not have any of the rights of holders of the securities purchasable upon such exercise or to any dividend payments or voting rights, as applicable, as to which holders of the shares of the common stock or preferred stock purchasable upon such exercise may be entitled.</w:t>
      </w:r>
    </w:p>
    <w:p>
      <w:pPr>
        <w:spacing w:after="0" w:line="126"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Each warrant will entitle the holder to purchase for cash such number of shares of common stock, shares of preferred stock, or depository shares, at such exercise price as shall, in each case, be set forth, or be determinable as set forth, in the applicable prospectus supplement relating to the warrants offered thereby. Unless otherwise specified in the applicable prospectus supplement, warrants may be exercised at any time up to 5:00 p.m. New York City time on the expiration date set forth in applicable prospectus supplement. After 5:00 p.m. New York City time on the expiration date, unexercised warrants will be void.</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419"/>
        <w:spacing w:after="0" w:line="257" w:lineRule="auto"/>
        <w:rPr>
          <w:sz w:val="20"/>
          <w:szCs w:val="20"/>
          <w:color w:val="auto"/>
        </w:rPr>
      </w:pPr>
      <w:r>
        <w:rPr>
          <w:rFonts w:ascii="Times New Roman" w:cs="Times New Roman" w:eastAsia="Times New Roman" w:hAnsi="Times New Roman"/>
          <w:sz w:val="14"/>
          <w:szCs w:val="14"/>
          <w:color w:val="auto"/>
        </w:rPr>
        <w:t>Warrants may be exercised as set forth in the applicable prospectus supplement relating to the warrants. Upon receipt of payment and the warrant certificate properly completed and duly executed at the corporate trust office of the warrant agent or any other office indicated in the applicable prospectus supplement, the company will, as soon as practicable, forward the securities purchasable upon such exercise. If less than all of the warrants are presented by such warrant certificate of exercise, a new warrant certificate will be issued for the remaining amount of warrants.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3"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 AND RELATED GUARANTEES</w:t>
      </w:r>
    </w:p>
    <w:p>
      <w:pPr>
        <w:spacing w:after="0" w:line="173" w:lineRule="exact"/>
        <w:rPr>
          <w:sz w:val="20"/>
          <w:szCs w:val="20"/>
          <w:color w:val="auto"/>
        </w:rPr>
      </w:pPr>
    </w:p>
    <w:p>
      <w:pPr>
        <w:ind w:left="1400" w:right="339"/>
        <w:spacing w:after="0" w:line="253" w:lineRule="auto"/>
        <w:rPr>
          <w:sz w:val="20"/>
          <w:szCs w:val="20"/>
          <w:color w:val="auto"/>
        </w:rPr>
      </w:pPr>
      <w:r>
        <w:rPr>
          <w:rFonts w:ascii="Times New Roman" w:cs="Times New Roman" w:eastAsia="Times New Roman" w:hAnsi="Times New Roman"/>
          <w:sz w:val="14"/>
          <w:szCs w:val="14"/>
          <w:color w:val="auto"/>
        </w:rPr>
        <w:t>The following is a description of the general terms and provisions of our operating partnership’s debt securities and related guarantees by Digital Realty Trust, Inc., if applicable. When our operating partnership offers to sell a particular series of debt securities, we will describe the specific terms of the series in a supplement to this prospectus, including the terms of any related guarantees by Digital Realty Trust, Inc. and the terms, if any, on which a series of debt securities may be convertible into or exchangeable for other securities. We will also indicate in the prospectus supplement whether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45" w:lineRule="exact"/>
        <w:rPr>
          <w:sz w:val="20"/>
          <w:szCs w:val="20"/>
          <w:color w:val="auto"/>
        </w:rPr>
      </w:pPr>
    </w:p>
    <w:p>
      <w:pPr>
        <w:ind w:left="1400" w:right="279"/>
        <w:spacing w:after="0" w:line="257" w:lineRule="auto"/>
        <w:rPr>
          <w:sz w:val="20"/>
          <w:szCs w:val="20"/>
          <w:color w:val="auto"/>
        </w:rPr>
      </w:pPr>
      <w:r>
        <w:rPr>
          <w:rFonts w:ascii="Times New Roman" w:cs="Times New Roman" w:eastAsia="Times New Roman" w:hAnsi="Times New Roman"/>
          <w:sz w:val="14"/>
          <w:szCs w:val="14"/>
          <w:color w:val="auto"/>
        </w:rPr>
        <w:t>The debt securities may be offered in the form of either senior debt securities or subordinated debt securities. Unless otherwise specified in a prospectus supplement, the debt securities will be the direct, unsecured obligations of Digital Realty Trust, L.P., and will rank equally in right of payment with all of Digital Realty Trust, L.P.’s other unsecured and unsubordinated indebtedness. The debt securities that are sold may be exchangeable for and/or convertible into common stock or any of the other securities that may be sold under this prospectus.</w:t>
      </w:r>
    </w:p>
    <w:p>
      <w:pPr>
        <w:spacing w:after="0" w:line="142" w:lineRule="exact"/>
        <w:rPr>
          <w:sz w:val="20"/>
          <w:szCs w:val="20"/>
          <w:color w:val="auto"/>
        </w:rPr>
      </w:pPr>
    </w:p>
    <w:p>
      <w:pPr>
        <w:ind w:left="1400" w:right="419"/>
        <w:spacing w:after="0" w:line="255" w:lineRule="auto"/>
        <w:rPr>
          <w:sz w:val="20"/>
          <w:szCs w:val="20"/>
          <w:color w:val="auto"/>
        </w:rPr>
      </w:pPr>
      <w:r>
        <w:rPr>
          <w:rFonts w:ascii="Times New Roman" w:cs="Times New Roman" w:eastAsia="Times New Roman" w:hAnsi="Times New Roman"/>
          <w:sz w:val="14"/>
          <w:szCs w:val="14"/>
          <w:color w:val="auto"/>
        </w:rPr>
        <w:t>Unless otherwise specified in a prospectus supplement, the debt securities will be issued under an indenture between us and Computershare Trust Company, N.A., successor to Wells Fargo Bank, National Association, as trustee, or the trustee. We have summarized select portions of the indenture below. The summary is not complete. We have filed the indenture as an exhibit to the registration statement of which this prospectus is a part, and you should read the indenture and our debt securities carefully for provisions that may be important to you. Capitalized terms used in the summary and not defined in this prospectus have the meaning specified in the indenture.</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1400" w:right="279"/>
        <w:spacing w:after="0" w:line="262"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the company’s board of directors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spacing w:after="0" w:line="138"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Unless otherwise specified in a prospectus supplement, the indenture will designate Computershare Trust Company, N.A. as the trustee for the indenture with respect to one or more series of our operating partnership’s debt securities and related guarantees of our company, if applicable. Computershare Trust Company, N.A., or any other specified trustee, may resign or be removed with respect to one or more series of our debt securities, and a successor trustee may be appointed to act with respect to that series.</w:t>
      </w:r>
    </w:p>
    <w:p>
      <w:pPr>
        <w:spacing w:after="0" w:line="1" w:lineRule="exact"/>
        <w:rPr>
          <w:sz w:val="20"/>
          <w:szCs w:val="20"/>
          <w:color w:val="auto"/>
        </w:rPr>
      </w:pPr>
    </w:p>
    <w:p>
      <w:pPr>
        <w:ind w:left="1400" w:right="319"/>
        <w:spacing w:after="0" w:line="273" w:lineRule="auto"/>
        <w:rPr>
          <w:sz w:val="20"/>
          <w:szCs w:val="20"/>
          <w:color w:val="auto"/>
        </w:rPr>
      </w:pPr>
      <w:r>
        <w:rPr>
          <w:rFonts w:ascii="Times New Roman" w:cs="Times New Roman" w:eastAsia="Times New Roman" w:hAnsi="Times New Roman"/>
          <w:sz w:val="13"/>
          <w:szCs w:val="13"/>
          <w:color w:val="auto"/>
        </w:rPr>
        <w:t>Unless otherwise specified in a supplement to this prospectus, the debt securities will be our operating partnership’s direct, unsecured obligations and will rank equally with all of its other unsecured and unsubordinated indebtedness, and may be fully and unconditionally guaranteed by the company. We can issue an unlimited amount of our operating partnership’s debt securities under the indenture that may be in one or more series with the same or various maturities, at par, at a premium, or at a discount. We will set forth in a prospectus supplement, including any pricing supplement, relating to any series of debt securities being offered, the aggregate principal amount and the following terms of such series of debt securities, to the extent applicable:</w:t>
      </w:r>
    </w:p>
    <w:p>
      <w:pPr>
        <w:spacing w:after="0" w:line="59" w:lineRule="exact"/>
        <w:rPr>
          <w:sz w:val="20"/>
          <w:szCs w:val="20"/>
          <w:color w:val="auto"/>
        </w:rPr>
      </w:pPr>
    </w:p>
    <w:p>
      <w:pPr>
        <w:ind w:left="2160" w:hanging="339"/>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(which shall distinguish the debt securities of that particular series from the debt securities of any other series);</w:t>
      </w:r>
    </w:p>
    <w:p>
      <w:pPr>
        <w:spacing w:after="0" w:line="98" w:lineRule="exact"/>
        <w:rPr>
          <w:rFonts w:ascii="Times New Roman" w:cs="Times New Roman" w:eastAsia="Times New Roman" w:hAnsi="Times New Roman"/>
          <w:sz w:val="14"/>
          <w:szCs w:val="14"/>
          <w:color w:val="auto"/>
        </w:rPr>
      </w:pPr>
    </w:p>
    <w:p>
      <w:pPr>
        <w:ind w:left="5580" w:right="619" w:hanging="3759"/>
        <w:spacing w:after="0" w:line="448" w:lineRule="auto"/>
        <w:tabs>
          <w:tab w:leader="none" w:pos="215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thereof) at which the debt securities of the series will be issued; 26</w:t>
      </w:r>
    </w:p>
    <w:p>
      <w:pPr>
        <w:sectPr>
          <w:pgSz w:w="11900" w:h="16838" w:orient="portrait"/>
          <w:cols w:equalWidth="0" w:num="1">
            <w:col w:w="10159"/>
          </w:cols>
          <w:pgMar w:left="300" w:top="382"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jc w:val="both"/>
        <w:ind w:left="2160" w:right="299" w:hanging="339"/>
        <w:spacing w:after="0" w:line="262"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 of the series that may be authenticated and delivered under the indenture (except for debt securities authenticated and delivered upon registration of transfer of, or in exchange for, or in lieu of, other debt securities of the series pursuant to the indenture);</w:t>
      </w:r>
    </w:p>
    <w:p>
      <w:pPr>
        <w:spacing w:after="0" w:line="64"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of the series is payable;</w:t>
      </w:r>
    </w:p>
    <w:p>
      <w:pPr>
        <w:spacing w:after="0" w:line="98" w:lineRule="exact"/>
        <w:rPr>
          <w:rFonts w:ascii="Times New Roman" w:cs="Times New Roman" w:eastAsia="Times New Roman" w:hAnsi="Times New Roman"/>
          <w:sz w:val="14"/>
          <w:szCs w:val="14"/>
          <w:color w:val="auto"/>
        </w:rPr>
      </w:pPr>
    </w:p>
    <w:p>
      <w:pPr>
        <w:ind w:left="2160" w:right="439" w:hanging="339"/>
        <w:spacing w:after="0" w:line="257"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if applicable, the method used to determine such rate or rates (including, but not limited to, any commodity, commodity index, stock exchange index or financial index) at which the debt securities of the series shall bear interest, if any, the date or dates from which such interest, if any, shall accrue, the date or dates on which interest, if any, shall commence and be payable and any regular record date for the interest payable on any interest payment date;</w:t>
      </w:r>
    </w:p>
    <w:p>
      <w:pPr>
        <w:spacing w:after="0" w:line="68" w:lineRule="exact"/>
        <w:rPr>
          <w:rFonts w:ascii="Times New Roman" w:cs="Times New Roman" w:eastAsia="Times New Roman" w:hAnsi="Times New Roman"/>
          <w:sz w:val="14"/>
          <w:szCs w:val="14"/>
          <w:color w:val="auto"/>
        </w:rPr>
      </w:pPr>
    </w:p>
    <w:p>
      <w:pPr>
        <w:ind w:left="2160" w:right="339" w:hanging="339"/>
        <w:spacing w:after="0" w:line="292" w:lineRule="auto"/>
        <w:tabs>
          <w:tab w:leader="none" w:pos="21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principal of, and premium, if any, and interest, if any, on the debt securities shall be payable and the method of such payment, if by wire transfer, mail or other means, and the place or places where debt securities may be surrendered for registration of transfer or exchange and where notices or demands to or upon us relating to debt securities and the indenture may be served;</w:t>
      </w:r>
    </w:p>
    <w:p>
      <w:pPr>
        <w:spacing w:after="0" w:line="46" w:lineRule="exact"/>
        <w:rPr>
          <w:rFonts w:ascii="Times New Roman" w:cs="Times New Roman" w:eastAsia="Times New Roman" w:hAnsi="Times New Roman"/>
          <w:sz w:val="13"/>
          <w:szCs w:val="13"/>
          <w:color w:val="auto"/>
        </w:rPr>
      </w:pPr>
    </w:p>
    <w:p>
      <w:pPr>
        <w:ind w:left="2160" w:right="419" w:hanging="339"/>
        <w:spacing w:after="0" w:line="278"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period or periods within which, the price or prices at which and the terms and conditions upon which the debt securities of the series may be redeemed, in whole or in part, at our option;</w:t>
      </w:r>
    </w:p>
    <w:p>
      <w:pPr>
        <w:spacing w:after="0" w:line="52" w:lineRule="exact"/>
        <w:rPr>
          <w:rFonts w:ascii="Times New Roman" w:cs="Times New Roman" w:eastAsia="Times New Roman" w:hAnsi="Times New Roman"/>
          <w:sz w:val="14"/>
          <w:szCs w:val="14"/>
          <w:color w:val="auto"/>
        </w:rPr>
      </w:pPr>
    </w:p>
    <w:p>
      <w:pPr>
        <w:ind w:left="2160" w:right="319" w:hanging="339"/>
        <w:spacing w:after="0" w:line="257"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by us to redeem or purchase the debt securities of the series pursuant to any sinking fund or analogous provisions or at the option of a holder thereof and the period or periods within which, the price or prices at which, the currency or currencies in which and the other terms and conditions upon which debt securities of the series shall be redeemed or purchased, in whole or in part, pursuant to such obligation;</w:t>
      </w:r>
    </w:p>
    <w:p>
      <w:pPr>
        <w:spacing w:after="0" w:line="68" w:lineRule="exact"/>
        <w:rPr>
          <w:rFonts w:ascii="Times New Roman" w:cs="Times New Roman" w:eastAsia="Times New Roman" w:hAnsi="Times New Roman"/>
          <w:sz w:val="14"/>
          <w:szCs w:val="14"/>
          <w:color w:val="auto"/>
        </w:rPr>
      </w:pPr>
    </w:p>
    <w:p>
      <w:pPr>
        <w:ind w:left="2160" w:right="519" w:hanging="339"/>
        <w:spacing w:after="0" w:line="278"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if any, on which and the price or prices at which the debt securities of the series will be repurchased by us at the option of the holders thereof and other detailed terms and provisions of such repurchase obligations;</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$1,000 and any integral multiple thereof, the denominations in which the debt securities shall be issuable;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forms of the debt securities of the series and whether the debt securities will be issuable as global securities;</w:t>
      </w:r>
    </w:p>
    <w:p>
      <w:pPr>
        <w:spacing w:after="0" w:line="98" w:lineRule="exact"/>
        <w:rPr>
          <w:rFonts w:ascii="Times New Roman" w:cs="Times New Roman" w:eastAsia="Times New Roman" w:hAnsi="Times New Roman"/>
          <w:sz w:val="14"/>
          <w:szCs w:val="14"/>
          <w:color w:val="auto"/>
        </w:rPr>
      </w:pPr>
    </w:p>
    <w:p>
      <w:pPr>
        <w:ind w:left="2160" w:right="359" w:hanging="339"/>
        <w:spacing w:after="0" w:line="278"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thereof, the portion of the principal amount of the debt securities of the series that shall be payable upon declaration of acceleration of the maturity thereof pursuant to the indenture;</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of the series, which may be in U.S. dollars or any foreign currency;</w:t>
      </w:r>
    </w:p>
    <w:p>
      <w:pPr>
        <w:spacing w:after="0" w:line="98" w:lineRule="exact"/>
        <w:rPr>
          <w:rFonts w:ascii="Times New Roman" w:cs="Times New Roman" w:eastAsia="Times New Roman" w:hAnsi="Times New Roman"/>
          <w:sz w:val="14"/>
          <w:szCs w:val="14"/>
          <w:color w:val="auto"/>
        </w:rPr>
      </w:pPr>
    </w:p>
    <w:p>
      <w:pPr>
        <w:ind w:left="2160" w:right="319" w:hanging="339"/>
        <w:spacing w:after="0" w:line="278"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the principal of, and premium, if any, and interest, if any, on, the debt securities of the series will be made;</w:t>
      </w:r>
    </w:p>
    <w:p>
      <w:pPr>
        <w:spacing w:after="0" w:line="52" w:lineRule="exact"/>
        <w:rPr>
          <w:rFonts w:ascii="Times New Roman" w:cs="Times New Roman" w:eastAsia="Times New Roman" w:hAnsi="Times New Roman"/>
          <w:sz w:val="14"/>
          <w:szCs w:val="14"/>
          <w:color w:val="auto"/>
        </w:rPr>
      </w:pPr>
    </w:p>
    <w:p>
      <w:pPr>
        <w:ind w:left="2160" w:right="359" w:hanging="339"/>
        <w:spacing w:after="0" w:line="262"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and premium, if any, and interest, if any, on, the debt securities of the series are to be made in one or more currencies or currency units other than that or those in which such debt securities are denominated, the manner in which the exchange rate with respect to such payments will be determined;</w:t>
      </w:r>
    </w:p>
    <w:p>
      <w:pPr>
        <w:spacing w:after="0" w:line="64" w:lineRule="exact"/>
        <w:rPr>
          <w:rFonts w:ascii="Times New Roman" w:cs="Times New Roman" w:eastAsia="Times New Roman" w:hAnsi="Times New Roman"/>
          <w:sz w:val="14"/>
          <w:szCs w:val="14"/>
          <w:color w:val="auto"/>
        </w:rPr>
      </w:pPr>
    </w:p>
    <w:p>
      <w:pPr>
        <w:ind w:left="2160" w:right="359" w:hanging="339"/>
        <w:spacing w:after="0" w:line="262"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if any, on the debt securities of the series will be determined, if such amounts may be determined by reference to an index based on a currency or currencies or by reference to a commodity, commodity index, stock exchange index or financial index;</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3"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39"/>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any security provided for the debt securities of the series or the guarantees, if any, thereof;</w:t>
      </w:r>
    </w:p>
    <w:p>
      <w:pPr>
        <w:spacing w:after="0" w:line="98" w:lineRule="exact"/>
        <w:rPr>
          <w:rFonts w:ascii="Times New Roman" w:cs="Times New Roman" w:eastAsia="Times New Roman" w:hAnsi="Times New Roman"/>
          <w:sz w:val="14"/>
          <w:szCs w:val="14"/>
          <w:color w:val="auto"/>
        </w:rPr>
      </w:pPr>
    </w:p>
    <w:p>
      <w:pPr>
        <w:jc w:val="both"/>
        <w:ind w:left="2160" w:right="279" w:hanging="339"/>
        <w:spacing w:after="0" w:line="318" w:lineRule="auto"/>
        <w:tabs>
          <w:tab w:leader="none" w:pos="21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 to, change in or deletion from the events of default that apply to any debt securities of the series and any change in the right of the trustee or the requisite holders of such debt securities to declare the principal amount thereof due and payable pursuant to the indenture;</w:t>
      </w:r>
    </w:p>
    <w:p>
      <w:pPr>
        <w:spacing w:after="0" w:line="29" w:lineRule="exact"/>
        <w:rPr>
          <w:rFonts w:ascii="Times New Roman" w:cs="Times New Roman" w:eastAsia="Times New Roman" w:hAnsi="Times New Roman"/>
          <w:sz w:val="13"/>
          <w:szCs w:val="13"/>
          <w:color w:val="auto"/>
        </w:rPr>
      </w:pPr>
    </w:p>
    <w:p>
      <w:pPr>
        <w:ind w:left="2160" w:hanging="339"/>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described in this prospectus or in the indenture with respect to the debt securities of the series;</w:t>
      </w:r>
    </w:p>
    <w:p>
      <w:pPr>
        <w:spacing w:after="0" w:line="20" w:lineRule="exact"/>
        <w:rPr>
          <w:rFonts w:ascii="Times New Roman" w:cs="Times New Roman" w:eastAsia="Times New Roman" w:hAnsi="Times New Roman"/>
          <w:sz w:val="14"/>
          <w:szCs w:val="14"/>
          <w:color w:val="auto"/>
        </w:rPr>
      </w:pPr>
    </w:p>
    <w:p>
      <w:pPr>
        <w:ind w:left="2160" w:right="379" w:hanging="339"/>
        <w:spacing w:after="0" w:line="255"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depositaries, interest rate calculation agents, exchange rate calculation agents or other agents, if any, with respect to the debt securities of the series, if other than as described in this prospectus or the indenture;</w:t>
      </w:r>
    </w:p>
    <w:p>
      <w:pPr>
        <w:spacing w:after="0" w:line="68" w:lineRule="exact"/>
        <w:rPr>
          <w:rFonts w:ascii="Times New Roman" w:cs="Times New Roman" w:eastAsia="Times New Roman" w:hAnsi="Times New Roman"/>
          <w:sz w:val="14"/>
          <w:szCs w:val="14"/>
          <w:color w:val="auto"/>
        </w:rPr>
      </w:pPr>
    </w:p>
    <w:p>
      <w:pPr>
        <w:ind w:left="2160" w:right="359" w:hanging="339"/>
        <w:spacing w:after="0" w:line="257"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of any debt securities of the series, including if applicable, the conversion price, the conversion period, the securities or other property into which such debt securities will be convertible, provisions as to whether conversion will be mandatory, at the option of the holders thereof or at our option, the events requiring an adjustment of the conversion price and provisions affecting conversion if such debt securities are redeemed;</w:t>
      </w:r>
    </w:p>
    <w:p>
      <w:pPr>
        <w:spacing w:after="0" w:line="68" w:lineRule="exact"/>
        <w:rPr>
          <w:rFonts w:ascii="Times New Roman" w:cs="Times New Roman" w:eastAsia="Times New Roman" w:hAnsi="Times New Roman"/>
          <w:sz w:val="14"/>
          <w:szCs w:val="14"/>
          <w:color w:val="auto"/>
        </w:rPr>
      </w:pPr>
    </w:p>
    <w:p>
      <w:pPr>
        <w:ind w:left="2160" w:right="439" w:hanging="339"/>
        <w:spacing w:after="0" w:line="278"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will be senior debt securities or subordinated debt securities and, if applicable, the subordination terms thereof;</w:t>
      </w:r>
    </w:p>
    <w:p>
      <w:pPr>
        <w:spacing w:after="0" w:line="52" w:lineRule="exact"/>
        <w:rPr>
          <w:rFonts w:ascii="Times New Roman" w:cs="Times New Roman" w:eastAsia="Times New Roman" w:hAnsi="Times New Roman"/>
          <w:sz w:val="14"/>
          <w:szCs w:val="14"/>
          <w:color w:val="auto"/>
        </w:rPr>
      </w:pPr>
    </w:p>
    <w:p>
      <w:pPr>
        <w:ind w:left="2160" w:right="299" w:hanging="339"/>
        <w:spacing w:after="0" w:line="318" w:lineRule="auto"/>
        <w:tabs>
          <w:tab w:leader="none" w:pos="21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of the series are entitled to the benefits of a guarantee pursuant to the indenture, the terms of such guarantee and whether any such guarantee is made on a senior or subordinated basis and, if applicable, the subordination terms of any such guarantee;</w:t>
      </w:r>
    </w:p>
    <w:p>
      <w:pPr>
        <w:spacing w:after="0" w:line="29" w:lineRule="exact"/>
        <w:rPr>
          <w:rFonts w:ascii="Times New Roman" w:cs="Times New Roman" w:eastAsia="Times New Roman" w:hAnsi="Times New Roman"/>
          <w:sz w:val="13"/>
          <w:szCs w:val="13"/>
          <w:color w:val="auto"/>
        </w:rPr>
      </w:pPr>
    </w:p>
    <w:p>
      <w:pPr>
        <w:ind w:left="2160" w:hanging="339"/>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additional material U.S. federal income tax consequences, if any, applicable to an investment in such debt securities; and</w:t>
      </w:r>
    </w:p>
    <w:p>
      <w:pPr>
        <w:spacing w:after="0" w:line="98" w:lineRule="exact"/>
        <w:rPr>
          <w:rFonts w:ascii="Times New Roman" w:cs="Times New Roman" w:eastAsia="Times New Roman" w:hAnsi="Times New Roman"/>
          <w:sz w:val="14"/>
          <w:szCs w:val="14"/>
          <w:color w:val="auto"/>
        </w:rPr>
      </w:pPr>
    </w:p>
    <w:p>
      <w:pPr>
        <w:ind w:left="2160" w:right="299" w:hanging="339"/>
        <w:spacing w:after="0" w:line="278"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of the series (which terms may supplement, modify or delete any provision of the indenture insofar as it applies to such series) .</w:t>
      </w:r>
    </w:p>
    <w:p>
      <w:pPr>
        <w:spacing w:after="0" w:line="126" w:lineRule="exact"/>
        <w:rPr>
          <w:sz w:val="20"/>
          <w:szCs w:val="20"/>
          <w:color w:val="auto"/>
        </w:rPr>
      </w:pPr>
    </w:p>
    <w:p>
      <w:pPr>
        <w:ind w:left="1400" w:right="439"/>
        <w:spacing w:after="0" w:line="255" w:lineRule="auto"/>
        <w:rPr>
          <w:sz w:val="20"/>
          <w:szCs w:val="20"/>
          <w:color w:val="auto"/>
        </w:rPr>
      </w:pPr>
      <w:r>
        <w:rPr>
          <w:rFonts w:ascii="Times New Roman" w:cs="Times New Roman" w:eastAsia="Times New Roman" w:hAnsi="Times New Roman"/>
          <w:sz w:val="14"/>
          <w:szCs w:val="14"/>
          <w:color w:val="auto"/>
        </w:rPr>
        <w:t>In addition, the indenture does not limit our operating partnership’s ability to issue convertible or subordinated debt securities. Any conversion or subordination provisions of a particular series of debt securities will be set forth in the officer’s certificate or supplemental indenture related to that series of debt securities and will be described in the relevant prospectus supplement. Such terms may include provisions for conversion, either mandatory, at the option of the holder or at our option, in which case the number of shares of common stock, cash or other securities to be received by the holders of debt securities would be calculated as of a time and in the manner stated in the prospectus supplement.</w:t>
      </w:r>
    </w:p>
    <w:p>
      <w:pPr>
        <w:spacing w:after="0" w:line="142" w:lineRule="exact"/>
        <w:rPr>
          <w:sz w:val="20"/>
          <w:szCs w:val="20"/>
          <w:color w:val="auto"/>
        </w:rPr>
      </w:pPr>
    </w:p>
    <w:p>
      <w:pPr>
        <w:ind w:left="1400" w:right="379"/>
        <w:spacing w:after="0" w:line="262" w:lineRule="auto"/>
        <w:rPr>
          <w:sz w:val="20"/>
          <w:szCs w:val="20"/>
          <w:color w:val="auto"/>
        </w:rPr>
      </w:pPr>
      <w:r>
        <w:rPr>
          <w:rFonts w:ascii="Times New Roman" w:cs="Times New Roman" w:eastAsia="Times New Roman" w:hAnsi="Times New Roman"/>
          <w:sz w:val="14"/>
          <w:szCs w:val="14"/>
          <w:color w:val="auto"/>
        </w:rPr>
        <w:t>We may issue debt securities of our operating partnership that provide for an amount less than their stated principal amount to be due and payable upon declaration of acceleration of their maturity pursuant to the terms of the indenture. We will provide you with information on the other special considerations applicable to any such debt securities in the applicable prospectus supplement.</w:t>
      </w:r>
    </w:p>
    <w:p>
      <w:pPr>
        <w:spacing w:after="0" w:line="138" w:lineRule="exact"/>
        <w:rPr>
          <w:sz w:val="20"/>
          <w:szCs w:val="20"/>
          <w:color w:val="auto"/>
        </w:rPr>
      </w:pPr>
    </w:p>
    <w:p>
      <w:pPr>
        <w:ind w:left="1400" w:right="299"/>
        <w:spacing w:after="0" w:line="257" w:lineRule="auto"/>
        <w:rPr>
          <w:sz w:val="20"/>
          <w:szCs w:val="20"/>
          <w:color w:val="auto"/>
        </w:rPr>
      </w:pPr>
      <w:r>
        <w:rPr>
          <w:rFonts w:ascii="Times New Roman" w:cs="Times New Roman" w:eastAsia="Times New Roman" w:hAnsi="Times New Roman"/>
          <w:sz w:val="14"/>
          <w:szCs w:val="14"/>
          <w:color w:val="auto"/>
        </w:rPr>
        <w:t>If we denominate the purchase price of any of our operating partnership’s debt securities in a foreign currency or currencies or a foreign currency unit or units, or if the principal of and premium, if any, and interest, if any,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0" w:lineRule="exact"/>
        <w:rPr>
          <w:sz w:val="20"/>
          <w:szCs w:val="20"/>
          <w:color w:val="auto"/>
        </w:rPr>
      </w:pPr>
    </w:p>
    <w:p>
      <w:pPr>
        <w:ind w:left="1400" w:right="319"/>
        <w:spacing w:after="0" w:line="278"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as depositary, or a nominee (we will refer to any debt security represented by a</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3"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439"/>
        <w:spacing w:after="0" w:line="262" w:lineRule="auto"/>
        <w:rPr>
          <w:sz w:val="20"/>
          <w:szCs w:val="20"/>
          <w:color w:val="auto"/>
        </w:rPr>
      </w:pPr>
      <w:r>
        <w:rPr>
          <w:rFonts w:ascii="Times New Roman" w:cs="Times New Roman" w:eastAsia="Times New Roman" w:hAnsi="Times New Roman"/>
          <w:sz w:val="14"/>
          <w:szCs w:val="14"/>
          <w:color w:val="auto"/>
        </w:rPr>
        <w:t>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Certificated Debt Securities</w:t>
      </w:r>
    </w:p>
    <w:p>
      <w:pPr>
        <w:spacing w:after="0" w:line="90" w:lineRule="exact"/>
        <w:rPr>
          <w:sz w:val="20"/>
          <w:szCs w:val="20"/>
          <w:color w:val="auto"/>
        </w:rPr>
      </w:pPr>
    </w:p>
    <w:p>
      <w:pPr>
        <w:ind w:left="1400" w:right="339"/>
        <w:spacing w:after="0" w:line="262" w:lineRule="auto"/>
        <w:rPr>
          <w:sz w:val="20"/>
          <w:szCs w:val="20"/>
          <w:color w:val="auto"/>
        </w:rPr>
      </w:pPr>
      <w:r>
        <w:rPr>
          <w:rFonts w:ascii="Times New Roman" w:cs="Times New Roman" w:eastAsia="Times New Roman" w:hAnsi="Times New Roman"/>
          <w:sz w:val="14"/>
          <w:szCs w:val="14"/>
          <w:color w:val="auto"/>
        </w:rPr>
        <w:t>You may transfer or exchange certificated debt securities at any office we designate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38" w:lineRule="exact"/>
        <w:rPr>
          <w:sz w:val="20"/>
          <w:szCs w:val="20"/>
          <w:color w:val="auto"/>
        </w:rPr>
      </w:pPr>
    </w:p>
    <w:p>
      <w:pPr>
        <w:ind w:left="1400" w:right="639"/>
        <w:spacing w:after="0" w:line="262"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of the certificate to the new holder or the issuance by us of a new certificate to the new holder.</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Global Debt Securities and Book-Entry System</w:t>
      </w:r>
    </w:p>
    <w:p>
      <w:pPr>
        <w:spacing w:after="0" w:line="90"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Each global debt security representing book-entry debt securities will be deposited with, or on behalf of, the depositary, and registered in the name of the depositary or a nominee of the depositary.</w:t>
      </w:r>
    </w:p>
    <w:p>
      <w:pPr>
        <w:spacing w:after="0" w:line="1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will require the depositary to agree to follow the following procedures with respect to book-entry debt securities.</w:t>
      </w:r>
    </w:p>
    <w:p>
      <w:pPr>
        <w:spacing w:after="0" w:line="171"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Ownership of beneficial interests in book-entry debt securities will be limited to persons who have accounts with the depositary for the related global debt security, which we refer to as participants, or persons who may hold interests through participants. Upon the issuance of a global debt security, the depositary will credit, on its book-entry registration and transfer system, the participants’ accounts with the respective principal amounts of the book-entry debt securities represented by such global debt security beneficially owned by such participants. The accounts to be credited will be designated by any dealers, underwriters or agents participating in the distribution of the book-entry debt securities. Ownership of book-entry debt securities will be shown on, and the transfer of such ownership interests will be effected only through, records maintained by the depositary for the related global debt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These laws may impair the ability to own, transfer or pledge beneficial interests in book-entry debt securities.</w:t>
      </w:r>
    </w:p>
    <w:p>
      <w:pPr>
        <w:spacing w:after="0" w:line="147" w:lineRule="exact"/>
        <w:rPr>
          <w:sz w:val="20"/>
          <w:szCs w:val="20"/>
          <w:color w:val="auto"/>
        </w:rPr>
      </w:pPr>
    </w:p>
    <w:p>
      <w:pPr>
        <w:ind w:left="1400" w:right="319"/>
        <w:spacing w:after="0" w:line="252" w:lineRule="auto"/>
        <w:rPr>
          <w:sz w:val="20"/>
          <w:szCs w:val="20"/>
          <w:color w:val="auto"/>
        </w:rPr>
      </w:pPr>
      <w:r>
        <w:rPr>
          <w:rFonts w:ascii="Times New Roman" w:cs="Times New Roman" w:eastAsia="Times New Roman" w:hAnsi="Times New Roman"/>
          <w:sz w:val="14"/>
          <w:szCs w:val="14"/>
          <w:color w:val="auto"/>
        </w:rPr>
        <w:t>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of the depositary for the related global debt security and, if such person is not a participant, on the procedures of the participant through which such person owns its interest, to exercise any rights of a holder under the indenture.</w:t>
      </w:r>
    </w:p>
    <w:p>
      <w:pPr>
        <w:spacing w:after="0" w:line="146" w:lineRule="exact"/>
        <w:rPr>
          <w:sz w:val="20"/>
          <w:szCs w:val="20"/>
          <w:color w:val="auto"/>
        </w:rPr>
      </w:pPr>
    </w:p>
    <w:p>
      <w:pPr>
        <w:ind w:left="1400" w:right="339"/>
        <w:spacing w:after="0" w:line="257" w:lineRule="auto"/>
        <w:rPr>
          <w:sz w:val="20"/>
          <w:szCs w:val="20"/>
          <w:color w:val="auto"/>
        </w:rPr>
      </w:pPr>
      <w:r>
        <w:rPr>
          <w:rFonts w:ascii="Times New Roman" w:cs="Times New Roman" w:eastAsia="Times New Roman" w:hAnsi="Times New Roman"/>
          <w:sz w:val="14"/>
          <w:szCs w:val="14"/>
          <w:color w:val="auto"/>
        </w:rPr>
        <w:t>We understand, however, that under existing industry practice, the depositary will authorize the persons on whose behalf it holds a global debt security to exercise certain rights of holders of debt securities, and the indenture provides that we, the trustee and our respective agents will treat as the holder of a debt security the persons specified in a written statement of the depositary with respect to that global debt security for purposes of obtaining any consents or directions required to be given by holders of the debt securities pursuant to the indenture.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3"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79"/>
        <w:spacing w:after="0" w:line="257" w:lineRule="auto"/>
        <w:rPr>
          <w:sz w:val="20"/>
          <w:szCs w:val="20"/>
          <w:color w:val="auto"/>
        </w:rPr>
      </w:pPr>
      <w:r>
        <w:rPr>
          <w:rFonts w:ascii="Times New Roman" w:cs="Times New Roman" w:eastAsia="Times New Roman" w:hAnsi="Times New Roman"/>
          <w:sz w:val="14"/>
          <w:szCs w:val="14"/>
          <w:color w:val="auto"/>
        </w:rPr>
        <w:t>We will make payments of principal of, and premium and interest on, book-entry debt securities to the depositary or its nominee, as the case may be, as the registered holder of the related global debt security. We, the trustee and any other agent of ours or agent of the trustee will not have any responsibility or liability for any aspect of the records relating to or payments made on account of beneficial ownership interests in a global debt security or for maintaining, supervising or reviewing any records relating to beneficial ownership interests.</w:t>
      </w:r>
    </w:p>
    <w:p>
      <w:pPr>
        <w:spacing w:after="0" w:line="142"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We expect that the depositary, upon receipt of any payment of principal of, and premium or interest on, a global debt security, will immediately credit participants’ accounts with payments in amounts proportionate to the respective amounts of book-entry debt securities held by each participant as shown on the records of such depositary. We also expect that payments by participants to owners of beneficial interests in book-entry debt securities held through those participants will be governed by standing customer instructions and customary practices, as is now the case with the securities held for the accounts of customers registered in “street name,” and will be the responsibility of those participants.</w:t>
      </w:r>
    </w:p>
    <w:p>
      <w:pPr>
        <w:spacing w:after="0" w:line="142"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may at any time and in our sole discretion determine not to have the book-entry debt securities of any series represented by one or more global debt securities and, in that event, will issue certificated debt securities in exchange for the global debt securities of that series.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w:t>
      </w:r>
    </w:p>
    <w:p>
      <w:pPr>
        <w:spacing w:after="0" w:line="146" w:lineRule="exact"/>
        <w:rPr>
          <w:sz w:val="20"/>
          <w:szCs w:val="20"/>
          <w:color w:val="auto"/>
        </w:rPr>
      </w:pPr>
    </w:p>
    <w:p>
      <w:pPr>
        <w:ind w:left="1400" w:right="459"/>
        <w:spacing w:after="0" w:line="278" w:lineRule="auto"/>
        <w:rPr>
          <w:sz w:val="20"/>
          <w:szCs w:val="20"/>
          <w:color w:val="auto"/>
        </w:rPr>
      </w:pPr>
      <w:r>
        <w:rPr>
          <w:rFonts w:ascii="Times New Roman" w:cs="Times New Roman" w:eastAsia="Times New Roman" w:hAnsi="Times New Roman"/>
          <w:sz w:val="14"/>
          <w:szCs w:val="14"/>
          <w:color w:val="auto"/>
        </w:rPr>
        <w:t>We have obtained the foregoing information concerning the depositary and the depositary’s book-entry system from sources we believe to be reliable, but we take no responsibility for the accuracy of this information.</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90" w:lineRule="exact"/>
        <w:rPr>
          <w:sz w:val="20"/>
          <w:szCs w:val="20"/>
          <w:color w:val="auto"/>
        </w:rPr>
      </w:pPr>
    </w:p>
    <w:p>
      <w:pPr>
        <w:jc w:val="both"/>
        <w:ind w:left="1400" w:right="299"/>
        <w:spacing w:after="0" w:line="262"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90"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Digital Realty Trust, L.P. and Digital Realty Trust, Inc. may consolidate with, or sell, lease or convey all or substantially all of their respective assets to, or merge with or into, any other entity, provided that the following conditions are met:</w:t>
      </w:r>
    </w:p>
    <w:p>
      <w:pPr>
        <w:spacing w:after="0" w:line="53" w:lineRule="exact"/>
        <w:rPr>
          <w:sz w:val="20"/>
          <w:szCs w:val="20"/>
          <w:color w:val="auto"/>
        </w:rPr>
      </w:pPr>
    </w:p>
    <w:p>
      <w:pPr>
        <w:ind w:left="2160" w:right="319" w:hanging="339"/>
        <w:spacing w:after="0" w:line="257"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Realty Trust, L.P. or Digital Realty Trust, Inc., as the case may be, shall be the continuing entity, or the successor entity (if other than Digital Realty Trust, L.P. or Digital Realty Trust, Inc., as the case may be) formed by or resulting from any consolidation or merger or which shall have received the transfer of assets shall expressly assume payment of the principal of and interest on all of the debt securities and the due and punctual performance and observance of all of the covenants and conditions in the indenture;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3"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359" w:hanging="339"/>
        <w:spacing w:after="0" w:line="278"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Event of Default under the indenture, and no event which, after notice or the lapse of time, or both, would become an Event of Default, shall have occurred and be continuing; and</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and legal opinion covering these conditions shall be delivered to the trustee.</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90" w:lineRule="exact"/>
        <w:rPr>
          <w:sz w:val="20"/>
          <w:szCs w:val="20"/>
          <w:color w:val="auto"/>
        </w:rPr>
      </w:pPr>
    </w:p>
    <w:p>
      <w:pPr>
        <w:ind w:left="1400" w:right="379"/>
        <w:spacing w:after="0" w:line="253" w:lineRule="auto"/>
        <w:rPr>
          <w:sz w:val="20"/>
          <w:szCs w:val="20"/>
          <w:color w:val="auto"/>
        </w:rPr>
      </w:pPr>
      <w:r>
        <w:rPr>
          <w:rFonts w:ascii="Times New Roman" w:cs="Times New Roman" w:eastAsia="Times New Roman" w:hAnsi="Times New Roman"/>
          <w:sz w:val="14"/>
          <w:szCs w:val="14"/>
          <w:color w:val="auto"/>
        </w:rPr>
        <w:t>Debt securities issued by Digital Realty Trust, L.P. will be fully and unconditionally guaranteed by Digital Realty Trust, Inc. The applicable prospectus supplement relating to a series of debt securities will provide that those debt securities will have the benefit of a guarantee by Digital Realty Trust, Inc. These guarantees will be joint and several obligations of the guarantor. If a series of debt securities is so guaranteed, an indenture, or a supplemental indenture thereto, will be executed by the guarantor. The obligations of the guarantor under the guarantee will be limited as necessary to prevent that guarantee from constituting a fraudulent conveyance under applicable law. The terms of the guarantee will be set forth in the applicable prospectus supplement.</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99" w:lineRule="exact"/>
        <w:rPr>
          <w:sz w:val="20"/>
          <w:szCs w:val="20"/>
          <w:color w:val="auto"/>
        </w:rPr>
      </w:pPr>
    </w:p>
    <w:p>
      <w:pPr>
        <w:ind w:left="2160" w:right="399" w:hanging="339"/>
        <w:spacing w:after="0" w:line="262"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w:t>
      </w:r>
    </w:p>
    <w:p>
      <w:pPr>
        <w:spacing w:after="0" w:line="64"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premium on any debt security of that series when due and payable;</w:t>
      </w:r>
    </w:p>
    <w:p>
      <w:pPr>
        <w:spacing w:after="0" w:line="98" w:lineRule="exact"/>
        <w:rPr>
          <w:rFonts w:ascii="Times New Roman" w:cs="Times New Roman" w:eastAsia="Times New Roman" w:hAnsi="Times New Roman"/>
          <w:sz w:val="14"/>
          <w:szCs w:val="14"/>
          <w:color w:val="auto"/>
        </w:rPr>
      </w:pPr>
    </w:p>
    <w:p>
      <w:pPr>
        <w:ind w:left="2160" w:right="399" w:hanging="339"/>
        <w:spacing w:after="0" w:line="255"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of such default from the trustee or we and the trustee receive written notice of such default from the holders of not less than a majority in principal amount of the outstanding debt securities of that series as provided in the indenture;</w:t>
      </w:r>
    </w:p>
    <w:p>
      <w:pPr>
        <w:spacing w:after="0" w:line="69"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our company; and</w:t>
      </w:r>
    </w:p>
    <w:p>
      <w:pPr>
        <w:spacing w:after="0" w:line="98" w:lineRule="exact"/>
        <w:rPr>
          <w:rFonts w:ascii="Times New Roman" w:cs="Times New Roman" w:eastAsia="Times New Roman" w:hAnsi="Times New Roman"/>
          <w:sz w:val="14"/>
          <w:szCs w:val="14"/>
          <w:color w:val="auto"/>
        </w:rPr>
      </w:pPr>
    </w:p>
    <w:p>
      <w:pPr>
        <w:ind w:left="2160" w:right="459" w:hanging="339"/>
        <w:spacing w:after="0" w:line="278"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 accompanying this prospectus.</w:t>
      </w:r>
    </w:p>
    <w:p>
      <w:pPr>
        <w:spacing w:after="0" w:line="126" w:lineRule="exact"/>
        <w:rPr>
          <w:sz w:val="20"/>
          <w:szCs w:val="20"/>
          <w:color w:val="auto"/>
        </w:rPr>
      </w:pPr>
    </w:p>
    <w:p>
      <w:pPr>
        <w:ind w:left="1400" w:right="559"/>
        <w:spacing w:after="0" w:line="257"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42" w:lineRule="exact"/>
        <w:rPr>
          <w:sz w:val="20"/>
          <w:szCs w:val="20"/>
          <w:color w:val="auto"/>
        </w:rPr>
      </w:pPr>
    </w:p>
    <w:p>
      <w:pPr>
        <w:ind w:left="1400" w:right="359"/>
        <w:spacing w:after="0" w:line="253"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of the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3"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79"/>
        <w:spacing w:after="0" w:line="252" w:lineRule="auto"/>
        <w:rPr>
          <w:sz w:val="20"/>
          <w:szCs w:val="20"/>
          <w:color w:val="auto"/>
        </w:rPr>
      </w:pPr>
      <w:r>
        <w:rPr>
          <w:rFonts w:ascii="Times New Roman" w:cs="Times New Roman" w:eastAsia="Times New Roman" w:hAnsi="Times New Roman"/>
          <w:sz w:val="14"/>
          <w:szCs w:val="14"/>
          <w:color w:val="auto"/>
        </w:rPr>
        <w:t>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46"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The indenture provides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42" w:lineRule="exact"/>
        <w:rPr>
          <w:sz w:val="20"/>
          <w:szCs w:val="20"/>
          <w:color w:val="auto"/>
        </w:rPr>
      </w:pPr>
    </w:p>
    <w:p>
      <w:pPr>
        <w:ind w:left="1400" w:right="339"/>
        <w:spacing w:after="0" w:line="278"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53" w:lineRule="exact"/>
        <w:rPr>
          <w:sz w:val="20"/>
          <w:szCs w:val="20"/>
          <w:color w:val="auto"/>
        </w:rPr>
      </w:pPr>
    </w:p>
    <w:p>
      <w:pPr>
        <w:ind w:left="2160" w:right="439" w:hanging="339"/>
        <w:spacing w:after="0" w:line="278"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52" w:lineRule="exact"/>
        <w:rPr>
          <w:rFonts w:ascii="Times New Roman" w:cs="Times New Roman" w:eastAsia="Times New Roman" w:hAnsi="Times New Roman"/>
          <w:sz w:val="14"/>
          <w:szCs w:val="14"/>
          <w:color w:val="auto"/>
        </w:rPr>
      </w:pPr>
    </w:p>
    <w:p>
      <w:pPr>
        <w:ind w:left="2160" w:right="299" w:hanging="339"/>
        <w:spacing w:after="0" w:line="257"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a majority in principal amount of the outstanding debt securities of that series have made written request, and offered reasonable indemnity,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w:t>
      </w:r>
    </w:p>
    <w:p>
      <w:pPr>
        <w:spacing w:after="0" w:line="142" w:lineRule="exact"/>
        <w:rPr>
          <w:sz w:val="20"/>
          <w:szCs w:val="20"/>
          <w:color w:val="auto"/>
        </w:rPr>
      </w:pPr>
    </w:p>
    <w:p>
      <w:pPr>
        <w:ind w:left="1400" w:right="619"/>
        <w:spacing w:after="0" w:line="262" w:lineRule="auto"/>
        <w:rPr>
          <w:sz w:val="20"/>
          <w:szCs w:val="20"/>
          <w:color w:val="auto"/>
        </w:rPr>
      </w:pPr>
      <w:r>
        <w:rPr>
          <w:rFonts w:ascii="Times New Roman" w:cs="Times New Roman" w:eastAsia="Times New Roman" w:hAnsi="Times New Roman"/>
          <w:sz w:val="14"/>
          <w:szCs w:val="14"/>
          <w:color w:val="auto"/>
        </w:rPr>
        <w:t>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38" w:lineRule="exact"/>
        <w:rPr>
          <w:sz w:val="20"/>
          <w:szCs w:val="20"/>
          <w:color w:val="auto"/>
        </w:rPr>
      </w:pPr>
    </w:p>
    <w:p>
      <w:pPr>
        <w:ind w:left="1400" w:right="379"/>
        <w:spacing w:after="0" w:line="257"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0" w:lineRule="exact"/>
        <w:rPr>
          <w:sz w:val="20"/>
          <w:szCs w:val="20"/>
          <w:color w:val="auto"/>
        </w:rPr>
      </w:pPr>
    </w:p>
    <w:p>
      <w:pPr>
        <w:jc w:val="both"/>
        <w:ind w:left="1400" w:right="379"/>
        <w:spacing w:after="0" w:line="262" w:lineRule="auto"/>
        <w:rPr>
          <w:sz w:val="20"/>
          <w:szCs w:val="20"/>
          <w:color w:val="auto"/>
        </w:rPr>
      </w:pPr>
      <w:r>
        <w:rPr>
          <w:rFonts w:ascii="Times New Roman" w:cs="Times New Roman" w:eastAsia="Times New Roman" w:hAnsi="Times New Roman"/>
          <w:sz w:val="14"/>
          <w:szCs w:val="14"/>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65" w:lineRule="exact"/>
        <w:rPr>
          <w:sz w:val="20"/>
          <w:szCs w:val="20"/>
          <w:color w:val="auto"/>
        </w:rPr>
      </w:pPr>
    </w:p>
    <w:p>
      <w:pPr>
        <w:ind w:left="2160" w:hanging="339"/>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or waiver,</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98" w:lineRule="exact"/>
        <w:rPr>
          <w:rFonts w:ascii="Times New Roman" w:cs="Times New Roman" w:eastAsia="Times New Roman" w:hAnsi="Times New Roman"/>
          <w:sz w:val="14"/>
          <w:szCs w:val="14"/>
          <w:color w:val="auto"/>
        </w:rPr>
      </w:pPr>
    </w:p>
    <w:p>
      <w:pPr>
        <w:ind w:left="2160" w:right="299" w:hanging="339"/>
        <w:spacing w:after="0" w:line="278" w:lineRule="auto"/>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3"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39"/>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98" w:lineRule="exact"/>
        <w:rPr>
          <w:rFonts w:ascii="Times New Roman" w:cs="Times New Roman" w:eastAsia="Times New Roman" w:hAnsi="Times New Roman"/>
          <w:sz w:val="14"/>
          <w:szCs w:val="14"/>
          <w:color w:val="auto"/>
        </w:rPr>
      </w:pPr>
    </w:p>
    <w:p>
      <w:pPr>
        <w:jc w:val="both"/>
        <w:ind w:left="2160" w:right="499" w:hanging="339"/>
        <w:spacing w:after="0" w:line="262"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4"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98" w:lineRule="exact"/>
        <w:rPr>
          <w:rFonts w:ascii="Times New Roman" w:cs="Times New Roman" w:eastAsia="Times New Roman" w:hAnsi="Times New Roman"/>
          <w:sz w:val="14"/>
          <w:szCs w:val="14"/>
          <w:color w:val="auto"/>
        </w:rPr>
      </w:pPr>
    </w:p>
    <w:p>
      <w:pPr>
        <w:ind w:left="2160" w:right="319" w:hanging="339"/>
        <w:spacing w:after="0" w:line="262"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64"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w:t>
      </w:r>
    </w:p>
    <w:p>
      <w:pPr>
        <w:spacing w:after="0" w:line="171"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premium or any interest on, any debt security of that series;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the holders of a majority in principal amount of the outstanding debt securities of any series may rescind an acceleration and its consequences, including any related payment default that resulted from the acceleration.</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8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Legal Defeasance</w:t>
      </w:r>
    </w:p>
    <w:p>
      <w:pPr>
        <w:spacing w:after="0" w:line="90"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The indenture provides that, unless otherwise provided by the terms of the applicable series of debt securities, we may be discharged from 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47"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or IRS, a ruling or, since the date of execution of the indenture, there has been a change in the applicable U.S. federal income tax law, in either case to the effect that, and based thereon such opinion shall confirm that, the holders of the outstanding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2"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Defeasance of Certain Covenants</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The indenture provides that, unless otherwise provided by the terms of the applicable series of debt securities, upon compliance with certain conditions:</w:t>
      </w:r>
    </w:p>
    <w:p>
      <w:pPr>
        <w:spacing w:after="0" w:line="110" w:lineRule="exact"/>
        <w:rPr>
          <w:sz w:val="20"/>
          <w:szCs w:val="20"/>
          <w:color w:val="auto"/>
        </w:rPr>
      </w:pPr>
    </w:p>
    <w:p>
      <w:pPr>
        <w:ind w:left="2160" w:right="339" w:hanging="339"/>
        <w:spacing w:after="0" w:line="318" w:lineRule="auto"/>
        <w:tabs>
          <w:tab w:leader="none" w:pos="21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29" w:lineRule="exact"/>
        <w:rPr>
          <w:rFonts w:ascii="Times New Roman" w:cs="Times New Roman" w:eastAsia="Times New Roman" w:hAnsi="Times New Roman"/>
          <w:sz w:val="13"/>
          <w:szCs w:val="13"/>
          <w:color w:val="auto"/>
        </w:rPr>
      </w:pPr>
    </w:p>
    <w:p>
      <w:pPr>
        <w:ind w:left="2160" w:right="439" w:hanging="339"/>
        <w:spacing w:after="0" w:line="278" w:lineRule="auto"/>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or covenant defeasance.</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include:</w:t>
      </w:r>
    </w:p>
    <w:p>
      <w:pPr>
        <w:spacing w:after="0" w:line="98" w:lineRule="exact"/>
        <w:rPr>
          <w:rFonts w:ascii="Times New Roman" w:cs="Times New Roman" w:eastAsia="Times New Roman" w:hAnsi="Times New Roman"/>
          <w:sz w:val="14"/>
          <w:szCs w:val="14"/>
          <w:color w:val="auto"/>
        </w:rPr>
      </w:pPr>
    </w:p>
    <w:p>
      <w:pPr>
        <w:ind w:left="2160" w:right="359" w:hanging="339"/>
        <w:spacing w:after="0" w:line="253" w:lineRule="auto"/>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72" w:lineRule="exact"/>
        <w:rPr>
          <w:rFonts w:ascii="Times New Roman" w:cs="Times New Roman" w:eastAsia="Times New Roman" w:hAnsi="Times New Roman"/>
          <w:sz w:val="14"/>
          <w:szCs w:val="14"/>
          <w:color w:val="auto"/>
        </w:rPr>
      </w:pPr>
    </w:p>
    <w:p>
      <w:pPr>
        <w:ind w:left="2160" w:right="439" w:hanging="339"/>
        <w:spacing w:after="0" w:line="257" w:lineRule="auto"/>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Covenant Defeasance and Events of Default</w:t>
      </w:r>
    </w:p>
    <w:p>
      <w:pPr>
        <w:spacing w:after="0" w:line="90" w:lineRule="exact"/>
        <w:rPr>
          <w:sz w:val="20"/>
          <w:szCs w:val="20"/>
          <w:color w:val="auto"/>
        </w:rPr>
      </w:pPr>
    </w:p>
    <w:p>
      <w:pPr>
        <w:ind w:left="1400" w:right="499"/>
        <w:spacing w:after="0" w:line="255" w:lineRule="auto"/>
        <w:rPr>
          <w:sz w:val="20"/>
          <w:szCs w:val="20"/>
          <w:color w:val="auto"/>
        </w:rPr>
      </w:pPr>
      <w:r>
        <w:rPr>
          <w:rFonts w:ascii="Times New Roman" w:cs="Times New Roman" w:eastAsia="Times New Roman" w:hAnsi="Times New Roman"/>
          <w:sz w:val="14"/>
          <w:szCs w:val="14"/>
          <w:color w:val="auto"/>
        </w:rPr>
        <w:t>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In such a case, we would remain liable for those payments.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 xml:space="preserve">“Foreign Government Obligations” </w:t>
      </w:r>
      <w:r>
        <w:rPr>
          <w:rFonts w:ascii="Times New Roman" w:cs="Times New Roman" w:eastAsia="Times New Roman" w:hAnsi="Times New Roman"/>
          <w:sz w:val="14"/>
          <w:szCs w:val="14"/>
          <w:color w:val="auto"/>
        </w:rPr>
        <w:t>means, with respect to debt securities of any series that are denominated in a currency other than U.S. dollars:</w:t>
      </w:r>
    </w:p>
    <w:p>
      <w:pPr>
        <w:spacing w:after="0" w:line="101" w:lineRule="exact"/>
        <w:rPr>
          <w:sz w:val="20"/>
          <w:szCs w:val="20"/>
          <w:color w:val="auto"/>
        </w:rPr>
      </w:pPr>
    </w:p>
    <w:p>
      <w:pPr>
        <w:ind w:left="2160" w:right="319" w:hanging="339"/>
        <w:spacing w:after="0" w:line="278"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52" w:lineRule="exact"/>
        <w:rPr>
          <w:rFonts w:ascii="Times New Roman" w:cs="Times New Roman" w:eastAsia="Times New Roman" w:hAnsi="Times New Roman"/>
          <w:sz w:val="14"/>
          <w:szCs w:val="14"/>
          <w:color w:val="auto"/>
        </w:rPr>
      </w:pPr>
    </w:p>
    <w:p>
      <w:pPr>
        <w:jc w:val="both"/>
        <w:ind w:left="2160" w:right="519" w:hanging="339"/>
        <w:spacing w:after="0" w:line="262"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0" w:lineRule="exact"/>
        <w:rPr>
          <w:sz w:val="20"/>
          <w:szCs w:val="20"/>
          <w:color w:val="auto"/>
        </w:rPr>
      </w:pPr>
    </w:p>
    <w:p>
      <w:pPr>
        <w:ind w:left="1400" w:right="719"/>
        <w:spacing w:after="0" w:line="278"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laws of the State of New York without regard to conflict of law principles that would result in the application of any law other than the law of the State of New York.</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2"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w:t>
      </w:r>
    </w:p>
    <w:p>
      <w:pPr>
        <w:spacing w:after="0" w:line="171" w:lineRule="exact"/>
        <w:rPr>
          <w:sz w:val="20"/>
          <w:szCs w:val="20"/>
          <w:color w:val="auto"/>
        </w:rPr>
      </w:pPr>
    </w:p>
    <w:p>
      <w:pPr>
        <w:ind w:left="1400" w:right="339"/>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summary with respect to restrictions on ownership and transfer of Digital Realty Trust, Inc.’s stock sets forth certain general terms and provisions of the company’s charter documents to which any prospectus supplement may relate. This summary does not purport to be complete and is subject to and qualified in its entirety by reference to the company’s charter documents, as amended and supplemented from time to time, including any articles supplementary relating to any issuance of preferred stock pursuant to this prospectus. Copies of the company’s existing charter documents are filed with the SEC and are incorporated by reference as exhibits to the registration statement of which this prospectus is a part. Any amendment or supplement to the company’s charter documents relating to an issuance of securities pursuant to this prospectus shall be filed with the SEC and shall be incorporated by reference as an exhibit to the applicable prospectus supplement. See “Where You Can Find More Information.”</w:t>
      </w:r>
    </w:p>
    <w:p>
      <w:pPr>
        <w:spacing w:after="0" w:line="144"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In order for the company to qualify as a REIT under the Internal Revenue Code of 1986, as amended, or the Code, the company’s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stock may be owned, directly or indirectly, by five or fewer individuals (as defined in the Code to include certain entities such as qualified pension plans) during the last half of a taxable year (other than the first year for which an election to be a REIT has been made).</w:t>
      </w:r>
    </w:p>
    <w:p>
      <w:pPr>
        <w:spacing w:after="0" w:line="142" w:lineRule="exact"/>
        <w:rPr>
          <w:sz w:val="20"/>
          <w:szCs w:val="20"/>
          <w:color w:val="auto"/>
        </w:rPr>
      </w:pPr>
    </w:p>
    <w:p>
      <w:pPr>
        <w:ind w:left="1400" w:right="319"/>
        <w:spacing w:after="0" w:line="271" w:lineRule="auto"/>
        <w:rPr>
          <w:sz w:val="20"/>
          <w:szCs w:val="20"/>
          <w:color w:val="auto"/>
        </w:rPr>
      </w:pPr>
      <w:r>
        <w:rPr>
          <w:rFonts w:ascii="Times New Roman" w:cs="Times New Roman" w:eastAsia="Times New Roman" w:hAnsi="Times New Roman"/>
          <w:sz w:val="13"/>
          <w:szCs w:val="13"/>
          <w:color w:val="auto"/>
        </w:rPr>
        <w:t>The company’s charter contains restrictions on the ownership and transfer of the common stock, preferred stock and capital stock that are intended to assist the company in complying with these requirements and continuing to qualify as a REIT. The relevant sections of the company’s charter provide that, subject to the exceptions described below, no person or entity may beneficially own, or be deemed to own by virtue of the applicable constructive ownership provisions of the Code, more than 9.8% (by value or by number of shares, whichever is more restrictive) of the outstanding shares of the common stock or of any series of preferred stock, or more than 9.8% of the value of the company’s outstanding capital stock. The company refers to these restrictions as the “common stock ownership limit,” the “preferred stock ownership limit” and the “aggregate stock ownership limit,” respectively. A person or entity that becomes subject to one of the ownership limits by virtue of a violative transfer that results in a transfer to a trust, as set forth below, is referred to as a “purported beneficial transferee” if, had the violative transfer been effective, the person or entity would have been a record owner and beneficial owner or solely a beneficial owner of the common stock, any series of the company’s preferred stock, or the company’s capital stock, as applicable, or is referred to as a “purported record transferee” if, had the violative transfer been effective, the person or entity would have been solely a record owner of the common stock, any series of the company’s preferred stock, or the company’s capital stock, as applicable.</w:t>
      </w:r>
    </w:p>
    <w:p>
      <w:pPr>
        <w:spacing w:after="0" w:line="138"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The constructive ownership rules under the Code are complex and may cause stock owned actually or constructively by a group of related individuals and/or entities to be owned constructively by one individual or entity. As a result, the acquisition of less than 9.8% of the common stock or any series of the company’s preferred stock or less than 9.8% of the value of the company’s outstanding capital stock (or the acquisition of an interest in an entity that owns, actually or constructively, the company’s capital stock) by an individual or entity could, nevertheless, cause that individual or entity, or another individual or entity, to own constructively more than 9.8% of the company’s outstanding common stock or a series of the company’s preferred stock or capital stock, as applicable, and thereby subject such stock to the applicable ownership limit.</w:t>
      </w:r>
    </w:p>
    <w:p>
      <w:pPr>
        <w:spacing w:after="0" w:line="145" w:lineRule="exact"/>
        <w:rPr>
          <w:sz w:val="20"/>
          <w:szCs w:val="20"/>
          <w:color w:val="auto"/>
        </w:rPr>
      </w:pPr>
    </w:p>
    <w:p>
      <w:pPr>
        <w:ind w:left="1400" w:right="339"/>
        <w:spacing w:after="0" w:line="257" w:lineRule="auto"/>
        <w:rPr>
          <w:sz w:val="20"/>
          <w:szCs w:val="20"/>
          <w:color w:val="auto"/>
        </w:rPr>
      </w:pPr>
      <w:r>
        <w:rPr>
          <w:rFonts w:ascii="Times New Roman" w:cs="Times New Roman" w:eastAsia="Times New Roman" w:hAnsi="Times New Roman"/>
          <w:sz w:val="14"/>
          <w:szCs w:val="14"/>
          <w:color w:val="auto"/>
        </w:rPr>
        <w:t>The company’s board of directors may, in its sole discretion waive, prospectively or retroactively, the common stock ownership limit or aggregate stock ownership limit with respect to the beneficial ownership of a particular stockholder if it determines that such waiver will not cause any individual’s beneficial ownership of shares of the company’s capital stock to violate the aggregate stock ownership limit and that any exemption from the applicable ownership limit will not jeopardize the company’s status as a REIT.</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3"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The company’s board of directors may, in its sole discretion waive, prospectively or retroactively, the common stock ownership limit or aggregate stock ownership limit with respect to the constructive ownership of a particular stockholder if it determines that such stockholder does not and will not own, actually or constructively, an interest in a tenant of the company (or a tenant of any entity owned in whole or in part by the company) that would cause the company to own, actually or constructively, more than a 9.8% interest (as set forth in Section 856(d)(2)(B) of the Code) in such tenant or that any such ownership would not cause the company to fail to qualify as a REIT under the Code.</w:t>
      </w:r>
    </w:p>
    <w:p>
      <w:pPr>
        <w:spacing w:after="0" w:line="142" w:lineRule="exact"/>
        <w:rPr>
          <w:sz w:val="20"/>
          <w:szCs w:val="20"/>
          <w:color w:val="auto"/>
        </w:rPr>
      </w:pPr>
    </w:p>
    <w:p>
      <w:pPr>
        <w:jc w:val="both"/>
        <w:ind w:left="1400" w:right="399"/>
        <w:spacing w:after="0" w:line="262" w:lineRule="auto"/>
        <w:rPr>
          <w:sz w:val="20"/>
          <w:szCs w:val="20"/>
          <w:color w:val="auto"/>
        </w:rPr>
      </w:pPr>
      <w:r>
        <w:rPr>
          <w:rFonts w:ascii="Times New Roman" w:cs="Times New Roman" w:eastAsia="Times New Roman" w:hAnsi="Times New Roman"/>
          <w:sz w:val="14"/>
          <w:szCs w:val="14"/>
          <w:color w:val="auto"/>
        </w:rPr>
        <w:t>The company’s board of directors may also, in its sole discretion waive, prospectively or retroactively, the preferred stock ownership limit with respect to a particular stockholder if it determines that such waiver will not: (1) cause any individual’s beneficial ownership of shares of the company’s capital stock to violate the aggregate stock ownership limit, or (2) jeopardize the company’s status as a REIT.</w:t>
      </w:r>
    </w:p>
    <w:p>
      <w:pPr>
        <w:spacing w:after="0" w:line="138" w:lineRule="exact"/>
        <w:rPr>
          <w:sz w:val="20"/>
          <w:szCs w:val="20"/>
          <w:color w:val="auto"/>
        </w:rPr>
      </w:pPr>
    </w:p>
    <w:p>
      <w:pPr>
        <w:ind w:left="1400" w:right="319"/>
        <w:spacing w:after="0" w:line="278" w:lineRule="auto"/>
        <w:rPr>
          <w:sz w:val="20"/>
          <w:szCs w:val="20"/>
          <w:color w:val="auto"/>
        </w:rPr>
      </w:pPr>
      <w:r>
        <w:rPr>
          <w:rFonts w:ascii="Times New Roman" w:cs="Times New Roman" w:eastAsia="Times New Roman" w:hAnsi="Times New Roman"/>
          <w:sz w:val="14"/>
          <w:szCs w:val="14"/>
          <w:color w:val="auto"/>
        </w:rPr>
        <w:t>As a condition of the company’s waiver, the company’s board of directors may require an opinion of counsel or IRS ruling satisfactory to the company’s board of directors, and/or representations or undertakings from the applicant with respect to preserving the company’s REIT status.</w:t>
      </w:r>
    </w:p>
    <w:p>
      <w:pPr>
        <w:spacing w:after="0" w:line="126"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In connection with a waiver of an ownership limit or at any other time, the company’s board of directors may increase the applicable ownership limit for one or more persons and decrease the applicable ownership limit for all other persons and entities; provided, however, that the decreased ownership limit will not be effective for any person or entity whose percentage ownership in the common stock, any series of the company’s preferred stock or capital stock, as applicable, exceeds the decreased ownership limit until such time as such person or entity’s percentage ownership equals or falls below the decreased ownership limit; but any further acquisition of the company’s common, preferred or capital stock, as applicable, in excess of such percentage ownership will be in violation of the applicable ownership limit. Additionally, the new ownership limit, as applicable, may not allow five or fewer stockholders to beneficially own more than 49% in value of the company’s outstanding capital stock.</w:t>
      </w:r>
    </w:p>
    <w:p>
      <w:pPr>
        <w:spacing w:after="0" w:line="1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company’s charter further prohibits:</w:t>
      </w:r>
    </w:p>
    <w:p>
      <w:pPr>
        <w:spacing w:after="0" w:line="99" w:lineRule="exact"/>
        <w:rPr>
          <w:sz w:val="20"/>
          <w:szCs w:val="20"/>
          <w:color w:val="auto"/>
        </w:rPr>
      </w:pPr>
    </w:p>
    <w:p>
      <w:pPr>
        <w:ind w:left="2160" w:right="459" w:hanging="339"/>
        <w:spacing w:after="0" w:line="278"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from beneficially or constructively owning shares of the company’s stock that would result in our being “closely held” under Section 856(h) of the Code or otherwise cause the company to fail to qualify as a REIT; and</w:t>
      </w:r>
    </w:p>
    <w:p>
      <w:pPr>
        <w:spacing w:after="0" w:line="52" w:lineRule="exact"/>
        <w:rPr>
          <w:rFonts w:ascii="Times New Roman" w:cs="Times New Roman" w:eastAsia="Times New Roman" w:hAnsi="Times New Roman"/>
          <w:sz w:val="14"/>
          <w:szCs w:val="14"/>
          <w:color w:val="auto"/>
        </w:rPr>
      </w:pPr>
    </w:p>
    <w:p>
      <w:pPr>
        <w:ind w:left="2160" w:right="559" w:hanging="339"/>
        <w:spacing w:after="0" w:line="278"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from transferring shares of the company’s capital stock if such transfer would result in shares of the company’s stock being beneficially owned by fewer than 100 persons (determined without reference to any rules of attribution).</w:t>
      </w:r>
    </w:p>
    <w:p>
      <w:pPr>
        <w:spacing w:after="0" w:line="126"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Any person who acquires or attempts or intends to acquire beneficial or constructive ownership of shares of the company’s stock that will or may violate any of the foregoing restrictions on transferability and ownership will be required to give notice immediately to the company and provide the company with such other information as it may request in order to determine the effect of such transfer on the company’s status as a REIT. The foregoing provisions on transferability and ownership will not apply if the company’s board of directors determines that it is no longer in the company’s best interests to attempt to qualify, or to continue to qualify, as a REIT.</w:t>
      </w:r>
    </w:p>
    <w:p>
      <w:pPr>
        <w:spacing w:after="0" w:line="142"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Pursuant to the company’s charter, if any purported transfer of the company’s stock or any other event would otherwise result in any person violating the ownership limits or such other limit as established by the company’s board of directors or would result in the company being “closely held” under Section 856(h) of the Code or otherwise failing to qualify as a REIT, then that number of shares in excess of the applicable ownership limit or causing us to be “closely held” or otherwise to fail to qualify as a REIT (rounded up to the nearest whole share) will be automatically transferred to, and held by, a trust for the exclusive benefit of one or more charitable organizations selected by the company and the intended transferee will acquire no rights in such shares. The automatic transfer will be effective as of the close of business on the business day prior to the date of the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3"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59"/>
        <w:spacing w:after="0" w:line="252" w:lineRule="auto"/>
        <w:rPr>
          <w:sz w:val="20"/>
          <w:szCs w:val="20"/>
          <w:color w:val="auto"/>
        </w:rPr>
      </w:pPr>
      <w:r>
        <w:rPr>
          <w:rFonts w:ascii="Times New Roman" w:cs="Times New Roman" w:eastAsia="Times New Roman" w:hAnsi="Times New Roman"/>
          <w:sz w:val="14"/>
          <w:szCs w:val="14"/>
          <w:color w:val="auto"/>
        </w:rPr>
        <w:t>violative transfer or other event that results in the transfer to the trust. Any dividend or other distribution paid to the purported record transferee that are owed by the purported record transferee to the trust as described above, must be repaid to the trustee upon demand for distribution to the beneficiary of the trust, and the trustee may reduce the amount payable to the purported record transferee upon the sale of the shares transferred to the trustee (as described below) by the amount of any such dividends or other distributions which have not been repaid to the trustee. If the transfer to the trust as described above is not automatically effective, for any reason, to prevent a violation of the applicable ownership limit or the company’s being “closely held” or otherwise failing to qualify as a REIT, then the company’s charter provides that the transfer of the shares in excess of the ownership limit will be void. If any transfer would result in shares of the company’s stock being beneficially owned by fewer than 100 persons, then any such purported transfer will be void and of no force or effect and the intended transferee will acquire no rights in the shares.</w:t>
      </w:r>
    </w:p>
    <w:p>
      <w:pPr>
        <w:spacing w:after="0" w:line="144" w:lineRule="exact"/>
        <w:rPr>
          <w:sz w:val="20"/>
          <w:szCs w:val="20"/>
          <w:color w:val="auto"/>
        </w:rPr>
      </w:pPr>
    </w:p>
    <w:p>
      <w:pPr>
        <w:ind w:left="1400" w:right="299"/>
        <w:spacing w:after="0" w:line="272" w:lineRule="auto"/>
        <w:rPr>
          <w:sz w:val="20"/>
          <w:szCs w:val="20"/>
          <w:color w:val="auto"/>
        </w:rPr>
      </w:pPr>
      <w:r>
        <w:rPr>
          <w:rFonts w:ascii="Times New Roman" w:cs="Times New Roman" w:eastAsia="Times New Roman" w:hAnsi="Times New Roman"/>
          <w:sz w:val="13"/>
          <w:szCs w:val="13"/>
          <w:color w:val="auto"/>
        </w:rPr>
        <w:t>Shares of the company’s stock transferred to the trustee are deemed offered for sale to the company, or the company’s designee, at a price per share equal to the lesser of (1) the price paid by the purported record transferee for the shares (or, if the event which resulted in the transfer to the trust did not involve a purchase of such shares of the company’s stock at market price, the last sales price reported on the NYSE on the trading day immediately preceding the day of the event which resulted in the transfer of such shares of the company’s stock to the trust) and (2)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The company will pay the amount of such reduction to the trustee for the benefit of the charitable beneficiary. The company has the right to accept such offer until the trustee has sold the shares of the company’s stock held in the trust pursuant to the clauses discussed below. Upon a sale to the company, the interest of the charitable beneficiary in the shares sold terminates and the trustee must distribute the net proceeds of the sale to the purported record transferee and any dividends or other distributions held by the trustee with respect to such stock will be paid to the charitable beneficiary.</w:t>
      </w:r>
    </w:p>
    <w:p>
      <w:pPr>
        <w:spacing w:after="0" w:line="134" w:lineRule="exact"/>
        <w:rPr>
          <w:sz w:val="20"/>
          <w:szCs w:val="20"/>
          <w:color w:val="auto"/>
        </w:rPr>
      </w:pPr>
    </w:p>
    <w:p>
      <w:pPr>
        <w:jc w:val="both"/>
        <w:ind w:left="1400" w:right="339"/>
        <w:spacing w:after="0" w:line="274" w:lineRule="auto"/>
        <w:rPr>
          <w:sz w:val="20"/>
          <w:szCs w:val="20"/>
          <w:color w:val="auto"/>
        </w:rPr>
      </w:pPr>
      <w:r>
        <w:rPr>
          <w:rFonts w:ascii="Times New Roman" w:cs="Times New Roman" w:eastAsia="Times New Roman" w:hAnsi="Times New Roman"/>
          <w:sz w:val="13"/>
          <w:szCs w:val="13"/>
          <w:color w:val="auto"/>
        </w:rPr>
        <w:t>If the company does not buy the shares, the trustee must, within 20 days of receiving notice from the company of the transfer of shares to the trust, sell the shares to a person or entity designated by the trustee who could own the shares without violating the common stock ownership limit or the preferred stock ownership limit, as applicable, and the aggregate stock ownership limit or such other limit as established by the company’s board of directors.</w:t>
      </w:r>
    </w:p>
    <w:p>
      <w:pPr>
        <w:spacing w:after="0" w:line="2" w:lineRule="exact"/>
        <w:rPr>
          <w:sz w:val="20"/>
          <w:szCs w:val="20"/>
          <w:color w:val="auto"/>
        </w:rPr>
      </w:pPr>
    </w:p>
    <w:p>
      <w:pPr>
        <w:ind w:left="1400" w:right="279"/>
        <w:spacing w:after="0" w:line="248" w:lineRule="auto"/>
        <w:rPr>
          <w:sz w:val="20"/>
          <w:szCs w:val="20"/>
          <w:color w:val="auto"/>
        </w:rPr>
      </w:pPr>
      <w:r>
        <w:rPr>
          <w:rFonts w:ascii="Times New Roman" w:cs="Times New Roman" w:eastAsia="Times New Roman" w:hAnsi="Times New Roman"/>
          <w:sz w:val="14"/>
          <w:szCs w:val="14"/>
          <w:color w:val="auto"/>
        </w:rPr>
        <w:t>After that, the trustee must distribute to the purported record transferee an amount equal to the lesser of (1) the price paid by the purported record transferee or owner for the shares (or, if the event which resulted in the transfer to the trust did not involve a purchase of such shares at market price, the last sales price reported on the NYSE on the trading day immediately preceding the day of the event which resulted in the transfer of such shares of the company’s stock to the trust) and (2) the sales proceeds (net of commissions and other expenses of sale) received by the trustee for the shares. The trustee may reduce the amount payable to the purported record transferee by the amount of dividends and distributions which have been paid to the purported record transferee and are owed by the purported record transferee to the trustee. Any net sales proceeds in excess of the amount payable to the purported record transferee will be immediately paid to the charitable beneficiary, together with any dividends or other distributions thereon. In addition, if prior to discovery by the company that shares of the company’s stock have been transferred to a trust, such shares of stock are sold by a purported record transferee, then such shares shall be deemed to have been sold on behalf of the trust and to the extent that the purported record transferee received an amount for or in respect of such shares that exceeds the amount that such purported record transferee was entitled to receive, such excess amount shall be paid to the trustee upon demand. The purported beneficial transferee or purported record transferee has no rights in the shares held by the trustee.</w:t>
      </w:r>
    </w:p>
    <w:p>
      <w:pPr>
        <w:spacing w:after="0" w:line="149" w:lineRule="exact"/>
        <w:rPr>
          <w:sz w:val="20"/>
          <w:szCs w:val="20"/>
          <w:color w:val="auto"/>
        </w:rPr>
      </w:pPr>
    </w:p>
    <w:p>
      <w:pPr>
        <w:ind w:left="1400" w:right="339"/>
        <w:spacing w:after="0" w:line="292" w:lineRule="auto"/>
        <w:rPr>
          <w:sz w:val="20"/>
          <w:szCs w:val="20"/>
          <w:color w:val="auto"/>
        </w:rPr>
      </w:pPr>
      <w:r>
        <w:rPr>
          <w:rFonts w:ascii="Times New Roman" w:cs="Times New Roman" w:eastAsia="Times New Roman" w:hAnsi="Times New Roman"/>
          <w:sz w:val="13"/>
          <w:szCs w:val="13"/>
          <w:color w:val="auto"/>
        </w:rPr>
        <w:t>The trustee will be designated by the company and will be unaffiliated with the company and with any purported record transferee or purported beneficial transferee. Prior to the sale of any shares in excess of the common stock ownership limit, the preferred stock ownership limit or the aggregate stock ownership limit by the trust, the trustee will receive, in trust for the beneficiary, all dividends and other distributions paid by the company with</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2"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respect to the shares in excess of the applicable ownership limit, and may also exercise all voting rights with respect to such shares.</w:t>
      </w:r>
    </w:p>
    <w:p>
      <w:pPr>
        <w:spacing w:after="0" w:line="171"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Subject to Maryland law, effective as of the date that the shares have been transferred to the trust, the trustee will have the authority, at the trustee’s sole discretion:</w:t>
      </w:r>
    </w:p>
    <w:p>
      <w:pPr>
        <w:spacing w:after="0" w:line="53" w:lineRule="exact"/>
        <w:rPr>
          <w:sz w:val="20"/>
          <w:szCs w:val="20"/>
          <w:color w:val="auto"/>
        </w:rPr>
      </w:pPr>
    </w:p>
    <w:p>
      <w:pPr>
        <w:ind w:left="2160" w:right="419" w:hanging="339"/>
        <w:spacing w:after="0" w:line="278" w:lineRule="auto"/>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rescind as void any vote cast by a purported record transferee prior to the company’s discovery that the shares have been transferred to the trust; and</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recast the vote in accordance with the desires of the trustee acting for the benefit of the beneficiary of the trust.</w:t>
      </w:r>
    </w:p>
    <w:p>
      <w:pPr>
        <w:spacing w:after="0" w:line="17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However, if the company has already taken irreversible corporate action, then the trustee may not rescind and recast the vote.</w:t>
      </w:r>
    </w:p>
    <w:p>
      <w:pPr>
        <w:spacing w:after="0" w:line="171" w:lineRule="exact"/>
        <w:rPr>
          <w:sz w:val="20"/>
          <w:szCs w:val="20"/>
          <w:color w:val="auto"/>
        </w:rPr>
      </w:pPr>
    </w:p>
    <w:p>
      <w:pPr>
        <w:ind w:left="1400" w:right="399"/>
        <w:spacing w:after="0" w:line="255" w:lineRule="auto"/>
        <w:rPr>
          <w:sz w:val="20"/>
          <w:szCs w:val="20"/>
          <w:color w:val="auto"/>
        </w:rPr>
      </w:pPr>
      <w:r>
        <w:rPr>
          <w:rFonts w:ascii="Times New Roman" w:cs="Times New Roman" w:eastAsia="Times New Roman" w:hAnsi="Times New Roman"/>
          <w:sz w:val="14"/>
          <w:szCs w:val="14"/>
          <w:color w:val="auto"/>
        </w:rPr>
        <w:t>In addition, if the company’s board of directors or other permitted designees determine in good faith that a proposed transfer would violate the restrictions on ownership and transfer of the company’s stock set forth in the company’s charter, the company’s board of directors or other permitted designees will take such action as it deems or they deem advisable to refuse to give effect to or to prevent such transfer, including, but not limited to, causing the company to redeem shares of common stock or preferred stock, refusing to give effect to the transfer on the company’s books or instituting proceedings to enjoin the transfer.</w:t>
      </w:r>
    </w:p>
    <w:p>
      <w:pPr>
        <w:spacing w:after="0" w:line="142"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Any beneficial owner or constructive owner of shares of the company’s stock and any person or entity (including the stockholder of record) who is holding shares of the company’s stock for a beneficial owner must, on request, provide the company with a completed questionnaire containing the information regarding the ownership of such shares, as set forth in the applicable Treasury Regulations. In addition, any person or entity that is a beneficial owner or constructive owner of shares of the company’s stock and any person or entity (including the stockholder of record) who is holding shares of the company’s stock for a beneficial owner or constructive owner shall, on request, be required to disclose to the company in writing such information as the company may request in order to determine the effect, if any, of such stockholder’s actual and constructive ownership of shares of the company’s stock on the company’s status as a REIT and to ensure compliance with the common stock ownership limit, the preferred stock ownership limit and the aggregate stock ownership limit, or as otherwise permitted by the company’s board of directors.</w:t>
      </w:r>
    </w:p>
    <w:p>
      <w:pPr>
        <w:spacing w:after="0" w:line="1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All certificates representing shares of the company’s common stock and preferred stock bear a legend referring to the restrictions described above.</w:t>
      </w:r>
    </w:p>
    <w:p>
      <w:pPr>
        <w:spacing w:after="0" w:line="171" w:lineRule="exact"/>
        <w:rPr>
          <w:sz w:val="20"/>
          <w:szCs w:val="20"/>
          <w:color w:val="auto"/>
        </w:rPr>
      </w:pPr>
    </w:p>
    <w:p>
      <w:pPr>
        <w:ind w:left="1400" w:right="639"/>
        <w:spacing w:after="0" w:line="278" w:lineRule="auto"/>
        <w:rPr>
          <w:sz w:val="20"/>
          <w:szCs w:val="20"/>
          <w:color w:val="auto"/>
        </w:rPr>
      </w:pPr>
      <w:r>
        <w:rPr>
          <w:rFonts w:ascii="Times New Roman" w:cs="Times New Roman" w:eastAsia="Times New Roman" w:hAnsi="Times New Roman"/>
          <w:sz w:val="14"/>
          <w:szCs w:val="14"/>
          <w:color w:val="auto"/>
        </w:rPr>
        <w:t>These restrictions on ownership and transfer could delay, defer or prevent a transaction or a change of control of the company that might involve a premium price for the company’s stock or otherwise be in the best interest of the company’s stockholders.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3"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THE PARTNERSHIP AGREEMENT OF DIGITAL REALTY TRUST, L.P.</w:t>
      </w:r>
    </w:p>
    <w:p>
      <w:pPr>
        <w:spacing w:after="0" w:line="171" w:lineRule="exact"/>
        <w:rPr>
          <w:sz w:val="20"/>
          <w:szCs w:val="20"/>
          <w:color w:val="auto"/>
        </w:rPr>
      </w:pPr>
    </w:p>
    <w:p>
      <w:pPr>
        <w:ind w:left="1400" w:right="399"/>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is only a summary of certain terms and provisions of the Nineteenth Amended and Restated Agreement of Limited Partnership of Digital Realty Trust, L.P., as amended, which we refer to as the partnership agreement, and is subject to, and qualified in its entirety by, the partnership agreement, a copy of which is filed as an exhibit to the registration statement of which this prospectus is a part.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90" w:lineRule="exact"/>
        <w:rPr>
          <w:sz w:val="20"/>
          <w:szCs w:val="20"/>
          <w:color w:val="auto"/>
        </w:rPr>
      </w:pPr>
    </w:p>
    <w:p>
      <w:pPr>
        <w:ind w:left="1400" w:right="419"/>
        <w:spacing w:after="0" w:line="253" w:lineRule="auto"/>
        <w:rPr>
          <w:sz w:val="20"/>
          <w:szCs w:val="20"/>
          <w:color w:val="auto"/>
        </w:rPr>
      </w:pPr>
      <w:r>
        <w:rPr>
          <w:rFonts w:ascii="Times New Roman" w:cs="Times New Roman" w:eastAsia="Times New Roman" w:hAnsi="Times New Roman"/>
          <w:sz w:val="14"/>
          <w:szCs w:val="14"/>
          <w:color w:val="auto"/>
        </w:rPr>
        <w:t>Under the partnership agreement, Digital Realty Trust, Inc., as the operating partnership’s sole general partner, exercises exclusive and complete responsibility and discretion in the operating partnership’s day-to-day management and control, can cause the operating partnership to enter into major transactions including acquisitions, dispositions and refinancings, subject to certain limited exceptions, and may not be removed as general partner by the limited partners. The limited partners do not have voting rights relating to the operating partnership’s operation and management, except in connection with matters, as described more fully below, involving amendments to the partnership agreement and transfers of the general partner’s interest.</w:t>
      </w:r>
    </w:p>
    <w:p>
      <w:pPr>
        <w:spacing w:after="0" w:line="145" w:lineRule="exact"/>
        <w:rPr>
          <w:sz w:val="20"/>
          <w:szCs w:val="20"/>
          <w:color w:val="auto"/>
        </w:rPr>
      </w:pPr>
    </w:p>
    <w:p>
      <w:pPr>
        <w:ind w:left="1400" w:right="279"/>
        <w:spacing w:after="0" w:line="250" w:lineRule="auto"/>
        <w:rPr>
          <w:sz w:val="20"/>
          <w:szCs w:val="20"/>
          <w:color w:val="auto"/>
        </w:rPr>
      </w:pPr>
      <w:r>
        <w:rPr>
          <w:rFonts w:ascii="Times New Roman" w:cs="Times New Roman" w:eastAsia="Times New Roman" w:hAnsi="Times New Roman"/>
          <w:sz w:val="14"/>
          <w:szCs w:val="14"/>
          <w:color w:val="auto"/>
        </w:rPr>
        <w:t>The limited partners expressly acknowledged that Digital Realty Trust, Inc., as the operating partnership’s general partner, is acting for the benefit of the operating partnership, its limited partners and Digital Realty Trust, Inc.’s stockholders collectively. Neither Digital Realty Trust, Inc. nor its board of directors is under any obligation to give priority to the separate interests of the limited partners or Digital Realty Trust, Inc.’s stockholders in deciding whether to cause the operating partnership to take or decline to take any actions. If there is a conflict between the interests of Digital Realty Trust, Inc.’s stockholders on one hand and the operating partnership’s limited partners on the other, Digital Realty Trust, Inc. will endeavor in good faith to resolve the conflict in a manner not adverse to either Digital Realty Trust, Inc.’s stockholders or the operating partnership’s limited partners; provided, however, that for so long as Digital Realty Trust, Inc. owns a controlling interest in the operating partnership, any conflict that cannot be resolved in a manner not adverse to either Digital Realty Trust, Inc.’s stockholders or the operating partnership’s limited partners will be resolved in favor of Digital Realty Trust, Inc.’s stockholders. Digital Realty Trust, Inc. is not liable under the partnership agreement to the operating partnership or to any partner for monetary damages for losses sustained, liabilities incurred, or benefits not derived by limited partners in connection with such decisions, provided, that it has acted in good faith.</w:t>
      </w:r>
    </w:p>
    <w:p>
      <w:pPr>
        <w:spacing w:after="0" w:line="2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Transferability of Interests</w:t>
      </w:r>
    </w:p>
    <w:p>
      <w:pPr>
        <w:spacing w:after="0" w:line="90"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Except in connection with a transaction described in “—Termination Transactions” below, Digital Realty Trust, Inc., as general partner, may not voluntarily withdraw from, or transfer or assign all or any portion of its interest in, the operating partnership without the consent of the holders of a majority of the limited partnership interests. Any transfer of units by the limited partners, except to immediate family members, to a trust for the benefit of a charitable beneficiary, to a lending institution as collateral for a bona fide loan or to an affiliate or member of such limited partner, will be subject to a right of first refusal by Digital Realty Trust, Inc. All transfers must be made only to “accredited investors” as defined under Rule 501 of the Securities Act.</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Amendments to the Partnership Agreement</w:t>
      </w:r>
    </w:p>
    <w:p>
      <w:pPr>
        <w:spacing w:after="0" w:line="90"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Amendments to the partnership agreement may be proposed by Digital Realty Trust, Inc., as general partner, or by limited partners owning at least 25% of the units held by limited partners.</w:t>
      </w:r>
    </w:p>
    <w:p>
      <w:pPr>
        <w:spacing w:after="0" w:line="126" w:lineRule="exact"/>
        <w:rPr>
          <w:sz w:val="20"/>
          <w:szCs w:val="20"/>
          <w:color w:val="auto"/>
        </w:rPr>
      </w:pPr>
    </w:p>
    <w:p>
      <w:pPr>
        <w:jc w:val="both"/>
        <w:ind w:left="1400" w:right="319"/>
        <w:spacing w:after="0" w:line="262" w:lineRule="auto"/>
        <w:rPr>
          <w:sz w:val="20"/>
          <w:szCs w:val="20"/>
          <w:color w:val="auto"/>
        </w:rPr>
      </w:pPr>
      <w:r>
        <w:rPr>
          <w:rFonts w:ascii="Times New Roman" w:cs="Times New Roman" w:eastAsia="Times New Roman" w:hAnsi="Times New Roman"/>
          <w:sz w:val="14"/>
          <w:szCs w:val="14"/>
          <w:color w:val="auto"/>
        </w:rPr>
        <w:t>Generally, the partnership agreement may not be amended, modified or terminated without the approval of limited partners (other than limited partners 50% or more of whose equity is owned, directly or indirectly, by Digital Realty Trust, Inc. as general partner) holding a majority of all outstanding units held by limited partners.</w:t>
      </w:r>
    </w:p>
    <w:p>
      <w:pPr>
        <w:spacing w:after="0" w:line="138"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As general partner, Digital Realty Trust, Inc. has the power to unilaterally make certain amendments to the partnership agreement without obtaining the consent of the limited partners as may be required to:</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3"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599" w:hanging="339"/>
        <w:spacing w:after="0" w:line="278"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Digital Realty Trust, Inc.’s obligations as general partner or surrender any right or power granted to it as general partner for the benefit of the limited partners;</w:t>
      </w:r>
    </w:p>
    <w:p>
      <w:pPr>
        <w:spacing w:after="0" w:line="52" w:lineRule="exact"/>
        <w:rPr>
          <w:rFonts w:ascii="Times New Roman" w:cs="Times New Roman" w:eastAsia="Times New Roman" w:hAnsi="Times New Roman"/>
          <w:sz w:val="14"/>
          <w:szCs w:val="14"/>
          <w:color w:val="auto"/>
        </w:rPr>
      </w:pPr>
    </w:p>
    <w:p>
      <w:pPr>
        <w:ind w:left="2160" w:right="799" w:hanging="339"/>
        <w:spacing w:after="0" w:line="278"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the issuance of additional units or the admission, substitution, termination or withdrawal of partners in accordance with the partnership agreement;</w:t>
      </w:r>
    </w:p>
    <w:p>
      <w:pPr>
        <w:spacing w:after="0" w:line="52" w:lineRule="exact"/>
        <w:rPr>
          <w:rFonts w:ascii="Times New Roman" w:cs="Times New Roman" w:eastAsia="Times New Roman" w:hAnsi="Times New Roman"/>
          <w:sz w:val="14"/>
          <w:szCs w:val="14"/>
          <w:color w:val="auto"/>
        </w:rPr>
      </w:pPr>
    </w:p>
    <w:p>
      <w:pPr>
        <w:ind w:left="2160" w:right="379" w:hanging="339"/>
        <w:spacing w:after="0" w:line="278"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forth or amend the designations, rights, powers, duties and preferences of the holders of any additional units issued in accordance with the partnership agreement;</w:t>
      </w:r>
    </w:p>
    <w:p>
      <w:pPr>
        <w:spacing w:after="0" w:line="52" w:lineRule="exact"/>
        <w:rPr>
          <w:rFonts w:ascii="Times New Roman" w:cs="Times New Roman" w:eastAsia="Times New Roman" w:hAnsi="Times New Roman"/>
          <w:sz w:val="14"/>
          <w:szCs w:val="14"/>
          <w:color w:val="auto"/>
        </w:rPr>
      </w:pPr>
    </w:p>
    <w:p>
      <w:pPr>
        <w:ind w:left="2160" w:right="399" w:hanging="339"/>
        <w:spacing w:after="0" w:line="257"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a change of an inconsequential nature that does not adversely affect the limited partners in any material respect, or cure any ambiguity, correct or supplement any provisions of the partnership agreement not inconsistent with law or with other provisions of the partnership agreement, or make other changes concerning matters under the partnership agreement that will not otherwise be inconsistent with the partnership agreement or law;</w:t>
      </w:r>
    </w:p>
    <w:p>
      <w:pPr>
        <w:spacing w:after="0" w:line="6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 any requirements, conditions or guidelines of federal or state law;</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changes that are reasonably necessary for Digital Realty Trust, Inc., as general partner, to maintain its status as a REIT; or</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manner in which capital accounts are computed.</w:t>
      </w:r>
    </w:p>
    <w:p>
      <w:pPr>
        <w:spacing w:after="0" w:line="171" w:lineRule="exact"/>
        <w:rPr>
          <w:sz w:val="20"/>
          <w:szCs w:val="20"/>
          <w:color w:val="auto"/>
        </w:rPr>
      </w:pPr>
    </w:p>
    <w:p>
      <w:pPr>
        <w:ind w:left="1400" w:right="279"/>
        <w:spacing w:after="0" w:line="257" w:lineRule="auto"/>
        <w:rPr>
          <w:sz w:val="20"/>
          <w:szCs w:val="20"/>
          <w:color w:val="auto"/>
        </w:rPr>
      </w:pPr>
      <w:r>
        <w:rPr>
          <w:rFonts w:ascii="Times New Roman" w:cs="Times New Roman" w:eastAsia="Times New Roman" w:hAnsi="Times New Roman"/>
          <w:sz w:val="14"/>
          <w:szCs w:val="14"/>
          <w:color w:val="auto"/>
        </w:rPr>
        <w:t>Amendments that would, among other things, convert a limited partner’s interest into a general partner’s interest, modify the limited liability of a limited partner, alter a partner’s right to receive any distributions or allocations of profits or losses, adversely alter or modify the redemption rights or alter the protections of the limited partners in connection with termination transactions described below must be approved by each limited partner that would be adversely affected by such amendment.</w:t>
      </w:r>
    </w:p>
    <w:p>
      <w:pPr>
        <w:spacing w:after="0" w:line="142" w:lineRule="exact"/>
        <w:rPr>
          <w:sz w:val="20"/>
          <w:szCs w:val="20"/>
          <w:color w:val="auto"/>
        </w:rPr>
      </w:pPr>
    </w:p>
    <w:p>
      <w:pPr>
        <w:ind w:left="1400" w:right="459"/>
        <w:spacing w:after="0" w:line="262" w:lineRule="auto"/>
        <w:rPr>
          <w:sz w:val="20"/>
          <w:szCs w:val="20"/>
          <w:color w:val="auto"/>
        </w:rPr>
      </w:pPr>
      <w:r>
        <w:rPr>
          <w:rFonts w:ascii="Times New Roman" w:cs="Times New Roman" w:eastAsia="Times New Roman" w:hAnsi="Times New Roman"/>
          <w:sz w:val="14"/>
          <w:szCs w:val="14"/>
          <w:color w:val="auto"/>
        </w:rPr>
        <w:t>In addition, without the written consent of a majority of the units held by limited partners (other than limited partners 50% or more of whose equity is owned, directly or indirectly, by Digital Realty Trust, Inc. as general partner), Digital Realty Trust, Inc., as general partner, may not do any of the following:</w:t>
      </w:r>
    </w:p>
    <w:p>
      <w:pPr>
        <w:spacing w:after="0" w:line="65" w:lineRule="exact"/>
        <w:rPr>
          <w:sz w:val="20"/>
          <w:szCs w:val="20"/>
          <w:color w:val="auto"/>
        </w:rPr>
      </w:pPr>
    </w:p>
    <w:p>
      <w:pPr>
        <w:ind w:left="2160" w:hanging="339"/>
        <w:spacing w:after="0"/>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in contravention of an express prohibition or limitation contained in the partnership agreement;</w:t>
      </w:r>
    </w:p>
    <w:p>
      <w:pPr>
        <w:spacing w:after="0" w:line="98" w:lineRule="exact"/>
        <w:rPr>
          <w:rFonts w:ascii="Times New Roman" w:cs="Times New Roman" w:eastAsia="Times New Roman" w:hAnsi="Times New Roman"/>
          <w:sz w:val="14"/>
          <w:szCs w:val="14"/>
          <w:color w:val="auto"/>
        </w:rPr>
      </w:pPr>
    </w:p>
    <w:p>
      <w:pPr>
        <w:ind w:left="2160" w:right="379" w:hanging="339"/>
        <w:spacing w:after="0" w:line="278" w:lineRule="auto"/>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 any act that would subject a limited partner to liability as a general partner in any jurisdiction or any liability not contemplated in the partnership agreement;</w:t>
      </w:r>
    </w:p>
    <w:p>
      <w:pPr>
        <w:spacing w:after="0" w:line="52" w:lineRule="exact"/>
        <w:rPr>
          <w:rFonts w:ascii="Times New Roman" w:cs="Times New Roman" w:eastAsia="Times New Roman" w:hAnsi="Times New Roman"/>
          <w:sz w:val="14"/>
          <w:szCs w:val="14"/>
          <w:color w:val="auto"/>
        </w:rPr>
      </w:pPr>
    </w:p>
    <w:p>
      <w:pPr>
        <w:ind w:left="2160" w:right="659" w:hanging="339"/>
        <w:spacing w:after="0" w:line="278" w:lineRule="auto"/>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contract, mortgage, loan or other agreement that prohibits or restricts, or has the effect of prohibiting or restricting, the ability of a limited partner to exercise its redemption/exchange rights explained below;</w:t>
      </w:r>
    </w:p>
    <w:p>
      <w:pPr>
        <w:spacing w:after="0" w:line="52" w:lineRule="exact"/>
        <w:rPr>
          <w:rFonts w:ascii="Times New Roman" w:cs="Times New Roman" w:eastAsia="Times New Roman" w:hAnsi="Times New Roman"/>
          <w:sz w:val="14"/>
          <w:szCs w:val="14"/>
          <w:color w:val="auto"/>
        </w:rPr>
      </w:pPr>
    </w:p>
    <w:p>
      <w:pPr>
        <w:ind w:left="2160" w:right="319" w:hanging="339"/>
        <w:spacing w:after="0" w:line="278" w:lineRule="auto"/>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or conduct any business other than in connection with its role as the operating partnership’s general partner and its operation as a REIT;</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an interest in real or personal property other than through the operating partnership;</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 from the operating partnership or transfer any portion of its general partnership interest; or</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relieved of its obligations under the partnership agreement following any permitted transfer of its general partnership interest.</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Distributions to Unitholders</w:t>
      </w:r>
    </w:p>
    <w:p>
      <w:pPr>
        <w:spacing w:after="0" w:line="90" w:lineRule="exact"/>
        <w:rPr>
          <w:sz w:val="20"/>
          <w:szCs w:val="20"/>
          <w:color w:val="auto"/>
        </w:rPr>
      </w:pPr>
    </w:p>
    <w:p>
      <w:pPr>
        <w:ind w:left="1400" w:right="319"/>
        <w:spacing w:after="0" w:line="283" w:lineRule="auto"/>
        <w:rPr>
          <w:sz w:val="20"/>
          <w:szCs w:val="20"/>
          <w:color w:val="auto"/>
        </w:rPr>
      </w:pPr>
      <w:r>
        <w:rPr>
          <w:rFonts w:ascii="Times New Roman" w:cs="Times New Roman" w:eastAsia="Times New Roman" w:hAnsi="Times New Roman"/>
          <w:sz w:val="13"/>
          <w:szCs w:val="13"/>
          <w:color w:val="auto"/>
        </w:rPr>
        <w:t>The partnership agreement provides that holders of common units are entitled to receive quarterly distributions of available cash on a pro rata basis in accordance with their respective percentage interests. Digital Realty Trust, Inc., as the sole holder of the operating partnership’s series J preferred units, series K preferred units and series L preferred units receives distributions from the operating partnership with respect to such preferred units in order to make the distributions to series J preferred stockholders, series K preferred stockholders and series L preferred stockholders of Digital Realty Trust, Inc.</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2"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Redemption/Exchange Rights</w:t>
      </w:r>
    </w:p>
    <w:p>
      <w:pPr>
        <w:spacing w:after="0" w:line="90"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Limited partners have the right to require the operating partnership to redeem part or all of their units for cash based upon the fair market value of an equivalent number of shares of Digital Realty Trust, Inc. common stock at the time of the redemption. Alternatively, Digital Realty Trust, Inc. may elect to acquire those units in exchange for shares of Digital Realty Trust, Inc. common stock. Digital Realty Trust, Inc.’s acquisition will be on a one-for-one basis, subject to adjustment in the event of stock splits, stock dividends, issuances of stock rights, specified extraordinary distributions and similar events. Digital Realty Trust, Inc. presently anticipates that it will elect to issue shares of its common stock in exchange for units in connection with each redemption request, rather than having the operating partnership redeem the units for cash. With each redemption or exchange, Digital Realty Trust, Inc.’s percentage ownership interest in the operating partnership increases. Limited partners who hold units may exercise this redemption right from time to time, in whole or in part, except when, as a consequence of shares of Digital Realty Trust, Inc. common stock being issued, any person’s actual or constructive stock ownership would exceed Digital Realty Trust, Inc.’s ownership limits, or any other limit as provided in its charter or as otherwise determined by its board of directors.</w:t>
      </w:r>
    </w:p>
    <w:p>
      <w:pPr>
        <w:spacing w:after="0" w:line="145" w:lineRule="exact"/>
        <w:rPr>
          <w:sz w:val="20"/>
          <w:szCs w:val="20"/>
          <w:color w:val="auto"/>
        </w:rPr>
      </w:pPr>
    </w:p>
    <w:p>
      <w:pPr>
        <w:ind w:left="1400" w:right="299"/>
        <w:spacing w:after="0" w:line="250" w:lineRule="auto"/>
        <w:rPr>
          <w:sz w:val="20"/>
          <w:szCs w:val="20"/>
          <w:color w:val="auto"/>
        </w:rPr>
      </w:pPr>
      <w:r>
        <w:rPr>
          <w:rFonts w:ascii="Times New Roman" w:cs="Times New Roman" w:eastAsia="Times New Roman" w:hAnsi="Times New Roman"/>
          <w:sz w:val="14"/>
          <w:szCs w:val="14"/>
          <w:color w:val="auto"/>
        </w:rPr>
        <w:t>In addition, if the number of units delivered by a limited partner for redemption would, if exchanged for common stock, exceed 9.8% of Digital Realty Trust, Inc.’s outstanding common stock and $50.0 million in gross value (based on a unit value equal to the trailing ten-day daily price of Digital Realty Trust, Inc. common stock) and Digital Realty Trust, Inc. is eligible to file a registration statement on Form S-3 under the Securities Act, then it may also elect to redeem the units with the proceeds from a public offering or private placement of its common stock. In the event it elects this option, Digital Realty Trust, Inc. may require the other limited partners also to elect whether or not to participate. If it does so, any limited partner who does not elect to participate will not be permitted to redeem units for the subsequent 12 months, subject to limited exceptions. Participating limited partners will receive on the redemption date the lesser of the cash the operating partnership would otherwise be required to pay for such units or the net proceeds per share in the public offering, but will have a limited opportunity to withdraw their units from the redemption immediately prior to the pricing of the public offering. Except as described above, a limited partner is not entitled to redeem common units, either for cash or shares of Digital Realty Trust, Inc. common stock, if exchanging the common units for shares of Digital Realty Trust, Inc. common stock would violate the ownership limits set forth in Digital Realty Trust, Inc.’s charter.</w:t>
      </w:r>
    </w:p>
    <w:p>
      <w:pPr>
        <w:spacing w:after="0" w:line="2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Partnership Right to Call Limited Partner Interests</w:t>
      </w:r>
    </w:p>
    <w:p>
      <w:pPr>
        <w:spacing w:after="0" w:line="90"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At any time a limited partner owns fewer than 20,000 units or if a limited partners owns (i) partnership units that were granted as profit interest units to such limited partner on or after September 21, 2018 and/or (ii) partnership units that were acquired by such limited partner as a result of the conversion of profits interest units that were granted to such limited partner on after September 21, 2018, then at any time following the second anniversary of the date on which such limited partner ceases to provide services to the partnership, the general partner shall have the right, but not the obligation, from time to time to redeem all outstanding units owned by such limited partner.</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Issuance of Additional Common Units, Preferred Units, Common Stock, Preferred Stock or Convertible Securities</w:t>
      </w:r>
    </w:p>
    <w:p>
      <w:pPr>
        <w:spacing w:after="0" w:line="90" w:lineRule="exact"/>
        <w:rPr>
          <w:sz w:val="20"/>
          <w:szCs w:val="20"/>
          <w:color w:val="auto"/>
        </w:rPr>
      </w:pPr>
    </w:p>
    <w:p>
      <w:pPr>
        <w:ind w:left="1400" w:right="359"/>
        <w:spacing w:after="0" w:line="253" w:lineRule="auto"/>
        <w:rPr>
          <w:sz w:val="20"/>
          <w:szCs w:val="20"/>
          <w:color w:val="auto"/>
        </w:rPr>
      </w:pPr>
      <w:r>
        <w:rPr>
          <w:rFonts w:ascii="Times New Roman" w:cs="Times New Roman" w:eastAsia="Times New Roman" w:hAnsi="Times New Roman"/>
          <w:sz w:val="14"/>
          <w:szCs w:val="14"/>
          <w:color w:val="auto"/>
        </w:rPr>
        <w:t>As the operating partnership’s sole general partner, Digital Realty Trust, Inc. has the ability to cause the operating partnership to issue additional units representing general and limited partnership interests. These additional units may include preferred limited partnership units. In addition, Digital Realty Trust, Inc. may issue additional shares of its common stock or convertible securities, but only if it causes the operating partnership to issue to it partnership interests or rights, options, warrants or convertible or exchangeable securities of the operating partnership having designations, preferences and other rights, so that the economic interests of the operating partnership’s interests issued are substantially similar to the economic interests of the securities that Digital Realty Trust, Inc. has issued.</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2"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 Matters</w:t>
      </w:r>
    </w:p>
    <w:p>
      <w:pPr>
        <w:spacing w:after="0" w:line="90" w:lineRule="exact"/>
        <w:rPr>
          <w:sz w:val="20"/>
          <w:szCs w:val="20"/>
          <w:color w:val="auto"/>
        </w:rPr>
      </w:pPr>
    </w:p>
    <w:p>
      <w:pPr>
        <w:jc w:val="both"/>
        <w:ind w:left="1400" w:right="399"/>
        <w:spacing w:after="0" w:line="262" w:lineRule="auto"/>
        <w:rPr>
          <w:sz w:val="20"/>
          <w:szCs w:val="20"/>
          <w:color w:val="auto"/>
        </w:rPr>
      </w:pPr>
      <w:r>
        <w:rPr>
          <w:rFonts w:ascii="Times New Roman" w:cs="Times New Roman" w:eastAsia="Times New Roman" w:hAnsi="Times New Roman"/>
          <w:sz w:val="14"/>
          <w:szCs w:val="14"/>
          <w:color w:val="auto"/>
        </w:rPr>
        <w:t>Digital Realty Trust, Inc. is the operating partnership’s “partnership representative” for U.S. federal income tax purposes and, as such, it has authority under the Code to handle tax audits and other proceedings on the operating partnership’s behalf. Further, as the operating partnership’s general partner, Digital Realty Trust, Inc. generally has the authority to make tax elections under the Code on the operating partnership’s behalf.</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Allocations of Net Income and Net Losses to Partners</w:t>
      </w:r>
    </w:p>
    <w:p>
      <w:pPr>
        <w:spacing w:after="0" w:line="90"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The operating partnership’s net income will generally be allocated to Digital Realty Trust, Inc. to the extent of the accrued preferred return on its preferred units, and then to Digital Realty Trust, Inc., as general partner, and the limited partners in accordance with the respective percentage interests in the common units issued by the operating partnership. Net loss will generally be allocated to Digital Realty Trust, Inc., as general partner, and the limited partners in accordance with the respective common percentage interests in the operating partnership until the limited partner’s capital is reduced to zero and any remaining net loss would be allocated to Digital Realty Trust, Inc. However, in some cases, losses may be disproportionately allocated to partners who have guaranteed our debt. The allocations described above are subject to special allocations relating to depreciation deductions and to compliance with the provisions of Sections 704(b) and 704(c) of the Code and the associated Treasury Regulations.</w:t>
      </w:r>
    </w:p>
    <w:p>
      <w:pPr>
        <w:spacing w:after="0" w:line="146" w:lineRule="exact"/>
        <w:rPr>
          <w:sz w:val="20"/>
          <w:szCs w:val="20"/>
          <w:color w:val="auto"/>
        </w:rPr>
      </w:pPr>
    </w:p>
    <w:p>
      <w:pPr>
        <w:ind w:left="1400" w:right="299"/>
        <w:spacing w:after="0" w:line="275" w:lineRule="auto"/>
        <w:rPr>
          <w:sz w:val="20"/>
          <w:szCs w:val="20"/>
          <w:color w:val="auto"/>
        </w:rPr>
      </w:pPr>
      <w:r>
        <w:rPr>
          <w:rFonts w:ascii="Times New Roman" w:cs="Times New Roman" w:eastAsia="Times New Roman" w:hAnsi="Times New Roman"/>
          <w:sz w:val="13"/>
          <w:szCs w:val="13"/>
          <w:color w:val="auto"/>
        </w:rPr>
        <w:t xml:space="preserve">In addition, Digital Realty Trust, Inc. may from time to time issue long-term incentive units, which are also referred to as profits interest units, to persons who provide services to the company for such consideration or for no consideration as it may determine to be appropriate, and admit such persons as limited partners. The long-term incentive units are similar to the operating partnership’s common units in many respects and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the operating partnership’s common units as to the payment of regular and special periodic or other distributions except liquidating distributions. The long-term incentive units may be subject to vesting requirements. Initially, long-term incentive units do not have full parity with common units with respect to liquidating distributions. If such parity is reached, vested long-term incentive units may be converted into an equal number of common units of the operating partnership at any time, and thereafter enjoy all the rights of common units of the operating partnership, including redemption rights.</w:t>
      </w:r>
    </w:p>
    <w:p>
      <w:pPr>
        <w:spacing w:after="0" w:line="131"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In order to achieve full parity with common units, long-term incentive units must be fully vested and the holder’s capital account balance in respect of such long-term incentive units must be equal to the capital account balance of a holder of an equivalent number of common units. The capital account balance attributable to each common unit is generally expected to be the same, in part because of the amount credited to a partner’s capital account upon their contribution of property to the operating partnership, and in part because the partnership agreement provides, in most cases, that allocations of income, gain, loss and deduction (which will adjust the partners’ capital accounts) are to be made to the common units on a proportionate basis. As a result, with respect to a number of long-term incentive units, it is possible to determine the capital account balance of an equivalent number of common units by multiplying the number of long-term incentive units by the capital account balance with respect to a common unit.</w:t>
      </w:r>
    </w:p>
    <w:p>
      <w:pPr>
        <w:spacing w:after="0" w:line="146" w:lineRule="exact"/>
        <w:rPr>
          <w:sz w:val="20"/>
          <w:szCs w:val="20"/>
          <w:color w:val="auto"/>
        </w:rPr>
      </w:pPr>
    </w:p>
    <w:p>
      <w:pPr>
        <w:ind w:left="1400" w:right="359"/>
        <w:spacing w:after="0" w:line="252" w:lineRule="auto"/>
        <w:rPr>
          <w:sz w:val="20"/>
          <w:szCs w:val="20"/>
          <w:color w:val="auto"/>
        </w:rPr>
      </w:pPr>
      <w:r>
        <w:rPr>
          <w:rFonts w:ascii="Times New Roman" w:cs="Times New Roman" w:eastAsia="Times New Roman" w:hAnsi="Times New Roman"/>
          <w:sz w:val="14"/>
          <w:szCs w:val="14"/>
          <w:color w:val="auto"/>
        </w:rPr>
        <w:t>A partner’s initial capital account balance is equal to the amount the partner paid (or contributed to the operating partnership) for its units and is subject to subsequent adjustments, including with respect to the partner’s share of income, gain or loss of the operating partnership. Because a holder of long-term incentive units generally will not pay for the long-term incentive units, the initial capital account balance attributable to such long-term incentive units will be zero. However, the operating partnership is required to allocate income, gain, loss and deduction to the partners’ capital accounts in accordance with the terms of the partnership agreement, subject to applicable Treasury Regulations. The partnership agreement provides that holders of long-term incentive units will receive special allocations of gain in the event of a sale or “hypothetical sale” of assets of the operating partnership prior to the allocation of gain to Digital Realty Trust, Inc. or other limited partners with respect to their common units. The amount of such allocation will, to the extent of any such gain, be equal to the difference between the capital</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3"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account balance of a holder of long-term incentive units attributable to such units and the capital account balance attributable to an equivalent number of common units. If and when such gain allocation is fully made, a holder of long-term incentive units will have achieved full parity with holders of common units. To the extent that, upon an actual sale or a “hypothetical sale” of the operating partnership’s assets as described above, there is not sufficient gain to allocate to a holder’s capital account with respect to long-term incentive units, or if such sale or “hypothetical sale” does not occur, such units will not achieve parity with common units.</w:t>
      </w:r>
    </w:p>
    <w:p>
      <w:pPr>
        <w:spacing w:after="0" w:line="142" w:lineRule="exact"/>
        <w:rPr>
          <w:sz w:val="20"/>
          <w:szCs w:val="20"/>
          <w:color w:val="auto"/>
        </w:rPr>
      </w:pPr>
    </w:p>
    <w:p>
      <w:pPr>
        <w:ind w:left="1400" w:right="279"/>
        <w:spacing w:after="0" w:line="250" w:lineRule="auto"/>
        <w:rPr>
          <w:sz w:val="20"/>
          <w:szCs w:val="20"/>
          <w:color w:val="auto"/>
        </w:rPr>
      </w:pPr>
      <w:r>
        <w:rPr>
          <w:rFonts w:ascii="Times New Roman" w:cs="Times New Roman" w:eastAsia="Times New Roman" w:hAnsi="Times New Roman"/>
          <w:sz w:val="14"/>
          <w:szCs w:val="14"/>
          <w:color w:val="auto"/>
        </w:rPr>
        <w:t>The term “hypothetical sale” refers to circumstances that are not actual sales of the operating partnership’s assets but that require certain adjustments to the value of the operating partnership’s assets and the partners’ capital account balances. Specifically, the partnership agreement provides that, from time to time, in accordance with applicable Treasury Regulations, the operating partnership will adjust the value of its assets to equal their respective fair market values, and adjust the partners’ capital accounts, in accordance with the terms of the partnership agreement, as if the operating partnership sold its assets for an amount equal to their value. Times for making such adjustments generally include the liquidation of the operating partnership, the acquisition of an additional interest in the operating partnership by a new or existing partner in exchange for more than a de minimis capital contribution, the distribution by the operating partnership to a partner of more than a de minimis amount of partnership property as consideration for an interest in the operating partnership, in connection with the grant of an interest in the operating partnership (other than a de minimis interest) as consideration for the performance of services to or for the benefit of the operating partnership (including the grant of a long-term incentive unit), the issuance by the operating partnership of certain noncompensatory options, the acquisition of a partnership interest upon the exercise of a noncompensatory option and at such other times as may be desirable or required to comply with the Treasury Regulations.</w:t>
      </w:r>
    </w:p>
    <w:p>
      <w:pPr>
        <w:spacing w:after="0" w:line="150" w:lineRule="exact"/>
        <w:rPr>
          <w:sz w:val="20"/>
          <w:szCs w:val="20"/>
          <w:color w:val="auto"/>
        </w:rPr>
      </w:pPr>
    </w:p>
    <w:p>
      <w:pPr>
        <w:ind w:left="1400" w:right="319"/>
        <w:spacing w:after="0" w:line="252" w:lineRule="auto"/>
        <w:rPr>
          <w:sz w:val="20"/>
          <w:szCs w:val="20"/>
          <w:color w:val="auto"/>
        </w:rPr>
      </w:pPr>
      <w:r>
        <w:rPr>
          <w:rFonts w:ascii="Times New Roman" w:cs="Times New Roman" w:eastAsia="Times New Roman" w:hAnsi="Times New Roman"/>
          <w:sz w:val="14"/>
          <w:szCs w:val="14"/>
          <w:color w:val="auto"/>
        </w:rPr>
        <w:t>The operating partnership may also from time to time issue class C units or class D units to persons who provide services to it for such consideration or for no consideration as it may determine to be appropriate. If all applicable performance and other vesting conditions are satisfied with respect to a class C unit or a class D unit, the class C unit or class D unit, as applicable, will be treated in the same manner as the long-term incentive units issued by the operating partnership. Class C units and class D units are not entitled to quarterly distributions prior to the satisfaction of all applicable performance conditions. In addition, the operating partnership may issue class D units that are subject to performance vesting, which generally receive quarterly per-unit distributions equal to ten percent of the distributions made with respect to an equivalent number of common units. Class C units and class D units, other than class D units that are not performance vested, are subject to the same conditions as other long-term incentive units with respect to achieving full parity with common units.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90" w:lineRule="exact"/>
        <w:rPr>
          <w:sz w:val="20"/>
          <w:szCs w:val="20"/>
          <w:color w:val="auto"/>
        </w:rPr>
      </w:pPr>
    </w:p>
    <w:p>
      <w:pPr>
        <w:ind w:left="1400" w:right="399"/>
        <w:spacing w:after="0" w:line="257" w:lineRule="auto"/>
        <w:rPr>
          <w:sz w:val="20"/>
          <w:szCs w:val="20"/>
          <w:color w:val="auto"/>
        </w:rPr>
      </w:pPr>
      <w:r>
        <w:rPr>
          <w:rFonts w:ascii="Times New Roman" w:cs="Times New Roman" w:eastAsia="Times New Roman" w:hAnsi="Times New Roman"/>
          <w:sz w:val="14"/>
          <w:szCs w:val="14"/>
          <w:color w:val="auto"/>
        </w:rPr>
        <w:t>The partnership agreement provides that Digital Realty Trust, Inc., as general partner, will determine in its discretion and distribute available cash on a quarterly basis, pro rata in accordance with the partners’ percentage interests. Available cash is the operating partnership’s net operating cash flow plus the reduction of any reserves and minus principal payment on debt and capital expenditures, investments in any entity, and increase in reserves or working capital accounts and any amounts paid in redemption of limited partner interests.</w:t>
      </w:r>
    </w:p>
    <w:p>
      <w:pPr>
        <w:spacing w:after="0" w:line="142" w:lineRule="exact"/>
        <w:rPr>
          <w:sz w:val="20"/>
          <w:szCs w:val="20"/>
          <w:color w:val="auto"/>
        </w:rPr>
      </w:pPr>
    </w:p>
    <w:p>
      <w:pPr>
        <w:ind w:left="1400" w:right="319"/>
        <w:spacing w:after="0" w:line="278" w:lineRule="auto"/>
        <w:rPr>
          <w:sz w:val="20"/>
          <w:szCs w:val="20"/>
          <w:color w:val="auto"/>
        </w:rPr>
      </w:pPr>
      <w:r>
        <w:rPr>
          <w:rFonts w:ascii="Times New Roman" w:cs="Times New Roman" w:eastAsia="Times New Roman" w:hAnsi="Times New Roman"/>
          <w:sz w:val="14"/>
          <w:szCs w:val="14"/>
          <w:color w:val="auto"/>
        </w:rPr>
        <w:t>The partnership agreement provides that the operating partnership will assume and pay when due, or reimburse Digital Realty Trust, Inc. for payment of all costs and expenses relating to the operating partnership’s operations, or for the operating partnership’s benefit.</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Termination Transactions</w:t>
      </w:r>
    </w:p>
    <w:p>
      <w:pPr>
        <w:spacing w:after="0" w:line="90" w:lineRule="exact"/>
        <w:rPr>
          <w:sz w:val="20"/>
          <w:szCs w:val="20"/>
          <w:color w:val="auto"/>
        </w:rPr>
      </w:pPr>
    </w:p>
    <w:p>
      <w:pPr>
        <w:ind w:left="1400" w:right="459"/>
        <w:spacing w:after="0" w:line="262" w:lineRule="auto"/>
        <w:rPr>
          <w:sz w:val="20"/>
          <w:szCs w:val="20"/>
          <w:color w:val="auto"/>
        </w:rPr>
      </w:pPr>
      <w:r>
        <w:rPr>
          <w:rFonts w:ascii="Times New Roman" w:cs="Times New Roman" w:eastAsia="Times New Roman" w:hAnsi="Times New Roman"/>
          <w:sz w:val="14"/>
          <w:szCs w:val="14"/>
          <w:color w:val="auto"/>
        </w:rPr>
        <w:t>The partnership agreement provides that Digital Realty Trust, Inc. may not engage in any merger, consolidation or other combination with or into another person, sale of all or substantially all of its assets or any reclassification or any recapitalization or change in outstanding shares of its common stock, which we refer to as a termination transaction, unless in connection with a termination transaction:</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2"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820" w:right="459" w:hanging="414"/>
        <w:spacing w:after="0" w:line="278" w:lineRule="auto"/>
        <w:tabs>
          <w:tab w:leader="none" w:pos="18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obtains the consent of the holders of at least 35% of the operating partnership’s common units and long-term incentive units (including units held by it), and</w:t>
      </w:r>
    </w:p>
    <w:p>
      <w:pPr>
        <w:spacing w:after="0" w:line="52" w:lineRule="exact"/>
        <w:rPr>
          <w:rFonts w:ascii="Times New Roman" w:cs="Times New Roman" w:eastAsia="Times New Roman" w:hAnsi="Times New Roman"/>
          <w:sz w:val="14"/>
          <w:szCs w:val="14"/>
          <w:color w:val="auto"/>
        </w:rPr>
      </w:pPr>
    </w:p>
    <w:p>
      <w:pPr>
        <w:ind w:left="1820" w:hanging="414"/>
        <w:spacing w:after="0"/>
        <w:tabs>
          <w:tab w:leader="none" w:pos="18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8" w:lineRule="exact"/>
        <w:rPr>
          <w:rFonts w:ascii="Times New Roman" w:cs="Times New Roman" w:eastAsia="Times New Roman" w:hAnsi="Times New Roman"/>
          <w:sz w:val="14"/>
          <w:szCs w:val="14"/>
          <w:color w:val="auto"/>
        </w:rPr>
      </w:pPr>
    </w:p>
    <w:p>
      <w:pPr>
        <w:ind w:left="2320" w:right="719" w:hanging="499"/>
        <w:spacing w:after="0" w:line="278" w:lineRule="auto"/>
        <w:tabs>
          <w:tab w:leader="none" w:pos="232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limited partners will receive, or have the right to elect to receive, for each common unit an amount of cash, securities or other property equal to the product of:</w:t>
      </w:r>
    </w:p>
    <w:p>
      <w:pPr>
        <w:spacing w:after="0" w:line="52" w:lineRule="exact"/>
        <w:rPr>
          <w:rFonts w:ascii="Times New Roman" w:cs="Times New Roman" w:eastAsia="Times New Roman" w:hAnsi="Times New Roman"/>
          <w:sz w:val="14"/>
          <w:szCs w:val="14"/>
          <w:color w:val="auto"/>
        </w:rPr>
      </w:pPr>
    </w:p>
    <w:p>
      <w:pPr>
        <w:ind w:left="2500" w:hanging="253"/>
        <w:spacing w:after="0"/>
        <w:tabs>
          <w:tab w:leader="none" w:pos="2500"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Digital Realty Trust, Inc. common stock into which each unit is then exchangeable, and</w:t>
      </w:r>
    </w:p>
    <w:p>
      <w:pPr>
        <w:spacing w:after="0" w:line="98" w:lineRule="exact"/>
        <w:rPr>
          <w:rFonts w:ascii="Times New Roman" w:cs="Times New Roman" w:eastAsia="Times New Roman" w:hAnsi="Times New Roman"/>
          <w:sz w:val="14"/>
          <w:szCs w:val="14"/>
          <w:color w:val="auto"/>
        </w:rPr>
      </w:pPr>
    </w:p>
    <w:p>
      <w:pPr>
        <w:ind w:left="2500" w:right="319" w:hanging="253"/>
        <w:spacing w:after="0" w:line="278" w:lineRule="auto"/>
        <w:tabs>
          <w:tab w:leader="none" w:pos="2500"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greatest amount of cash, securities or other property paid to the holder of one share of Digital Realty Trust, Inc. common stock in consideration of one share of Digital Realty Trust, Inc. common stock in connection with the termination transaction,</w:t>
      </w:r>
    </w:p>
    <w:p>
      <w:pPr>
        <w:spacing w:after="0" w:line="43" w:lineRule="exact"/>
        <w:rPr>
          <w:sz w:val="20"/>
          <w:szCs w:val="20"/>
          <w:color w:val="auto"/>
        </w:rPr>
      </w:pPr>
    </w:p>
    <w:p>
      <w:pPr>
        <w:ind w:left="1740" w:right="299"/>
        <w:spacing w:after="0" w:line="255" w:lineRule="auto"/>
        <w:rPr>
          <w:sz w:val="20"/>
          <w:szCs w:val="20"/>
          <w:color w:val="auto"/>
        </w:rPr>
      </w:pPr>
      <w:r>
        <w:rPr>
          <w:rFonts w:ascii="Times New Roman" w:cs="Times New Roman" w:eastAsia="Times New Roman" w:hAnsi="Times New Roman"/>
          <w:sz w:val="14"/>
          <w:szCs w:val="14"/>
          <w:color w:val="auto"/>
        </w:rPr>
        <w:t>provided that, if, in connection with a termination transaction, a purchase, tender or exchange offer is made to and accepted by the holders of more than 50% of the outstanding shares of Digital Realty Trust, Inc. common stock, each holder of common units will receive, or will have the right to elect to receive, the greatest amount of cash, securities or other property which such holder would have received had it exercised its redemption right and received shares of Digital Realty Trust, Inc. common stock in exchange for its common units immediately prior to the expiration of such purchase, tender or exchange offer and accepted such purchase, tender or exchange offer; or</w:t>
      </w:r>
    </w:p>
    <w:p>
      <w:pPr>
        <w:spacing w:after="0" w:line="69" w:lineRule="exact"/>
        <w:rPr>
          <w:sz w:val="20"/>
          <w:szCs w:val="20"/>
          <w:color w:val="auto"/>
        </w:rPr>
      </w:pPr>
    </w:p>
    <w:p>
      <w:pPr>
        <w:ind w:left="1740" w:hanging="334"/>
        <w:spacing w:after="0"/>
        <w:tabs>
          <w:tab w:leader="none" w:pos="17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conditions are met:</w:t>
      </w:r>
    </w:p>
    <w:p>
      <w:pPr>
        <w:spacing w:after="0" w:line="98" w:lineRule="exact"/>
        <w:rPr>
          <w:rFonts w:ascii="Times New Roman" w:cs="Times New Roman" w:eastAsia="Times New Roman" w:hAnsi="Times New Roman"/>
          <w:sz w:val="14"/>
          <w:szCs w:val="14"/>
          <w:color w:val="auto"/>
        </w:rPr>
      </w:pPr>
    </w:p>
    <w:p>
      <w:pPr>
        <w:ind w:left="2500" w:right="399" w:hanging="253"/>
        <w:spacing w:after="0" w:line="262" w:lineRule="auto"/>
        <w:tabs>
          <w:tab w:leader="none" w:pos="250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of the assets of the surviving entity are held directly or indirectly by the operating partnership or another limited partnership or limited liability company which is the surviving partnership of a merger, consolidation or combination of assets with the operating partnership;</w:t>
      </w:r>
    </w:p>
    <w:p>
      <w:pPr>
        <w:spacing w:after="0" w:line="64" w:lineRule="exact"/>
        <w:rPr>
          <w:rFonts w:ascii="Times New Roman" w:cs="Times New Roman" w:eastAsia="Times New Roman" w:hAnsi="Times New Roman"/>
          <w:sz w:val="14"/>
          <w:szCs w:val="14"/>
          <w:color w:val="auto"/>
        </w:rPr>
      </w:pPr>
    </w:p>
    <w:p>
      <w:pPr>
        <w:ind w:left="2500" w:right="439" w:hanging="253"/>
        <w:spacing w:after="0" w:line="262" w:lineRule="auto"/>
        <w:tabs>
          <w:tab w:leader="none" w:pos="250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common units and long-term incentive units own a percentage interest of the surviving partnership based on the relative fair market value of the operating partnership’s net assets and the other net assets of the surviving partnership immediately prior to the consummation of this transaction;</w:t>
      </w:r>
    </w:p>
    <w:p>
      <w:pPr>
        <w:spacing w:after="0" w:line="64" w:lineRule="exact"/>
        <w:rPr>
          <w:rFonts w:ascii="Times New Roman" w:cs="Times New Roman" w:eastAsia="Times New Roman" w:hAnsi="Times New Roman"/>
          <w:sz w:val="14"/>
          <w:szCs w:val="14"/>
          <w:color w:val="auto"/>
        </w:rPr>
      </w:pPr>
    </w:p>
    <w:p>
      <w:pPr>
        <w:ind w:left="2500" w:right="579" w:hanging="253"/>
        <w:spacing w:after="0" w:line="262" w:lineRule="auto"/>
        <w:tabs>
          <w:tab w:leader="none" w:pos="250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preferences and privileges of such unit holders in the surviving partnership are at least as favorable as those in effect immediately prior to the consummation of the transaction and as those applicable to any other limited partners or non-managing members of the surviving partnership; and</w:t>
      </w:r>
    </w:p>
    <w:p>
      <w:pPr>
        <w:spacing w:after="0" w:line="64" w:lineRule="exact"/>
        <w:rPr>
          <w:rFonts w:ascii="Times New Roman" w:cs="Times New Roman" w:eastAsia="Times New Roman" w:hAnsi="Times New Roman"/>
          <w:sz w:val="14"/>
          <w:szCs w:val="14"/>
          <w:color w:val="auto"/>
        </w:rPr>
      </w:pPr>
    </w:p>
    <w:p>
      <w:pPr>
        <w:ind w:left="2500" w:right="359" w:hanging="253"/>
        <w:spacing w:after="0" w:line="279" w:lineRule="auto"/>
        <w:tabs>
          <w:tab w:leader="none" w:pos="2500"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limited partners may exchange their interests in the surviving partnership for either the consideration available to the limited partners pursuant to paragraph (A) in this section, or the right to redeem their common units for cash on terms equivalent to those in effect with respect to their common units immediately prior to the consummation of the transaction, or, if the ultimate controlling person of the surviving partnership has publicly traded common equity securities, shares of those common equity securities, at an exchange ratio based on the relative fair market value of those securities and Digital Realty Trust, Inc. common stock.</w:t>
      </w:r>
    </w:p>
    <w:p>
      <w:pPr>
        <w:spacing w:after="0" w:line="2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90" w:lineRule="exact"/>
        <w:rPr>
          <w:sz w:val="20"/>
          <w:szCs w:val="20"/>
          <w:color w:val="auto"/>
        </w:rPr>
      </w:pPr>
    </w:p>
    <w:p>
      <w:pPr>
        <w:ind w:left="1400" w:right="599"/>
        <w:spacing w:after="0" w:line="278" w:lineRule="auto"/>
        <w:rPr>
          <w:sz w:val="20"/>
          <w:szCs w:val="20"/>
          <w:color w:val="auto"/>
        </w:rPr>
      </w:pPr>
      <w:r>
        <w:rPr>
          <w:rFonts w:ascii="Times New Roman" w:cs="Times New Roman" w:eastAsia="Times New Roman" w:hAnsi="Times New Roman"/>
          <w:sz w:val="14"/>
          <w:szCs w:val="14"/>
          <w:color w:val="auto"/>
        </w:rPr>
        <w:t>The operating partnership will continue in full force and effect until December 31, 2104, or until sooner dissolved in accordance with the operating partnership’s terms or as otherwise provided by law.</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Indemnification and Limitation of Liability</w:t>
      </w:r>
    </w:p>
    <w:p>
      <w:pPr>
        <w:spacing w:after="0" w:line="90" w:lineRule="exact"/>
        <w:rPr>
          <w:sz w:val="20"/>
          <w:szCs w:val="20"/>
          <w:color w:val="auto"/>
        </w:rPr>
      </w:pPr>
    </w:p>
    <w:p>
      <w:pPr>
        <w:ind w:left="1400" w:right="319"/>
        <w:spacing w:after="0" w:line="262" w:lineRule="auto"/>
        <w:rPr>
          <w:sz w:val="20"/>
          <w:szCs w:val="20"/>
          <w:color w:val="auto"/>
        </w:rPr>
      </w:pPr>
      <w:r>
        <w:rPr>
          <w:rFonts w:ascii="Times New Roman" w:cs="Times New Roman" w:eastAsia="Times New Roman" w:hAnsi="Times New Roman"/>
          <w:sz w:val="14"/>
          <w:szCs w:val="14"/>
          <w:color w:val="auto"/>
        </w:rPr>
        <w:t>To the extent permitted by applicable law, the partnership agreement indemnifies Digital Realty Trust, Inc., as general partner, and its officers, directors, employees, agents and any other persons it may designate from and against any and all claims arising from the operating partnership’s operations in which any indemnitee may be involved, or is threatened to be involved, as a party or otherwise, unless it is established that:</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2"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699" w:hanging="339"/>
        <w:spacing w:after="0" w:line="278" w:lineRule="auto"/>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 or omission of the indemnitee was material to the matter giving rise to the proceeding and either was committed in bad faith, constituted fraud or was the result of active and deliberate dishonesty;</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indemnitee actually received an improper personal benefit in money, property or services; or</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criminal proceeding, the indemnitee had reasonable cause to believe that the act or omission was unlawful.</w:t>
      </w:r>
    </w:p>
    <w:p>
      <w:pPr>
        <w:spacing w:after="0" w:line="171" w:lineRule="exact"/>
        <w:rPr>
          <w:sz w:val="20"/>
          <w:szCs w:val="20"/>
          <w:color w:val="auto"/>
        </w:rPr>
      </w:pPr>
    </w:p>
    <w:p>
      <w:pPr>
        <w:ind w:left="1400" w:right="439"/>
        <w:spacing w:after="0" w:line="262" w:lineRule="auto"/>
        <w:rPr>
          <w:sz w:val="20"/>
          <w:szCs w:val="20"/>
          <w:color w:val="auto"/>
        </w:rPr>
      </w:pPr>
      <w:r>
        <w:rPr>
          <w:rFonts w:ascii="Times New Roman" w:cs="Times New Roman" w:eastAsia="Times New Roman" w:hAnsi="Times New Roman"/>
          <w:sz w:val="14"/>
          <w:szCs w:val="14"/>
          <w:color w:val="auto"/>
        </w:rPr>
        <w:t>Similarly, Digital Realty Trust, Inc., as the operating partnership’s general partner, and its officers, directors, agents or employees, are not liable or accountable to the operating partnership for losses sustained, liabilities incurred or benefits not derived as a result of errors in judgment or mistakes of fact or law or any act or omission so long as Digital Realty Trust, Inc. acted in good faith.</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3"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MATERIAL PROVISIONS OF MARYLAND LAW AND OF THE CHARTER AND BYLAWS OF DIGITAL REALTY TRUST, INC.</w:t>
      </w:r>
    </w:p>
    <w:p>
      <w:pPr>
        <w:spacing w:after="0" w:line="171" w:lineRule="exact"/>
        <w:rPr>
          <w:sz w:val="20"/>
          <w:szCs w:val="20"/>
          <w:color w:val="auto"/>
        </w:rPr>
      </w:pPr>
    </w:p>
    <w:p>
      <w:pPr>
        <w:ind w:left="1400" w:right="279"/>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summary of certain provisions of Maryland law and of Digital Realty Trust, Inc.’s charter and bylaws does not purport to be complete and is subject to and qualified in its entirety by reference to Maryland law and the company’s charter and bylaws, copies of which are exhibits to the registration statement of which this prospectus is a part. See “Where You Can Find More Information.”</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The Company’s Board of Directors</w:t>
      </w:r>
    </w:p>
    <w:p>
      <w:pPr>
        <w:spacing w:after="0" w:line="90"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The company’s bylaws provide that the number of directors of the company may be established by the company’s board of directors but may not be fewer than the minimum number permitted under the MGCL or more than 15. Except as may be provided by the company’s board of directors in setting the terms of any class or series of stock, any vacancy may be filled only by a vote of a majority of the remaining directors, even if the remaining directors do not constitute a quorum. Any director elected to fill a vacancy shall serve for the remainder of the full term of the directorship in which the vacancy occurred and until a successor is elected and qualifies.</w:t>
      </w:r>
    </w:p>
    <w:p>
      <w:pPr>
        <w:spacing w:after="0" w:line="142" w:lineRule="exact"/>
        <w:rPr>
          <w:sz w:val="20"/>
          <w:szCs w:val="20"/>
          <w:color w:val="auto"/>
        </w:rPr>
      </w:pPr>
    </w:p>
    <w:p>
      <w:pPr>
        <w:ind w:left="1400" w:right="279"/>
        <w:spacing w:after="0" w:line="275" w:lineRule="auto"/>
        <w:rPr>
          <w:sz w:val="20"/>
          <w:szCs w:val="20"/>
          <w:color w:val="auto"/>
        </w:rPr>
      </w:pPr>
      <w:r>
        <w:rPr>
          <w:rFonts w:ascii="Times New Roman" w:cs="Times New Roman" w:eastAsia="Times New Roman" w:hAnsi="Times New Roman"/>
          <w:sz w:val="13"/>
          <w:szCs w:val="13"/>
          <w:color w:val="auto"/>
        </w:rPr>
        <w:t>Each of the company’s directors is elected by the company’s common stockholders to serve until the next annual meeting and until their successors are duly elected and qualify. Holders of shares of the company’s common stock will have no right to cumulative voting in the election of directors. Consequently, at each annual meeting of stockholders, the holders of a majority of the shares of the common stock will be able to elect all of the company’s directors. Additionally, in the event that the company is in arrears on dividends on the company’s series J preferred stock, series K preferred stock or series L preferred stock for six or more quarterly periods, whether or not consecutive, holders of the company’s series J preferred stock, series K preferred stock or series L preferred stock as the case may be, voting as a single class with all other series of preferred stock upon which like voting rights have been conferred and are exercisable, will have the right to elect two additional directors to the company’s board for a limited time.</w:t>
      </w:r>
    </w:p>
    <w:p>
      <w:pPr>
        <w:spacing w:after="0" w:line="2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Removal of Directors</w:t>
      </w:r>
    </w:p>
    <w:p>
      <w:pPr>
        <w:spacing w:after="0" w:line="90" w:lineRule="exact"/>
        <w:rPr>
          <w:sz w:val="20"/>
          <w:szCs w:val="20"/>
          <w:color w:val="auto"/>
        </w:rPr>
      </w:pPr>
    </w:p>
    <w:p>
      <w:pPr>
        <w:ind w:left="1400" w:right="339"/>
        <w:spacing w:after="0" w:line="253" w:lineRule="auto"/>
        <w:rPr>
          <w:sz w:val="20"/>
          <w:szCs w:val="20"/>
          <w:color w:val="auto"/>
        </w:rPr>
      </w:pPr>
      <w:r>
        <w:rPr>
          <w:rFonts w:ascii="Times New Roman" w:cs="Times New Roman" w:eastAsia="Times New Roman" w:hAnsi="Times New Roman"/>
          <w:sz w:val="14"/>
          <w:szCs w:val="14"/>
          <w:color w:val="auto"/>
        </w:rPr>
        <w:t>The company’s charter provides that a director may be removed only for cause (as defined in the company’s charter) and only by the affirmative vote of stockholders entitled to cast at least two-thirds of the votes entitled to be cast generally in the election of directors. This provision, when coupled with the exclusive power of the company’s board of directors to fill vacant directorships, precludes stockholders from (1) removing incumbent directors except upon the existence of cause for removal and a substantial affirmative vote and (2) filling the vacancies created by such removal with their own nominees. In addition, any director elected to the company’s board by the holders of the company’s preferred stock may only be removed by a vote of preferred stockholders.</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0"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Under the MGCL, certain “business combinations” (including a merger, consolidation, share exchange or, in certain circumstances, an asset transfer or issuance or reclassification of equity securities) between a Maryland corporation and any interested stockholder, or an affiliate of such an interested stockholder, are prohibited for five years after the most recent date on which the interested stockholder becomes an interested stockholder. Maryland law defines an interested stockholder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of, directly or indirectly, 10% or more of the voting power of the then outstanding stock of the corporation. A person is not an interested stockholder under the statute if the board of directors approved in advance the transaction by which the person otherwise would have become an interested stockholder. The company’s board of directors may provide that its approval is subject to compliance with any terms and conditions determined by it.</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2"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After such five-year period, any such business combination must be recommended by the board of directors of such corporation and approved by the affirmative vote of at least (1) 80% of the votes entitled to be cast by holders of outstanding shares of voting stock of the corporation and (2) two-thirds of the votes entitled to be cast by holders of voting stock of the corporation other than shares held by the interested stockholder with whom (or with whose affiliate) the business combination is to be effected or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w:t>
      </w:r>
    </w:p>
    <w:p>
      <w:pPr>
        <w:spacing w:after="0" w:line="145"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These provisions of the MGCL do not apply, however, to business combinations that are approved or exempted by a board of directors prior to the time that the interested stockholder becomes an interested stockholder. Pursuant to the statute, the company’s board of directors has by resolution opted out of the business combination provisions of the MGCL and, consequently, the five-year prohibition and the supermajority vote requirements will not apply to business combinations between us and any interested stockholder of the company. As a result, anyone who later becomes an interested stockholder may be able to enter into business combinations with the company that may not be in the best interest of the company’s stockholders without compliance by the company with the super-majority vote requirements and the other provisions of the statute. The company cannot assure you that its board of directors will not opt to be subject to such business combination provisions in the future.</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Control Share Acquisitions</w:t>
      </w:r>
    </w:p>
    <w:p>
      <w:pPr>
        <w:spacing w:after="0" w:line="90" w:lineRule="exact"/>
        <w:rPr>
          <w:sz w:val="20"/>
          <w:szCs w:val="20"/>
          <w:color w:val="auto"/>
        </w:rPr>
      </w:pPr>
    </w:p>
    <w:p>
      <w:pPr>
        <w:ind w:left="1400" w:right="339"/>
        <w:spacing w:after="0" w:line="250" w:lineRule="auto"/>
        <w:rPr>
          <w:sz w:val="20"/>
          <w:szCs w:val="20"/>
          <w:color w:val="auto"/>
        </w:rPr>
      </w:pPr>
      <w:r>
        <w:rPr>
          <w:rFonts w:ascii="Times New Roman" w:cs="Times New Roman" w:eastAsia="Times New Roman" w:hAnsi="Times New Roman"/>
          <w:sz w:val="14"/>
          <w:szCs w:val="14"/>
          <w:color w:val="auto"/>
        </w:rPr>
        <w:t>The MGCL provides that “control shares” of a Maryland corporation acquired in a “control share acquisition” have no voting rights except to the extent approved at a special meeting by the affirmative vote of stockholders entitled to cast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(1) a person who makes or proposes to make a control share acquisition, (2) an officer of the corporation or (3) an employee of the corporation who is also a director of the corporation. “Control shares” are voting shares of stock which, if aggregated with all other such shares of stock previously acquired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(1) one-tenth or more but less than one-third, (2) one-third or more but less than a majority, or (3) a majority or more of all voting power.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50" w:lineRule="exact"/>
        <w:rPr>
          <w:sz w:val="20"/>
          <w:szCs w:val="20"/>
          <w:color w:val="auto"/>
        </w:rPr>
      </w:pPr>
    </w:p>
    <w:p>
      <w:pPr>
        <w:ind w:left="1400" w:right="439"/>
        <w:spacing w:after="0" w:line="292" w:lineRule="auto"/>
        <w:rPr>
          <w:sz w:val="20"/>
          <w:szCs w:val="20"/>
          <w:color w:val="auto"/>
        </w:rPr>
      </w:pPr>
      <w:r>
        <w:rPr>
          <w:rFonts w:ascii="Times New Roman" w:cs="Times New Roman" w:eastAsia="Times New Roman" w:hAnsi="Times New Roman"/>
          <w:sz w:val="13"/>
          <w:szCs w:val="13"/>
          <w:color w:val="auto"/>
        </w:rPr>
        <w:t>A person who has made or proposes to make a control share acquisition, upon satisfaction of certain conditions (including an undertaking to pay expenses), may compel the company’s board of directors to call a special meeting of stockholders to be held within 50 days of demand to consider the voting rights of the control shares. If no request for a meeting is made, the corporation may itself present the question at any stockholders’ meeting.</w:t>
      </w:r>
    </w:p>
    <w:p>
      <w:pPr>
        <w:spacing w:after="0" w:line="119"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If voting rights of control shares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acquiror.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2"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The control share acquisition statute does not apply (1) to shares acquired in a merger, consolidation or share exchange if the corporation is a party to the transaction or (2) to acquisitions approved or exempted by the charter or bylaws of the corporation.</w:t>
      </w:r>
    </w:p>
    <w:p>
      <w:pPr>
        <w:spacing w:after="0" w:line="126" w:lineRule="exact"/>
        <w:rPr>
          <w:sz w:val="20"/>
          <w:szCs w:val="20"/>
          <w:color w:val="auto"/>
        </w:rPr>
      </w:pPr>
    </w:p>
    <w:p>
      <w:pPr>
        <w:ind w:left="1400" w:right="319"/>
        <w:spacing w:after="0" w:line="318" w:lineRule="auto"/>
        <w:rPr>
          <w:sz w:val="20"/>
          <w:szCs w:val="20"/>
          <w:color w:val="auto"/>
        </w:rPr>
      </w:pPr>
      <w:r>
        <w:rPr>
          <w:rFonts w:ascii="Times New Roman" w:cs="Times New Roman" w:eastAsia="Times New Roman" w:hAnsi="Times New Roman"/>
          <w:sz w:val="13"/>
          <w:szCs w:val="13"/>
          <w:color w:val="auto"/>
        </w:rPr>
        <w:t>The company’s bylaws contain a provision exempting from the control share acquisition statute any and all acquisitions by any person of the company’s stock. The company cannot provide you any assurance that its board of directors will not amend or eliminate this provision at any time in the future.</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Subtitle 8</w:t>
      </w:r>
    </w:p>
    <w:p>
      <w:pPr>
        <w:spacing w:after="0" w:line="90" w:lineRule="exact"/>
        <w:rPr>
          <w:sz w:val="20"/>
          <w:szCs w:val="20"/>
          <w:color w:val="auto"/>
        </w:rPr>
      </w:pPr>
    </w:p>
    <w:p>
      <w:pPr>
        <w:ind w:left="1400" w:right="399"/>
        <w:spacing w:after="0" w:line="250" w:lineRule="auto"/>
        <w:rPr>
          <w:sz w:val="20"/>
          <w:szCs w:val="20"/>
          <w:color w:val="auto"/>
        </w:rPr>
      </w:pPr>
      <w:r>
        <w:rPr>
          <w:rFonts w:ascii="Times New Roman" w:cs="Times New Roman" w:eastAsia="Times New Roman" w:hAnsi="Times New Roman"/>
          <w:sz w:val="14"/>
          <w:szCs w:val="14"/>
          <w:color w:val="auto"/>
        </w:rPr>
        <w:t>Title 3, Subtitle 8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of (1) a classified board of directors, (2) a two-thirds vote requirement for removing a director, (3) a requirement that the number of directors be fixed only by vote of the directors, (4) a requirement that a vacancy on the board of directors be filled only by the remaining directors and for the remainder of the full term of the class of directors in which the vacancy occurred, or (5) a majority requirement for the calling of a stockholder-requested special meeting of stockholders. Pursuant to Subtitle 8, the company has elected to provide that vacancies on its board of directors may be filled only by the remaining directors and for the remainder of the full term of the directorship in which the vacancy occurred. Through provisions in the company’s charter and bylaws unrelated to Subtitle 8, the company already requires a two-thirds vote for the removal of any director from the board of directors, vests in the board of directors the exclusive power to fix the number of directorships and requires, unless called by the chair of the company’s board of directors, or the company’s president, chief executive officer or board of directors, the written request of stockholders entitled to cast a majority of all the votes entitled to be cast on any matter that may be properly considered at a meeting of stockholders to call a special meeting to act on such matter.</w:t>
      </w:r>
    </w:p>
    <w:p>
      <w:pPr>
        <w:spacing w:after="0" w:line="2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Amendments to the Company’s Charter and Bylaws</w:t>
      </w:r>
    </w:p>
    <w:p>
      <w:pPr>
        <w:spacing w:after="0" w:line="90" w:lineRule="exact"/>
        <w:rPr>
          <w:sz w:val="20"/>
          <w:szCs w:val="20"/>
          <w:color w:val="auto"/>
        </w:rPr>
      </w:pPr>
    </w:p>
    <w:p>
      <w:pPr>
        <w:ind w:left="1400" w:right="299"/>
        <w:spacing w:after="0" w:line="270" w:lineRule="auto"/>
        <w:rPr>
          <w:sz w:val="20"/>
          <w:szCs w:val="20"/>
          <w:color w:val="auto"/>
        </w:rPr>
      </w:pPr>
      <w:r>
        <w:rPr>
          <w:rFonts w:ascii="Times New Roman" w:cs="Times New Roman" w:eastAsia="Times New Roman" w:hAnsi="Times New Roman"/>
          <w:sz w:val="13"/>
          <w:szCs w:val="13"/>
          <w:color w:val="auto"/>
        </w:rPr>
        <w:t>The company’s charter generally may be amended only if such amendment is declared advisable by the company’s board of directors and approved by the affirmative vote of stockholders entitled to cast a majority of all of the votes entitled to be cast on the matter. In the case of an amendment that would materially and adversely affect the company’s series J preferred stock, series K preferred stock or series L preferred stock, the consent of the holders of two-thirds of the outstanding shares of the company’s series J preferred stock, series K preferred stock or series L preferred stock, as the case may be, voting as a single class with all other classes or series of preferred stock ranking on parity with respect to the payment of dividends and distribution of assets upon the company’s liquidation and upon which like voting rights have been conferred is also required. However, the company’s charter’s provisions regarding removal of directors and the vote required for certain amendments may be amended only if such amendment is declared advisable by the company’s board of directors and approved by the affirmative vote of stockholders entitled to cast not less than two-thirds of all the votes entitled to be cast on the matter. The company’s board of directors has the power to adopt, alter or repeal any provision of the company’s bylaws or to make new bylaws. In addition, pursuant to a proposal that is submitted to the stockholders of the company for approval at a duly called annual or special meeting of stockholders in accordance with the company’s bylaws and is otherwise permitted by applicable law, the stockholders of the company may alter or repeal the company’s bylaws, or adopt new bylaws, provided such alteration, repeal or adoption is approved by the affirmative vote of a majority of all the votes entitled to be cast on the matter. However, the stockholders may not alter or repeal, or adopt new bylaws inconsistent with, the provisions of the bylaws relating to indemnification or the amendment of the bylaws without the approval of the company’s board of directors.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3"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Transactions Outside the Ordinary Course of Business</w:t>
      </w:r>
    </w:p>
    <w:p>
      <w:pPr>
        <w:spacing w:after="0" w:line="90" w:lineRule="exact"/>
        <w:rPr>
          <w:sz w:val="20"/>
          <w:szCs w:val="20"/>
          <w:color w:val="auto"/>
        </w:rPr>
      </w:pPr>
    </w:p>
    <w:p>
      <w:pPr>
        <w:ind w:left="1400" w:right="279"/>
        <w:spacing w:after="0" w:line="250" w:lineRule="auto"/>
        <w:rPr>
          <w:sz w:val="20"/>
          <w:szCs w:val="20"/>
          <w:color w:val="auto"/>
        </w:rPr>
      </w:pPr>
      <w:r>
        <w:rPr>
          <w:rFonts w:ascii="Times New Roman" w:cs="Times New Roman" w:eastAsia="Times New Roman" w:hAnsi="Times New Roman"/>
          <w:sz w:val="14"/>
          <w:szCs w:val="14"/>
          <w:color w:val="auto"/>
        </w:rPr>
        <w:t xml:space="preserve">The company may not merge with or into another company, convert to another entity, sell all or substantially all of its assets, engage in a share exchange or engage in similar transactions outside the ordinary course of business unless the transaction is declared advisable by the company’s board of directors and approved by the affirmative vote of stockholders entitled to cast a majority of all of the votes entitled to be cast on the matter. In the case of any such transaction that would materially and adversely affect the company’s series J preferred stock, series K preferred stock or series L preferred stock, the company will also require the consent of the holders of two-thirds of the outstanding shares of the company’s series J preferred stock, series K preferred stock or series L preferred stock, as the case may be, voting as a single class with all other classes or series of preferred stock ranking on parity with respect to the payment of dividends and distribution of assets upon the company’s liquidation and upon which like voting rights have been conferred,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if, upon the occurrence of such a transaction, series J preferred stock, series K preferred stock or series L preferred stock, as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case may be, remains outstanding with materially unchanged terms, taking into account that the company may not be the surviving entity, then the transaction will not be deemed to materially and adversely affect the company’s series J preferred stock, series K preferred stock or series L preferred stock. Furthermore, the company’s charter expressly provides that the consent of series J, series K or series L preferred stockholders is not required for a transaction if, pursuant to such a transaction, series J, series K and series L preferred stockholders receive the greater of the full trading price of the series J preferred stock, series K preferred stock or series L preferred stock, as the case may be, on the date of the transaction or the liquidation preference.</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Dissolution of the Company</w:t>
      </w:r>
    </w:p>
    <w:p>
      <w:pPr>
        <w:spacing w:after="0" w:line="90" w:lineRule="exact"/>
        <w:rPr>
          <w:sz w:val="20"/>
          <w:szCs w:val="20"/>
          <w:color w:val="auto"/>
        </w:rPr>
      </w:pPr>
    </w:p>
    <w:p>
      <w:pPr>
        <w:ind w:left="1400" w:right="539"/>
        <w:spacing w:after="0" w:line="278" w:lineRule="auto"/>
        <w:rPr>
          <w:sz w:val="20"/>
          <w:szCs w:val="20"/>
          <w:color w:val="auto"/>
        </w:rPr>
      </w:pPr>
      <w:r>
        <w:rPr>
          <w:rFonts w:ascii="Times New Roman" w:cs="Times New Roman" w:eastAsia="Times New Roman" w:hAnsi="Times New Roman"/>
          <w:sz w:val="14"/>
          <w:szCs w:val="14"/>
          <w:color w:val="auto"/>
        </w:rPr>
        <w:t>The dissolution of the company must be declared advisable by a majority of the company’s entire board of directors and approved by the affirmative vote of stockholders entitled to cast a majority of all of the votes entitled to be cast on the matter.</w:t>
      </w:r>
    </w:p>
    <w:p>
      <w:pPr>
        <w:spacing w:after="0" w:line="2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Advance Notice of Director Nominations and New Business</w:t>
      </w:r>
    </w:p>
    <w:p>
      <w:pPr>
        <w:spacing w:after="0" w:line="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company’s bylaws provide that:</w:t>
      </w:r>
    </w:p>
    <w:p>
      <w:pPr>
        <w:spacing w:after="0" w:line="99" w:lineRule="exact"/>
        <w:rPr>
          <w:sz w:val="20"/>
          <w:szCs w:val="20"/>
          <w:color w:val="auto"/>
        </w:rPr>
      </w:pPr>
    </w:p>
    <w:p>
      <w:pPr>
        <w:ind w:left="2160" w:right="599" w:hanging="339"/>
        <w:spacing w:after="0" w:line="278" w:lineRule="auto"/>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 annual meeting of stockholders, nominations of individuals for election to the company’s board of directors and the proposal of business to be considered by stockholders may be made only:</w:t>
      </w:r>
    </w:p>
    <w:p>
      <w:pPr>
        <w:spacing w:after="0" w:line="52" w:lineRule="exact"/>
        <w:rPr>
          <w:rFonts w:ascii="Times New Roman" w:cs="Times New Roman" w:eastAsia="Times New Roman" w:hAnsi="Times New Roman"/>
          <w:sz w:val="14"/>
          <w:szCs w:val="14"/>
          <w:color w:val="auto"/>
        </w:rPr>
      </w:pPr>
    </w:p>
    <w:p>
      <w:pPr>
        <w:ind w:left="2500" w:hanging="253"/>
        <w:spacing w:after="0"/>
        <w:tabs>
          <w:tab w:leader="none" w:pos="25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company’s notice of the meeting;</w:t>
      </w:r>
    </w:p>
    <w:p>
      <w:pPr>
        <w:spacing w:after="0" w:line="98" w:lineRule="exact"/>
        <w:rPr>
          <w:rFonts w:ascii="Times New Roman" w:cs="Times New Roman" w:eastAsia="Times New Roman" w:hAnsi="Times New Roman"/>
          <w:sz w:val="14"/>
          <w:szCs w:val="14"/>
          <w:color w:val="auto"/>
        </w:rPr>
      </w:pPr>
    </w:p>
    <w:p>
      <w:pPr>
        <w:ind w:left="2500" w:hanging="253"/>
        <w:spacing w:after="0"/>
        <w:tabs>
          <w:tab w:leader="none" w:pos="25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or at the direction of the company’s board of directors; or</w:t>
      </w:r>
    </w:p>
    <w:p>
      <w:pPr>
        <w:spacing w:after="0" w:line="98" w:lineRule="exact"/>
        <w:rPr>
          <w:rFonts w:ascii="Times New Roman" w:cs="Times New Roman" w:eastAsia="Times New Roman" w:hAnsi="Times New Roman"/>
          <w:sz w:val="14"/>
          <w:szCs w:val="14"/>
          <w:color w:val="auto"/>
        </w:rPr>
      </w:pPr>
    </w:p>
    <w:p>
      <w:pPr>
        <w:ind w:left="2500" w:right="319" w:hanging="253"/>
        <w:spacing w:after="0" w:line="255" w:lineRule="auto"/>
        <w:tabs>
          <w:tab w:leader="none" w:pos="25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stockholder who is a stockholder of record at the record date set by the Board of Directors for the purpose of determining stockholders entitled to vote at the annual meeting, at the time of giving the advance notice required by the company’s bylaws and at the time of the meeting (and any postponement or adjournment thereof), who is entitled to vote at the meeting in the election of each individual so nominated or any such other business and who has complied with the advance notice procedures set forth in the company’s bylaws; and</w:t>
      </w:r>
    </w:p>
    <w:p>
      <w:pPr>
        <w:spacing w:after="0" w:line="69" w:lineRule="exact"/>
        <w:rPr>
          <w:rFonts w:ascii="Times New Roman" w:cs="Times New Roman" w:eastAsia="Times New Roman" w:hAnsi="Times New Roman"/>
          <w:sz w:val="14"/>
          <w:szCs w:val="14"/>
          <w:color w:val="auto"/>
        </w:rPr>
      </w:pPr>
    </w:p>
    <w:p>
      <w:pPr>
        <w:ind w:left="2160" w:right="319" w:hanging="339"/>
        <w:spacing w:after="0" w:line="278" w:lineRule="auto"/>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special meetings of stockholders, only the business specified in the company’s notice of meeting may be brought before the meeting of stockholders and nominations of individuals for election to the company’s board of directors may be made only:</w:t>
      </w:r>
    </w:p>
    <w:p>
      <w:pPr>
        <w:spacing w:after="0" w:line="52" w:lineRule="exact"/>
        <w:rPr>
          <w:rFonts w:ascii="Times New Roman" w:cs="Times New Roman" w:eastAsia="Times New Roman" w:hAnsi="Times New Roman"/>
          <w:sz w:val="14"/>
          <w:szCs w:val="14"/>
          <w:color w:val="auto"/>
        </w:rPr>
      </w:pPr>
    </w:p>
    <w:p>
      <w:pPr>
        <w:ind w:left="2500" w:hanging="253"/>
        <w:spacing w:after="0"/>
        <w:tabs>
          <w:tab w:leader="none" w:pos="25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or at the direction of the company’s board of directors; or</w:t>
      </w:r>
    </w:p>
    <w:p>
      <w:pPr>
        <w:spacing w:after="0" w:line="98" w:lineRule="exact"/>
        <w:rPr>
          <w:rFonts w:ascii="Times New Roman" w:cs="Times New Roman" w:eastAsia="Times New Roman" w:hAnsi="Times New Roman"/>
          <w:sz w:val="14"/>
          <w:szCs w:val="14"/>
          <w:color w:val="auto"/>
        </w:rPr>
      </w:pPr>
    </w:p>
    <w:p>
      <w:pPr>
        <w:jc w:val="both"/>
        <w:ind w:left="2500" w:right="919" w:hanging="253"/>
        <w:spacing w:after="0" w:line="262" w:lineRule="auto"/>
        <w:tabs>
          <w:tab w:leader="none" w:pos="25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the special meeting has been called in accordance with the bylaws for the purpose of electing directors, by a stockholder who is a stockholder of record at the record date set by the Board of Directors for the purpose of determining stockholders entitled to vote at the annual</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2"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500" w:right="539"/>
        <w:spacing w:after="0" w:line="262" w:lineRule="auto"/>
        <w:rPr>
          <w:sz w:val="20"/>
          <w:szCs w:val="20"/>
          <w:color w:val="auto"/>
        </w:rPr>
      </w:pPr>
      <w:r>
        <w:rPr>
          <w:rFonts w:ascii="Times New Roman" w:cs="Times New Roman" w:eastAsia="Times New Roman" w:hAnsi="Times New Roman"/>
          <w:sz w:val="14"/>
          <w:szCs w:val="14"/>
          <w:color w:val="auto"/>
        </w:rPr>
        <w:t>meeting, at the time of giving the advance notice required by the company’s bylaws and at the time of the meeting (and any postponement or adjournment thereof), who is entitled to vote at the meeting and in the election of each individual so nominated who has complied with the advance notice provisions set forth in the company’s bylaws.</w:t>
      </w:r>
    </w:p>
    <w:p>
      <w:pPr>
        <w:spacing w:after="0" w:line="138"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The advance notice procedures of the company’s bylaws provide that, to be timely, a stockholder’s notice with respect to director nominations or proposals for an annual meeting must be delivered to the company’s corporate secretary at the company’s principal executive office not earlier than the 150th day nor later than 5:00 p.m., Central Time, on the 120th day prior to the first anniversary of the date of the proxy statement for the company’s preceding year’s annual meeting. If the date of the annual meeting is advanced or delayed by more than 30 days from the first anniversary of the date of the preceding year’s annual meeting, to be timely, a stockholder’s notice must be delivered not earlier than the 150th day prior to the date of such annual meeting and not later than 5:00 p.m., Central time, on the later of the 120th day prior to the date of such annual meeting, as originally convened, or the tenth day following the day on which public announcement of the date of such meeting is first made.</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Proxy Access</w:t>
      </w:r>
    </w:p>
    <w:p>
      <w:pPr>
        <w:spacing w:after="0" w:line="90" w:lineRule="exact"/>
        <w:rPr>
          <w:sz w:val="20"/>
          <w:szCs w:val="20"/>
          <w:color w:val="auto"/>
        </w:rPr>
      </w:pPr>
    </w:p>
    <w:p>
      <w:pPr>
        <w:ind w:left="1400" w:right="419"/>
        <w:spacing w:after="0" w:line="255" w:lineRule="auto"/>
        <w:rPr>
          <w:sz w:val="20"/>
          <w:szCs w:val="20"/>
          <w:color w:val="auto"/>
        </w:rPr>
      </w:pPr>
      <w:r>
        <w:rPr>
          <w:rFonts w:ascii="Times New Roman" w:cs="Times New Roman" w:eastAsia="Times New Roman" w:hAnsi="Times New Roman"/>
          <w:sz w:val="14"/>
          <w:szCs w:val="14"/>
          <w:color w:val="auto"/>
        </w:rPr>
        <w:t>The company’s bylaws contain proxy access provisions which permit any stockholder or group of up to 20 shareholders owning at least 3% of the company’s outstanding shares of common stock continuously for at least three years to nominate and include up to a specified number of director nominees in the company’s proxy materials for an annual meeting of shareholders. The maximum number of stockholder nominees permitted under these proxy access provisions shall not exceed 20% of the total number of directors in office as of the last day on which a stockholder nomination may be delivered.</w:t>
      </w:r>
    </w:p>
    <w:p>
      <w:pPr>
        <w:spacing w:after="0" w:line="142"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Under such proxy access provisions, a stockholder’s written notice of nominations of individuals for election to the company’s board of directors to be included in the company’s proxy statement for an annual meeting must be delivered to the secretary of the company at the company’s principal executive offices not earlier than the 150th day nor later than 5:00 p.m., Central Time, on the 120th day prior to the anniversary of the date of the proxy statement for the preceding year’s annual meeting of stockholders. Neither the postponement or adjournment of an annual meeting, nor the public disclosure of such postponement or adjournment, commences a new time period for the giving of a stockholder’s written notice.</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Anti-takeover Effect of Certain Provisions of Maryland Law and of the Company’s Charter and Bylaws</w:t>
      </w:r>
    </w:p>
    <w:p>
      <w:pPr>
        <w:spacing w:after="0" w:line="90"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The provisions of the company’s charter on removal of directors and the advance notice provisions of the bylaws could delay, defer or prevent a transaction or a change of control of the company that might involve a premium price for holders of the company’s common stock or otherwise be in their best interest. Likewise, if the company’s board of directors were to opt in to the business combination provisions of the MGCL or the provisions of Title 3, Subtitle 8 of the MGCL not already applicable to the company, or if the provision in the bylaws opting out of the control share acquisition provisions of the MGCL were rescinded, these provisions of the MGCL could have similar anti-takeover effects.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Ownership Limit</w:t>
      </w:r>
    </w:p>
    <w:p>
      <w:pPr>
        <w:spacing w:after="0" w:line="90" w:lineRule="exact"/>
        <w:rPr>
          <w:sz w:val="20"/>
          <w:szCs w:val="20"/>
          <w:color w:val="auto"/>
        </w:rPr>
      </w:pPr>
    </w:p>
    <w:p>
      <w:pPr>
        <w:ind w:left="1400" w:right="379"/>
        <w:spacing w:after="0" w:line="255" w:lineRule="auto"/>
        <w:rPr>
          <w:sz w:val="20"/>
          <w:szCs w:val="20"/>
          <w:color w:val="auto"/>
        </w:rPr>
      </w:pPr>
      <w:r>
        <w:rPr>
          <w:rFonts w:ascii="Times New Roman" w:cs="Times New Roman" w:eastAsia="Times New Roman" w:hAnsi="Times New Roman"/>
          <w:sz w:val="14"/>
          <w:szCs w:val="14"/>
          <w:color w:val="auto"/>
        </w:rPr>
        <w:t>The company’s charter provides that no person or entity may beneficially own, or be deemed to own by virtue of the applicable constructive ownership provisions of the Code, more than 9.8% (by value or by number of shares, whichever is more restrictive) of the outstanding shares of the company’s common stock or any series of preferred stock or more than 9.8% of the value of the company’s outstanding capital stock. The company refers to these restrictions as the “ownership limits.” For a fuller description of this restriction and the constructive ownership rules, see “Restrictions on Ownership and Transfer.”</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Indemnification and Limitation of Directors’ and Officers’ Liability</w:t>
      </w:r>
    </w:p>
    <w:p>
      <w:pPr>
        <w:spacing w:after="0" w:line="90" w:lineRule="exact"/>
        <w:rPr>
          <w:sz w:val="20"/>
          <w:szCs w:val="20"/>
          <w:color w:val="auto"/>
        </w:rPr>
      </w:pPr>
    </w:p>
    <w:p>
      <w:pPr>
        <w:ind w:left="1400" w:right="419"/>
        <w:spacing w:after="0" w:line="278" w:lineRule="auto"/>
        <w:rPr>
          <w:sz w:val="20"/>
          <w:szCs w:val="20"/>
          <w:color w:val="auto"/>
        </w:rPr>
      </w:pPr>
      <w:r>
        <w:rPr>
          <w:rFonts w:ascii="Times New Roman" w:cs="Times New Roman" w:eastAsia="Times New Roman" w:hAnsi="Times New Roman"/>
          <w:sz w:val="14"/>
          <w:szCs w:val="14"/>
          <w:color w:val="auto"/>
        </w:rPr>
        <w:t>The MGCL permits a Maryland corporation to include in its charter a provision limiting the liability of its directors and officers to the corporation and its stockholders for money damages except for liability resulting</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2"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jc w:val="both"/>
        <w:ind w:left="1400" w:right="359"/>
        <w:spacing w:after="0" w:line="262" w:lineRule="auto"/>
        <w:rPr>
          <w:sz w:val="20"/>
          <w:szCs w:val="20"/>
          <w:color w:val="auto"/>
        </w:rPr>
      </w:pPr>
      <w:r>
        <w:rPr>
          <w:rFonts w:ascii="Times New Roman" w:cs="Times New Roman" w:eastAsia="Times New Roman" w:hAnsi="Times New Roman"/>
          <w:sz w:val="14"/>
          <w:szCs w:val="14"/>
          <w:color w:val="auto"/>
        </w:rPr>
        <w:t>from actual receipt of an improper benefit or profit in money, property or services or active and deliberate dishonesty established by a final judgment as being material to the cause of action. The company’s charter contains such a provision which eliminates such liability to the maximum extent permitted by Maryland law.</w:t>
      </w:r>
    </w:p>
    <w:p>
      <w:pPr>
        <w:spacing w:after="0" w:line="138"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The MGCL requires a corporation (unless its charter provides otherwise, which the company’s charter does not) to indemnify a director or officer who has been successful, on the merits or otherwise, in the defense of any proceeding to which he or she is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w:t>
      </w:r>
    </w:p>
    <w:p>
      <w:pPr>
        <w:spacing w:after="0" w:line="69" w:lineRule="exact"/>
        <w:rPr>
          <w:sz w:val="20"/>
          <w:szCs w:val="20"/>
          <w:color w:val="auto"/>
        </w:rPr>
      </w:pPr>
    </w:p>
    <w:p>
      <w:pPr>
        <w:ind w:left="2160" w:hanging="339"/>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 or omission of the director or officer was material to the matter giving rise to the proceeding, and: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committed in bad faith; or</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the result of active and deliberate dishonesty;</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 or officer actually received an improper personal benefit in money, property or services; or</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criminal proceeding, the director or officer had reasonable cause to believe that the act or omission was unlawful.</w:t>
      </w:r>
    </w:p>
    <w:p>
      <w:pPr>
        <w:spacing w:after="0" w:line="171" w:lineRule="exact"/>
        <w:rPr>
          <w:sz w:val="20"/>
          <w:szCs w:val="20"/>
          <w:color w:val="auto"/>
        </w:rPr>
      </w:pPr>
    </w:p>
    <w:p>
      <w:pPr>
        <w:jc w:val="both"/>
        <w:ind w:left="1400" w:right="479"/>
        <w:spacing w:after="0" w:line="292" w:lineRule="auto"/>
        <w:rPr>
          <w:sz w:val="20"/>
          <w:szCs w:val="20"/>
          <w:color w:val="auto"/>
        </w:rPr>
      </w:pPr>
      <w:r>
        <w:rPr>
          <w:rFonts w:ascii="Times New Roman" w:cs="Times New Roman" w:eastAsia="Times New Roman" w:hAnsi="Times New Roman"/>
          <w:sz w:val="13"/>
          <w:szCs w:val="13"/>
          <w:color w:val="auto"/>
        </w:rPr>
        <w:t>However, under the MGCL,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w:t>
      </w:r>
    </w:p>
    <w:p>
      <w:pPr>
        <w:spacing w:after="0" w:line="47" w:lineRule="exact"/>
        <w:rPr>
          <w:sz w:val="20"/>
          <w:szCs w:val="20"/>
          <w:color w:val="auto"/>
        </w:rPr>
      </w:pPr>
    </w:p>
    <w:p>
      <w:pPr>
        <w:ind w:left="2160" w:right="479" w:hanging="339"/>
        <w:spacing w:after="0" w:line="278" w:lineRule="auto"/>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affirmation by the director or officer of his or her good faith belief that he or she has met the standard of conduct necessary for indemnification by the corporation; and</w:t>
      </w:r>
    </w:p>
    <w:p>
      <w:pPr>
        <w:spacing w:after="0" w:line="52" w:lineRule="exact"/>
        <w:rPr>
          <w:rFonts w:ascii="Times New Roman" w:cs="Times New Roman" w:eastAsia="Times New Roman" w:hAnsi="Times New Roman"/>
          <w:sz w:val="14"/>
          <w:szCs w:val="14"/>
          <w:color w:val="auto"/>
        </w:rPr>
      </w:pPr>
    </w:p>
    <w:p>
      <w:pPr>
        <w:ind w:left="2160" w:right="719" w:hanging="339"/>
        <w:spacing w:after="0" w:line="278" w:lineRule="auto"/>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26" w:lineRule="exact"/>
        <w:rPr>
          <w:sz w:val="20"/>
          <w:szCs w:val="20"/>
          <w:color w:val="auto"/>
        </w:rPr>
      </w:pPr>
    </w:p>
    <w:p>
      <w:pPr>
        <w:ind w:left="1400" w:right="419"/>
        <w:spacing w:after="0" w:line="262" w:lineRule="auto"/>
        <w:rPr>
          <w:sz w:val="20"/>
          <w:szCs w:val="20"/>
          <w:color w:val="auto"/>
        </w:rPr>
      </w:pPr>
      <w:r>
        <w:rPr>
          <w:rFonts w:ascii="Times New Roman" w:cs="Times New Roman" w:eastAsia="Times New Roman" w:hAnsi="Times New Roman"/>
          <w:sz w:val="14"/>
          <w:szCs w:val="14"/>
          <w:color w:val="auto"/>
        </w:rPr>
        <w:t>The company’s charter authorizes the company to obligate it and the company’s bylaws obligate it,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65" w:lineRule="exact"/>
        <w:rPr>
          <w:sz w:val="20"/>
          <w:szCs w:val="20"/>
          <w:color w:val="auto"/>
        </w:rPr>
      </w:pPr>
    </w:p>
    <w:p>
      <w:pPr>
        <w:ind w:left="2160" w:right="399" w:hanging="339"/>
        <w:spacing w:after="0" w:line="278" w:lineRule="auto"/>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present or former director or officer who is made or threatened to be made a party to the proceeding by reason of his or her service in that capacity; or</w:t>
      </w:r>
    </w:p>
    <w:p>
      <w:pPr>
        <w:spacing w:after="0" w:line="52" w:lineRule="exact"/>
        <w:rPr>
          <w:rFonts w:ascii="Times New Roman" w:cs="Times New Roman" w:eastAsia="Times New Roman" w:hAnsi="Times New Roman"/>
          <w:sz w:val="14"/>
          <w:szCs w:val="14"/>
          <w:color w:val="auto"/>
        </w:rPr>
      </w:pPr>
    </w:p>
    <w:p>
      <w:pPr>
        <w:ind w:left="2160" w:right="359" w:hanging="339"/>
        <w:spacing w:after="0" w:line="257" w:lineRule="auto"/>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individual who, while a director or officer of the company and at the company’s request, serves or has served at another corporation, REIT, partnership, joint venture, trust, limited liability company, employee benefit plan or any other enterprise as a director, officer, partner, trustee, member or manager and who is made or threatened to be made a party to the proceeding by reason of his or her service in that capacity.</w:t>
      </w:r>
    </w:p>
    <w:p>
      <w:pPr>
        <w:spacing w:after="0" w:line="142" w:lineRule="exact"/>
        <w:rPr>
          <w:sz w:val="20"/>
          <w:szCs w:val="20"/>
          <w:color w:val="auto"/>
        </w:rPr>
      </w:pPr>
    </w:p>
    <w:p>
      <w:pPr>
        <w:ind w:left="1400" w:right="519"/>
        <w:spacing w:after="0" w:line="278" w:lineRule="auto"/>
        <w:rPr>
          <w:sz w:val="20"/>
          <w:szCs w:val="20"/>
          <w:color w:val="auto"/>
        </w:rPr>
      </w:pPr>
      <w:r>
        <w:rPr>
          <w:rFonts w:ascii="Times New Roman" w:cs="Times New Roman" w:eastAsia="Times New Roman" w:hAnsi="Times New Roman"/>
          <w:sz w:val="14"/>
          <w:szCs w:val="14"/>
          <w:color w:val="auto"/>
        </w:rPr>
        <w:t>The rights to indemnification and advancement of expenses provided by the company’s charter and bylaws shall vest immediately upon election of a director or officer.</w:t>
      </w:r>
    </w:p>
    <w:p>
      <w:pPr>
        <w:spacing w:after="0" w:line="126"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4"/>
          <w:szCs w:val="14"/>
          <w:color w:val="auto"/>
        </w:rPr>
        <w:t>The company’s charter and bylaws also permit the company to indemnify and advance expenses to any person who served a predecessor of the company in any of the capacities described above and to any employee or agent of the company or a predecessor of the company.</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3"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19"/>
        <w:spacing w:after="0" w:line="257" w:lineRule="auto"/>
        <w:rPr>
          <w:sz w:val="20"/>
          <w:szCs w:val="20"/>
          <w:color w:val="auto"/>
        </w:rPr>
      </w:pPr>
      <w:r>
        <w:rPr>
          <w:rFonts w:ascii="Times New Roman" w:cs="Times New Roman" w:eastAsia="Times New Roman" w:hAnsi="Times New Roman"/>
          <w:sz w:val="14"/>
          <w:szCs w:val="14"/>
          <w:color w:val="auto"/>
        </w:rPr>
        <w:t>The partnership agreement provides that the company, as general partner, and the company’s officers and directors are indemnified to the fullest extent permitted by law. See “Description of the Partnership Agreement of Digital Realty Trust, L.P.—Indemnification and Limitation of Liability.” The company has also entered into indemnification agreements with each of its executive officers and directors that obligate the company to indemnify them to the maximum extent permitted by Maryland law.</w:t>
      </w:r>
    </w:p>
    <w:p>
      <w:pPr>
        <w:spacing w:after="0" w:line="142" w:lineRule="exact"/>
        <w:rPr>
          <w:sz w:val="20"/>
          <w:szCs w:val="20"/>
          <w:color w:val="auto"/>
        </w:rPr>
      </w:pPr>
    </w:p>
    <w:p>
      <w:pPr>
        <w:ind w:left="1400" w:right="279"/>
        <w:spacing w:after="0" w:line="262" w:lineRule="auto"/>
        <w:rPr>
          <w:sz w:val="20"/>
          <w:szCs w:val="20"/>
          <w:color w:val="auto"/>
        </w:rPr>
      </w:pPr>
      <w:r>
        <w:rPr>
          <w:rFonts w:ascii="Times New Roman" w:cs="Times New Roman" w:eastAsia="Times New Roman" w:hAnsi="Times New Roman"/>
          <w:sz w:val="14"/>
          <w:szCs w:val="14"/>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90"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The company’s bylaws provide that, unless the company consents in writing to the selection of an alternative forum, the Circuit Court for Baltimore City, Maryland, or, if that Court does not have jurisdiction, the United States District Court for the District of Maryland, Baltimore Division, will be the sole and exclusive forum for (a) any derivative action or proceeding brought on behalf of the company, (b) any action asserting a claim of breach of any duty owed by any director or officer or other employee of the company to the company or to the stockholders of the company, (c) any action asserting a claim against the company or any director or officer or other employee of the company arising pursuant to any provision of the MGCL or the company’s charter or bylaws, or (d) any action asserting a claim against the company or any director or officer or other employee of the company that is governed by the internal affairs doctrine.</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2"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UNITED STATES FEDERAL INCOME TAX CONSIDERATIONS</w:t>
      </w:r>
    </w:p>
    <w:p>
      <w:pPr>
        <w:spacing w:after="0" w:line="173"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The following is a general summary of certain material U.S. federal income tax considerations regarding our company’s election to be taxed as a real estate investment trust, or a REIT, and the acquisition, ownership or disposition of our capital stock or the operating partnership’s debt securities. Supplemental U.S. federal income tax considerations relevant to holders of the securities offered by this prospectus may be provided in the prospectus supplement that relates to those securities. For purposes of this discussion, references to “we,” “our” and “us” mean only Digital Realty Trust, Inc., and do not include any of its subsidiaries, except as otherwise indicated. This summary is for general information only and is not tax advice. The information in this summary is based on:</w:t>
      </w:r>
    </w:p>
    <w:p>
      <w:pPr>
        <w:spacing w:after="0" w:line="73" w:lineRule="exact"/>
        <w:rPr>
          <w:sz w:val="20"/>
          <w:szCs w:val="20"/>
          <w:color w:val="auto"/>
        </w:rPr>
      </w:pPr>
    </w:p>
    <w:p>
      <w:pPr>
        <w:ind w:left="2160" w:hanging="339"/>
        <w:spacing w:after="0"/>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Internal Revenue Code of 1986, as amended, or the Code;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temporary and proposed Treasury regulations promulgated under the Code, or the Treasury Regulations;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legislative history of the Code;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interpretations and practices of the Internal Revenue Service, or the IRS; and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court decisions;</w:t>
      </w:r>
    </w:p>
    <w:p>
      <w:pPr>
        <w:spacing w:after="0" w:line="171" w:lineRule="exact"/>
        <w:rPr>
          <w:sz w:val="20"/>
          <w:szCs w:val="20"/>
          <w:color w:val="auto"/>
        </w:rPr>
      </w:pPr>
    </w:p>
    <w:p>
      <w:pPr>
        <w:ind w:left="1400" w:right="319"/>
        <w:spacing w:after="0" w:line="249" w:lineRule="auto"/>
        <w:rPr>
          <w:sz w:val="20"/>
          <w:szCs w:val="20"/>
          <w:color w:val="auto"/>
        </w:rPr>
      </w:pPr>
      <w:r>
        <w:rPr>
          <w:rFonts w:ascii="Times New Roman" w:cs="Times New Roman" w:eastAsia="Times New Roman" w:hAnsi="Times New Roman"/>
          <w:sz w:val="14"/>
          <w:szCs w:val="14"/>
          <w:color w:val="auto"/>
        </w:rPr>
        <w:t>in each case, as of the date of this prospectus. In addition, the administrative interpretations and practices of the IRS include its practices and policies as expressed in private letter rulings that are not binding on the IRS except with respect to the particular taxpayers who requested and received those rulings. The sections of the Code and the corresponding Treasury Regulations that relate to qualification and taxation as a REIT are highly technical and complex. The following discussion sets forth certain material aspects of the sections of the Code that govern the U.S. federal income tax treatment of a REIT and its stockholders and the holders of the operating partnership’s debt securities. This summary is qualified in its entirety by the applicable Code provisions, Treasury Regulations, and administrative and judicial interpretations thereof. Potential tax reforms may result in significant changes to the rules governing U.S. federal income taxation.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our capital stock or the operating partnership’s debt securities,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We have not requested, and do not plan to request, any rulings from the IRS that we qualify as a REIT, and the statements in this prospectus are not binding on the IRS or any court. Thus, we can provide no assurance that the tax considerations contained in this discussion will not be challenged by the IRS or will be sustained by a court if challenged by the IRS. This summary does not discuss any state, local or non-U.S. tax consequences, or any tax consequences arising under any U.S. federal tax laws other than U.S. federal income tax laws, associated with the purchase, ownership or disposition of our capital stock or the operating partnership’s debt securities, or our election to be taxed as a REIT.</w:t>
      </w:r>
    </w:p>
    <w:p>
      <w:pPr>
        <w:spacing w:after="0" w:line="2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You are urged to consult your tax advisors regarding the tax consequences to you of:</w:t>
      </w:r>
    </w:p>
    <w:p>
      <w:pPr>
        <w:spacing w:after="0" w:line="99" w:lineRule="exact"/>
        <w:rPr>
          <w:sz w:val="20"/>
          <w:szCs w:val="20"/>
          <w:color w:val="auto"/>
        </w:rPr>
      </w:pPr>
    </w:p>
    <w:p>
      <w:pPr>
        <w:ind w:left="2160" w:right="639" w:hanging="339"/>
        <w:spacing w:after="0" w:line="281" w:lineRule="auto"/>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purchase, ownership and disposition of our capital stock or the operating partnership’s debt securities, including the U.S. federal, state, local, non-U.S. and other tax consequences;</w:t>
      </w:r>
    </w:p>
    <w:p>
      <w:pPr>
        <w:spacing w:after="0" w:line="4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our election to be taxed as a REIT for U.S. federal income tax purposes; and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potential changes in applicable tax laws.</w:t>
      </w:r>
    </w:p>
    <w:p>
      <w:pPr>
        <w:spacing w:after="0" w:line="1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2"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Taxation of Our Company</w:t>
      </w:r>
    </w:p>
    <w:p>
      <w:pPr>
        <w:spacing w:after="0" w:line="88" w:lineRule="exact"/>
        <w:rPr>
          <w:sz w:val="20"/>
          <w:szCs w:val="20"/>
          <w:color w:val="auto"/>
        </w:rPr>
      </w:pPr>
    </w:p>
    <w:p>
      <w:pPr>
        <w:ind w:left="1400" w:right="47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General</w:t>
      </w:r>
      <w:r>
        <w:rPr>
          <w:rFonts w:ascii="Times New Roman" w:cs="Times New Roman" w:eastAsia="Times New Roman" w:hAnsi="Times New Roman"/>
          <w:sz w:val="14"/>
          <w:szCs w:val="14"/>
          <w:color w:val="auto"/>
        </w:rPr>
        <w:t>. We have elected to be taxed as a REIT under Sections 856 through 860 of the Code commencing with our taxable year ended December 31,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2004. We believe that we have been organized and have operated in a manner that has allowed us to qualify for taxation as a REIT under the Code commencing with such taxable year, and we intend to continue to be organized and operate in this manner. However, qualification and taxation as a REIT depend upon our ability to meet the various qualification tests imposed under the Code, including through actual operating results, asset composition, distribution levels and diversity of stock ownership. Accordingly, no assurance can be given that we have been organized and have operated, or will continue to be organized and operate, in a manner so as to qualify or remain qualified as a REIT. See “—Failure to Qualify” for potential tax consequences if we fail to qualify as a REIT.</w:t>
      </w:r>
    </w:p>
    <w:p>
      <w:pPr>
        <w:spacing w:after="0" w:line="144" w:lineRule="exact"/>
        <w:rPr>
          <w:sz w:val="20"/>
          <w:szCs w:val="20"/>
          <w:color w:val="auto"/>
        </w:rPr>
      </w:pPr>
    </w:p>
    <w:p>
      <w:pPr>
        <w:ind w:left="1400" w:right="279"/>
        <w:spacing w:after="0" w:line="250" w:lineRule="auto"/>
        <w:rPr>
          <w:sz w:val="20"/>
          <w:szCs w:val="20"/>
          <w:color w:val="auto"/>
        </w:rPr>
      </w:pPr>
      <w:r>
        <w:rPr>
          <w:rFonts w:ascii="Times New Roman" w:cs="Times New Roman" w:eastAsia="Times New Roman" w:hAnsi="Times New Roman"/>
          <w:sz w:val="14"/>
          <w:szCs w:val="14"/>
          <w:color w:val="auto"/>
        </w:rPr>
        <w:t>Latham &amp; Watkins LLP has acted as our tax counsel in connection with this prospectus and our election to be taxed as a REIT. Latham &amp; Watkins LLP has rendered an opinion to us, as of the date of this prospectus, to the effect that, commencing with our taxable year ended December 31, 2019, we have been organized and have operated in conformity with the requirements for qualification and taxation as a REIT under the Code, and our proposed method of operation will enable us to continue to meet the requirements for qualification and taxation as a REIT under the Code. It must be emphasized that this opinion was based on various assumptions and representations as to factual matters, including representations made by us in a factual certificate provided by one or more of our officers. In addition, this opinion was based upon our factual representations set forth in this prospectus. Moreover, our qualification and taxation as a REIT depend upon our ability to meet the various qualification tests imposed under the Code, which are discussed below, including through actual operating results, asset composition, distribution levels and diversity of stock ownership, the results of which have not been and will not be reviewed by Latham &amp; Watkins LLP. Accordingly, no assurance can be given that our actual results of operations for any particular taxable year have satisfied or will satisfy those requirements. Further, the anticipated U.S. federal income tax treatment described herein may be changed, perhaps retroactively, by legislative, administrative or judicial action at any time. Latham &amp; Watkins LLP has no obligation to update its opinion subsequent to the date of such opinion.</w:t>
      </w:r>
    </w:p>
    <w:p>
      <w:pPr>
        <w:spacing w:after="0" w:line="148"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Provided we qualify for taxation as a REIT, we generally will not be required to pay U.S. federal corporate income taxes on our REIT taxable income that is currently distributed to our stockholders. This treatment substantially eliminates the “double taxation” that ordinarily results from investment in a C corporation. A C corporation is a corporation that generally is required to pay tax at the corporate level. Double taxation means taxation once at the corporate level when income is earned and once again at the stockholder level when the income is distributed. We will, however, be required to pay U.S. federal income tax as follows:</w:t>
      </w:r>
    </w:p>
    <w:p>
      <w:pPr>
        <w:spacing w:after="0" w:line="69" w:lineRule="exact"/>
        <w:rPr>
          <w:sz w:val="20"/>
          <w:szCs w:val="20"/>
          <w:color w:val="auto"/>
        </w:rPr>
      </w:pPr>
    </w:p>
    <w:p>
      <w:pPr>
        <w:ind w:left="2160" w:right="919" w:hanging="339"/>
        <w:spacing w:after="0" w:line="278" w:lineRule="auto"/>
        <w:tabs>
          <w:tab w:leader="none" w:pos="2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we will be required to pay regular U.S. federal corporate income tax on any undistributed REIT taxable income, including undistributed capital gain.</w:t>
      </w:r>
    </w:p>
    <w:p>
      <w:pPr>
        <w:spacing w:after="0" w:line="52" w:lineRule="exact"/>
        <w:rPr>
          <w:rFonts w:ascii="Times New Roman" w:cs="Times New Roman" w:eastAsia="Times New Roman" w:hAnsi="Times New Roman"/>
          <w:sz w:val="14"/>
          <w:szCs w:val="14"/>
          <w:color w:val="auto"/>
        </w:rPr>
      </w:pPr>
    </w:p>
    <w:p>
      <w:pPr>
        <w:ind w:left="2160" w:right="439" w:hanging="339"/>
        <w:spacing w:after="0" w:line="255" w:lineRule="auto"/>
        <w:tabs>
          <w:tab w:leader="none" w:pos="2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if we have (1) net income from the sale or other disposition of “foreclosure property” held primarily for sale to customers in the ordinary course of business or (2) other nonqualifying income from foreclosure property, we will be required to pay regular U.S. federal corporate income tax on this income. To the extent that income from foreclosure property is otherwise qualifying income for purposes of the 75% gross income test, this tax is not applicable. Subject to certain other requirements, foreclosure property generally is defined as property we acquired through foreclosure or after a default on a loan secured by the property or a lease of the property.</w:t>
      </w:r>
    </w:p>
    <w:p>
      <w:pPr>
        <w:spacing w:after="0" w:line="69" w:lineRule="exact"/>
        <w:rPr>
          <w:rFonts w:ascii="Times New Roman" w:cs="Times New Roman" w:eastAsia="Times New Roman" w:hAnsi="Times New Roman"/>
          <w:sz w:val="14"/>
          <w:szCs w:val="14"/>
          <w:color w:val="auto"/>
        </w:rPr>
      </w:pPr>
    </w:p>
    <w:p>
      <w:pPr>
        <w:ind w:left="2160" w:right="359" w:hanging="339"/>
        <w:spacing w:after="0" w:line="262" w:lineRule="auto"/>
        <w:tabs>
          <w:tab w:leader="none" w:pos="2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we will be required to pay a 100% tax on any net income from prohibited transactions. Prohibited transactions are, in general, sales or other taxable dispositions of property, other than foreclosure property, held as inventory or primarily for sale to customers in the ordinary course of business.</w:t>
      </w:r>
    </w:p>
    <w:p>
      <w:pPr>
        <w:spacing w:after="0" w:line="64" w:lineRule="exact"/>
        <w:rPr>
          <w:rFonts w:ascii="Times New Roman" w:cs="Times New Roman" w:eastAsia="Times New Roman" w:hAnsi="Times New Roman"/>
          <w:sz w:val="14"/>
          <w:szCs w:val="14"/>
          <w:color w:val="auto"/>
        </w:rPr>
      </w:pPr>
    </w:p>
    <w:p>
      <w:pPr>
        <w:ind w:left="2160" w:right="299" w:hanging="339"/>
        <w:spacing w:after="0" w:line="278" w:lineRule="auto"/>
        <w:tabs>
          <w:tab w:leader="none" w:pos="2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if we fail to satisfy the 75% gross income test or the 95% gross income test, as described below, but have otherwise maintained our qualification as a REIT because certain other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2"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359"/>
        <w:spacing w:after="0" w:line="262" w:lineRule="auto"/>
        <w:rPr>
          <w:sz w:val="20"/>
          <w:szCs w:val="20"/>
          <w:color w:val="auto"/>
        </w:rPr>
      </w:pPr>
      <w:r>
        <w:rPr>
          <w:rFonts w:ascii="Times New Roman" w:cs="Times New Roman" w:eastAsia="Times New Roman" w:hAnsi="Times New Roman"/>
          <w:sz w:val="14"/>
          <w:szCs w:val="14"/>
          <w:color w:val="auto"/>
        </w:rPr>
        <w:t>requirements are met, we will be required to pay a tax equal to (1) the greater of (A) the amount by which we fail to satisfy the 75% gross income test and (B) the amount by which we fail to satisfy the 95% gross income test, multiplied by (2) a fraction intended to reflect our profitability.</w:t>
      </w:r>
    </w:p>
    <w:p>
      <w:pPr>
        <w:spacing w:after="0" w:line="65" w:lineRule="exact"/>
        <w:rPr>
          <w:sz w:val="20"/>
          <w:szCs w:val="20"/>
          <w:color w:val="auto"/>
        </w:rPr>
      </w:pPr>
    </w:p>
    <w:p>
      <w:pPr>
        <w:ind w:left="2160" w:right="379" w:hanging="339"/>
        <w:spacing w:after="0" w:line="257" w:lineRule="auto"/>
        <w:tabs>
          <w:tab w:leader="none" w:pos="21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Fifth, if we fail to satisfy any of the asset tests (other than a de minimis failure of the 5% or 10% asset test), as described below, due to reasonable cause and not due to willful neglect, and we nonetheless maintain our REIT qualification because of specified cure provisions, we will be required to pay a tax equal to the greater of $50,000 or the U.S. federal corporate income tax rate multiplied by the net income generated by the nonqualifying assets that caused us to fail such test.</w:t>
      </w:r>
    </w:p>
    <w:p>
      <w:pPr>
        <w:spacing w:after="0" w:line="68" w:lineRule="exact"/>
        <w:rPr>
          <w:rFonts w:ascii="Times New Roman" w:cs="Times New Roman" w:eastAsia="Times New Roman" w:hAnsi="Times New Roman"/>
          <w:sz w:val="14"/>
          <w:szCs w:val="14"/>
          <w:color w:val="auto"/>
        </w:rPr>
      </w:pPr>
    </w:p>
    <w:p>
      <w:pPr>
        <w:ind w:left="2160" w:right="319" w:hanging="339"/>
        <w:spacing w:after="0" w:line="262" w:lineRule="auto"/>
        <w:tabs>
          <w:tab w:leader="none" w:pos="21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Sixth, if we fail to satisfy any provision of the Code that would result in our failure to qualify as a REIT (other than a violation of the gross income tests or certain violations of the asset tests, as described below) and the violation is due to reasonable cause and not due to willful neglect, we may retain our REIT qualification but we will be required to pay a penalty of $50,000 for each such failure.</w:t>
      </w:r>
    </w:p>
    <w:p>
      <w:pPr>
        <w:spacing w:after="0" w:line="64" w:lineRule="exact"/>
        <w:rPr>
          <w:rFonts w:ascii="Times New Roman" w:cs="Times New Roman" w:eastAsia="Times New Roman" w:hAnsi="Times New Roman"/>
          <w:sz w:val="14"/>
          <w:szCs w:val="14"/>
          <w:color w:val="auto"/>
        </w:rPr>
      </w:pPr>
    </w:p>
    <w:p>
      <w:pPr>
        <w:ind w:left="2160" w:right="319" w:hanging="339"/>
        <w:spacing w:after="0" w:line="262" w:lineRule="auto"/>
        <w:tabs>
          <w:tab w:leader="none" w:pos="21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Seventh, we will be required to pay a 4% excise tax to the extent we fail to distribute during each calendar year at least the sum of (1) 85% of our ordinary income for the year, (2) 95% of our capital gain net income for the year, and (3) any undistributed taxable income from prior periods.</w:t>
      </w:r>
    </w:p>
    <w:p>
      <w:pPr>
        <w:spacing w:after="0" w:line="64" w:lineRule="exact"/>
        <w:rPr>
          <w:rFonts w:ascii="Times New Roman" w:cs="Times New Roman" w:eastAsia="Times New Roman" w:hAnsi="Times New Roman"/>
          <w:sz w:val="14"/>
          <w:szCs w:val="14"/>
          <w:color w:val="auto"/>
        </w:rPr>
      </w:pPr>
    </w:p>
    <w:p>
      <w:pPr>
        <w:ind w:left="2160" w:right="319" w:hanging="339"/>
        <w:spacing w:after="0" w:line="251" w:lineRule="auto"/>
        <w:tabs>
          <w:tab w:leader="none" w:pos="21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Eighth, if we acquire any asset from a corporation that is or has been a C corporation in a transaction in which our tax basis in the asset is less than the fair market value of the asset, in each case determined as of the date on which we acquired the asset, and we subsequently recognize gain on the disposition of the asset during the five-year period beginning on the date on which we acquired the asset, then we generally will be required to pay regular U.S. federal corporate income tax on this gain to the extent of the excess of (1) the fair market value of the asset over (2) our adjusted tax basis in the asset, in each case determined as of the date on which we acquired the asset. The results described in this paragraph with respect to the recognition of gain assume that the C corporation will refrain from making an election to receive different treatment under applicable Treasury Regulations on its tax return for the year in which we acquire the asset from the C corporation. Under applicable Treasury Regulations, any gain from the sale of property we acquired in an exchange under Section 1031 (a like-kind exchange) or Section 1033 (an involuntary conversion) of the Code generally is excluded from the application of this built-in gains tax.</w:t>
      </w:r>
    </w:p>
    <w:p>
      <w:pPr>
        <w:spacing w:after="0" w:line="71" w:lineRule="exact"/>
        <w:rPr>
          <w:rFonts w:ascii="Times New Roman" w:cs="Times New Roman" w:eastAsia="Times New Roman" w:hAnsi="Times New Roman"/>
          <w:sz w:val="14"/>
          <w:szCs w:val="14"/>
          <w:color w:val="auto"/>
        </w:rPr>
      </w:pPr>
    </w:p>
    <w:p>
      <w:pPr>
        <w:ind w:left="2160" w:right="559" w:hanging="339"/>
        <w:spacing w:after="0" w:line="278" w:lineRule="auto"/>
        <w:tabs>
          <w:tab w:leader="none" w:pos="21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Ninth, our subsidiaries that are C corporations and are not qualified REIT subsidiaries (described below), including our “taxable REIT subsidiaries” described below, generally will be required to pay regular U.S. federal corporate income tax on their earnings.</w:t>
      </w:r>
    </w:p>
    <w:p>
      <w:pPr>
        <w:spacing w:after="0" w:line="52" w:lineRule="exact"/>
        <w:rPr>
          <w:rFonts w:ascii="Times New Roman" w:cs="Times New Roman" w:eastAsia="Times New Roman" w:hAnsi="Times New Roman"/>
          <w:sz w:val="14"/>
          <w:szCs w:val="14"/>
          <w:color w:val="auto"/>
        </w:rPr>
      </w:pPr>
    </w:p>
    <w:p>
      <w:pPr>
        <w:ind w:left="2160" w:right="299" w:hanging="339"/>
        <w:spacing w:after="0" w:line="253" w:lineRule="auto"/>
        <w:tabs>
          <w:tab w:leader="none" w:pos="21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Tenth, we will be required to pay a 100% tax on any “redetermined rents,” “redetermined deductions,” “excess interest,” or “redetermined TRS service income,” as described below under “—Penalty Tax.” In general, redetermined rents are rents from real property that are overstated as a result of services furnished to any of our tenants by a taxable REIT subsidiary of ours. Redetermined deductions and excess interest generally represent amounts that are deducted by a taxable REIT subsidiary of ours for amounts paid to us that are in excess of the amounts that would have been deducted based on arm’s length negotiations. Redetermined TRS service income generally represents income of a taxable REIT subsidiary that is understated as a result of services provided to us or on our behalf.</w:t>
      </w:r>
    </w:p>
    <w:p>
      <w:pPr>
        <w:spacing w:after="0" w:line="72" w:lineRule="exact"/>
        <w:rPr>
          <w:rFonts w:ascii="Times New Roman" w:cs="Times New Roman" w:eastAsia="Times New Roman" w:hAnsi="Times New Roman"/>
          <w:sz w:val="14"/>
          <w:szCs w:val="14"/>
          <w:color w:val="auto"/>
        </w:rPr>
      </w:pPr>
    </w:p>
    <w:p>
      <w:pPr>
        <w:ind w:left="2160" w:right="339" w:hanging="339"/>
        <w:spacing w:after="0" w:line="257" w:lineRule="auto"/>
        <w:tabs>
          <w:tab w:leader="none" w:pos="21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Eleventh, we may elect to retain and pay income tax on our net capital gain. In that case, a stockholder would include its proportionate share of our undistributed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tax basis of the stockholder in our capital stock.</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2"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459" w:hanging="339"/>
        <w:spacing w:after="0" w:line="257" w:lineRule="auto"/>
        <w:tabs>
          <w:tab w:leader="none" w:pos="21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Twelfth, if we fail to comply with the requirement to send annual letters to our stockholders holding at least a certain percentage of our stock, as determined under applicable Treasury Regulations, requesting information regarding the actual ownership of our stock, and the failure is not due to reasonable cause or is due to willful neglect, we will be subject to a $25,000 penalty, or if the failure is intentional, a $50,000 penalty.</w:t>
      </w:r>
    </w:p>
    <w:p>
      <w:pPr>
        <w:spacing w:after="0" w:line="142" w:lineRule="exact"/>
        <w:rPr>
          <w:sz w:val="20"/>
          <w:szCs w:val="20"/>
          <w:color w:val="auto"/>
        </w:rPr>
      </w:pPr>
    </w:p>
    <w:p>
      <w:pPr>
        <w:ind w:left="1400" w:right="619"/>
        <w:spacing w:after="0" w:line="278" w:lineRule="auto"/>
        <w:rPr>
          <w:sz w:val="20"/>
          <w:szCs w:val="20"/>
          <w:color w:val="auto"/>
        </w:rPr>
      </w:pPr>
      <w:r>
        <w:rPr>
          <w:rFonts w:ascii="Times New Roman" w:cs="Times New Roman" w:eastAsia="Times New Roman" w:hAnsi="Times New Roman"/>
          <w:sz w:val="14"/>
          <w:szCs w:val="14"/>
          <w:color w:val="auto"/>
        </w:rPr>
        <w:t>We and our subsidiaries may be subject to a variety of taxes other than U.S. federal income tax, including payroll taxes and state and local income, property and other taxes on our assets and operations.</w:t>
      </w:r>
    </w:p>
    <w:p>
      <w:pPr>
        <w:spacing w:after="0" w:line="126" w:lineRule="exact"/>
        <w:rPr>
          <w:sz w:val="20"/>
          <w:szCs w:val="20"/>
          <w:color w:val="auto"/>
        </w:rPr>
      </w:pPr>
    </w:p>
    <w:p>
      <w:pPr>
        <w:ind w:left="1400" w:right="299"/>
        <w:spacing w:after="0" w:line="257" w:lineRule="auto"/>
        <w:rPr>
          <w:sz w:val="20"/>
          <w:szCs w:val="20"/>
          <w:color w:val="auto"/>
        </w:rPr>
      </w:pPr>
      <w:r>
        <w:rPr>
          <w:rFonts w:ascii="Times New Roman" w:cs="Times New Roman" w:eastAsia="Times New Roman" w:hAnsi="Times New Roman"/>
          <w:sz w:val="14"/>
          <w:szCs w:val="14"/>
          <w:color w:val="auto"/>
        </w:rPr>
        <w:t>We own properties in other countries, which impose taxes on our operations within their jurisdictions. To the extent possible, we will structure our activities to minimize our non-U.S. tax liability. However, there can be no assurance that we will be able to eliminate our non-U.S. tax liability or reduce it to a specified level. Furthermore, as a REIT, both we and our stockholders will derive little or no benefit from foreign tax credits arising from those non-U.S. taxes.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Qualification as a REIT</w:t>
      </w:r>
      <w:r>
        <w:rPr>
          <w:rFonts w:ascii="Times New Roman" w:cs="Times New Roman" w:eastAsia="Times New Roman" w:hAnsi="Times New Roman"/>
          <w:sz w:val="14"/>
          <w:szCs w:val="14"/>
          <w:color w:val="auto"/>
        </w:rPr>
        <w:t>. The Code defines a REIT as a corporation, trust or association:</w:t>
      </w:r>
    </w:p>
    <w:p>
      <w:pPr>
        <w:spacing w:after="0" w:line="90" w:lineRule="exact"/>
        <w:rPr>
          <w:sz w:val="20"/>
          <w:szCs w:val="20"/>
          <w:color w:val="auto"/>
        </w:rPr>
      </w:pPr>
    </w:p>
    <w:p>
      <w:pPr>
        <w:ind w:left="1600" w:hanging="194"/>
        <w:spacing w:after="0"/>
        <w:tabs>
          <w:tab w:leader="none" w:pos="16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managed by one or more trustees or directors;</w:t>
      </w:r>
    </w:p>
    <w:p>
      <w:pPr>
        <w:spacing w:after="0" w:line="171" w:lineRule="exact"/>
        <w:rPr>
          <w:rFonts w:ascii="Times New Roman" w:cs="Times New Roman" w:eastAsia="Times New Roman" w:hAnsi="Times New Roman"/>
          <w:sz w:val="14"/>
          <w:szCs w:val="14"/>
          <w:color w:val="auto"/>
        </w:rPr>
      </w:pPr>
    </w:p>
    <w:p>
      <w:pPr>
        <w:ind w:left="1600" w:hanging="194"/>
        <w:spacing w:after="0"/>
        <w:tabs>
          <w:tab w:leader="none" w:pos="16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issues transferable shares or transferable certificates to evidence its beneficial ownership;</w:t>
      </w:r>
    </w:p>
    <w:p>
      <w:pPr>
        <w:spacing w:after="0" w:line="171" w:lineRule="exact"/>
        <w:rPr>
          <w:rFonts w:ascii="Times New Roman" w:cs="Times New Roman" w:eastAsia="Times New Roman" w:hAnsi="Times New Roman"/>
          <w:sz w:val="14"/>
          <w:szCs w:val="14"/>
          <w:color w:val="auto"/>
        </w:rPr>
      </w:pPr>
    </w:p>
    <w:p>
      <w:pPr>
        <w:ind w:left="1600" w:hanging="194"/>
        <w:spacing w:after="0"/>
        <w:tabs>
          <w:tab w:leader="none" w:pos="16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would be taxable as a domestic corporation, but for Sections 856 through 860 of the Code;</w:t>
      </w:r>
    </w:p>
    <w:p>
      <w:pPr>
        <w:spacing w:after="0" w:line="171" w:lineRule="exact"/>
        <w:rPr>
          <w:rFonts w:ascii="Times New Roman" w:cs="Times New Roman" w:eastAsia="Times New Roman" w:hAnsi="Times New Roman"/>
          <w:sz w:val="14"/>
          <w:szCs w:val="14"/>
          <w:color w:val="auto"/>
        </w:rPr>
      </w:pPr>
    </w:p>
    <w:p>
      <w:pPr>
        <w:ind w:left="1600" w:hanging="194"/>
        <w:spacing w:after="0"/>
        <w:tabs>
          <w:tab w:leader="none" w:pos="16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not a financial institution or an insurance company within the meaning of certain provisions of the Code;</w:t>
      </w:r>
    </w:p>
    <w:p>
      <w:pPr>
        <w:spacing w:after="0" w:line="171" w:lineRule="exact"/>
        <w:rPr>
          <w:rFonts w:ascii="Times New Roman" w:cs="Times New Roman" w:eastAsia="Times New Roman" w:hAnsi="Times New Roman"/>
          <w:sz w:val="14"/>
          <w:szCs w:val="14"/>
          <w:color w:val="auto"/>
        </w:rPr>
      </w:pPr>
    </w:p>
    <w:p>
      <w:pPr>
        <w:ind w:left="1600" w:hanging="194"/>
        <w:spacing w:after="0"/>
        <w:tabs>
          <w:tab w:leader="none" w:pos="16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beneficially owned by 100 or more persons;</w:t>
      </w:r>
    </w:p>
    <w:p>
      <w:pPr>
        <w:spacing w:after="0" w:line="171" w:lineRule="exact"/>
        <w:rPr>
          <w:rFonts w:ascii="Times New Roman" w:cs="Times New Roman" w:eastAsia="Times New Roman" w:hAnsi="Times New Roman"/>
          <w:sz w:val="14"/>
          <w:szCs w:val="14"/>
          <w:color w:val="auto"/>
        </w:rPr>
      </w:pPr>
    </w:p>
    <w:p>
      <w:pPr>
        <w:ind w:left="1400" w:right="539" w:firstLine="6"/>
        <w:spacing w:after="0" w:line="278" w:lineRule="auto"/>
        <w:tabs>
          <w:tab w:leader="none" w:pos="159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more than 50% in value of the outstanding stock of which is owned, actually or constructively, by five or fewer individuals, including certain specified entities, during the last half of each taxable year; and</w:t>
      </w:r>
    </w:p>
    <w:p>
      <w:pPr>
        <w:spacing w:after="0" w:line="125" w:lineRule="exact"/>
        <w:rPr>
          <w:rFonts w:ascii="Times New Roman" w:cs="Times New Roman" w:eastAsia="Times New Roman" w:hAnsi="Times New Roman"/>
          <w:sz w:val="14"/>
          <w:szCs w:val="14"/>
          <w:color w:val="auto"/>
        </w:rPr>
      </w:pPr>
    </w:p>
    <w:p>
      <w:pPr>
        <w:ind w:left="1600" w:hanging="194"/>
        <w:spacing w:after="0"/>
        <w:tabs>
          <w:tab w:leader="none" w:pos="16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meets other tests, described below, regarding the nature of its income and assets and the amount of its distributions.</w:t>
      </w:r>
    </w:p>
    <w:p>
      <w:pPr>
        <w:spacing w:after="0" w:line="171"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The Code provides that conditions (1) to (4), inclusive, must be met during the entire taxable year and that condition (5) must be met during at least 335 days of a taxable year of 12 months, or during a proportionate part of a taxable year of less than 12 months. Conditions (5) and (6) do not apply until after the first taxable year for which an election is made to be taxed as a REIT. For purposes of condition (6), the term “individual” includes a supplemental unemployment compensation benefit plan, a private foundation or a portion of a trust permanently set aside or used exclusively for charitable purposes, but generally does not include a qualified pension plan or profit sharing trust.</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 believe that we have been organized and have operated in a manner that has allowed us, and will continue to allow us, to satisfy conditions</w:t>
      </w:r>
    </w:p>
    <w:p>
      <w:pPr>
        <w:spacing w:after="0" w:line="20" w:lineRule="exact"/>
        <w:rPr>
          <w:sz w:val="20"/>
          <w:szCs w:val="20"/>
          <w:color w:val="auto"/>
        </w:rPr>
      </w:pPr>
    </w:p>
    <w:p>
      <w:pPr>
        <w:ind w:left="1400" w:right="319" w:firstLine="6"/>
        <w:spacing w:after="0" w:line="248" w:lineRule="auto"/>
        <w:tabs>
          <w:tab w:leader="none" w:pos="15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(7), inclusive, during the relevant time periods. In addition, our charter provides for restrictions regarding ownership and transfer of our shares that are intended to assist us in continuing to satisfy the share ownership requirements described in conditions (5) and (6) above. A description of the share ownership and transfer restrictions relating to our capital stock is contained in the discussion in this prospectus under the heading “Restrictions on Ownership and Transfer.” These restrictions, however, do not ensure that we have previously satisfied, and may not ensure that we will, in all cases, be able to continue to satisfy, the share ownership requirements described in conditions (5) and (6) above. If we fail to satisfy these share ownership requirements, then,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 See “—Failure to Qualify.”</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3"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39"/>
        <w:spacing w:after="0" w:line="278" w:lineRule="auto"/>
        <w:rPr>
          <w:sz w:val="20"/>
          <w:szCs w:val="20"/>
          <w:color w:val="auto"/>
        </w:rPr>
      </w:pPr>
      <w:r>
        <w:rPr>
          <w:rFonts w:ascii="Times New Roman" w:cs="Times New Roman" w:eastAsia="Times New Roman" w:hAnsi="Times New Roman"/>
          <w:sz w:val="14"/>
          <w:szCs w:val="14"/>
          <w:color w:val="auto"/>
        </w:rPr>
        <w:t>In addition, we may not maintain our status as a REIT unless our taxable year is the calendar year. We have and will continue to have a calendar taxable year.</w:t>
      </w:r>
    </w:p>
    <w:p>
      <w:pPr>
        <w:spacing w:after="0" w:line="124"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Ownership of Interests in Partnerships, Limited Liability Companies and Qualified REIT Subsidiaries</w:t>
      </w:r>
      <w:r>
        <w:rPr>
          <w:rFonts w:ascii="Times New Roman" w:cs="Times New Roman" w:eastAsia="Times New Roman" w:hAnsi="Times New Roman"/>
          <w:sz w:val="14"/>
          <w:szCs w:val="14"/>
          <w:color w:val="auto"/>
        </w:rPr>
        <w:t>. In the case of a REIT that is a partner in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 (for purposes of this discussion, references to “partnership” include a limited liability company treated as a partnership for U.S. federal income tax purposes, and references to “partner” include a member in such limited liability company), Treasury Regulations provide that the REIT will be deemed to own its proportionate share of the assets of the partnership based on its interest in partnership capital, subject to special rules relating to the 10% asset test described below. Also, the REIT will be deemed to be entitled to its proportionate share of the income of that entity. The assets and gross income of the partnership retain the same character in the hands of the REIT for purposes of Section 856 of the Code, including satisfying the gross income tests and the asset tests. Thus, our pro rata share of the assets and items of income of our operating partnership, including our operating partnership’s share of these items of any partnership or disregarded entity for U.S. federal income tax purposes in which it owns an interest, is treated as our assets and items of income for purposes of applying the requirements described in this discussion, including the gross income and asset tests described below. A brief summary of the rules governing the U.S. federal income taxation of partnerships is set forth below in “—Tax Aspects of Our Operating Partnership and its Subsidiary Partnerships and Limited Liability Companies.”</w:t>
      </w:r>
    </w:p>
    <w:p>
      <w:pPr>
        <w:spacing w:after="0" w:line="145" w:lineRule="exact"/>
        <w:rPr>
          <w:sz w:val="20"/>
          <w:szCs w:val="20"/>
          <w:color w:val="auto"/>
        </w:rPr>
      </w:pPr>
    </w:p>
    <w:p>
      <w:pPr>
        <w:ind w:left="1400" w:right="339"/>
        <w:spacing w:after="0" w:line="253" w:lineRule="auto"/>
        <w:rPr>
          <w:sz w:val="20"/>
          <w:szCs w:val="20"/>
          <w:color w:val="auto"/>
        </w:rPr>
      </w:pPr>
      <w:r>
        <w:rPr>
          <w:rFonts w:ascii="Times New Roman" w:cs="Times New Roman" w:eastAsia="Times New Roman" w:hAnsi="Times New Roman"/>
          <w:sz w:val="14"/>
          <w:szCs w:val="14"/>
          <w:color w:val="auto"/>
        </w:rPr>
        <w:t>We have control of our operating partnership and most of its subsidiary partnerships and intend to operate them in a manner consistent with the requirements for our qualification as a REIT. If we become a limited partner or non-managing member in any partnership and such entity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such a case, we could fail to qualify as a REIT unless we were entitled to relief, as described below.</w:t>
      </w:r>
    </w:p>
    <w:p>
      <w:pPr>
        <w:spacing w:after="0" w:line="145"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We may from time to time own and operate certain properties through wholly-owned subsidiaries that we intend to be treated as “qualified REIT subsidiaries” under the Code. A corporation (or other entity treated as a corporation for U.S. federal income tax purposes) will qualify as our qualified REIT subsidiary if we own 100% of the corporation’s outstanding stock and do not elect with the subsidiary to treat it as a “taxable REIT subsidiary,” as described below. A qualified REIT subsidiary is not treated as a separate corporation, and all assets, liabilities and items of income, gain, loss, deduction and credit of a qualified REIT subsidiary are treated as assets, liabilities and items of income, gain, loss, deduction and credit of the parent REIT for all purposes under the Code, including all REIT qualification tests. Thus, in applying the U.S. federal income tax requirements described in this discussion, any qualified REIT subsidiaries we own are ignored, and all assets, liabilities and items of income, gain, loss, deduction and credit of such corporations are treated as our assets, liabilities and items of income, gain, loss, deduction and credit. A qualified REIT subsidiary is not subject to U.S. federal income tax, and our ownership of the stock of a qualified REIT subsidiary will not violate the restrictions on ownership of securities, as described below under “—Asset Tests.”</w:t>
      </w:r>
    </w:p>
    <w:p>
      <w:pPr>
        <w:spacing w:after="0" w:line="143"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Ownership of Interests in Taxable REIT Subsidiaries</w:t>
      </w:r>
      <w:r>
        <w:rPr>
          <w:rFonts w:ascii="Times New Roman" w:cs="Times New Roman" w:eastAsia="Times New Roman" w:hAnsi="Times New Roman"/>
          <w:sz w:val="14"/>
          <w:szCs w:val="14"/>
          <w:color w:val="auto"/>
        </w:rPr>
        <w:t>. We, through our operating partnership, own interests in companies that have elected, together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us, to be treated as our taxable REIT subsidiaries, and we may acquire securities in additional taxable REIT subsidiaries in the future. A taxable REIT subsidiary is a corporation (or other entity treated as a corporation for U.S. federal income tax purposes) other than a REIT in which a REIT directly or indirectly holds stock, and that has made a joint election with such REIT to be treated as a taxable REIT subsidiary. If a taxable REIT subsidiary owns more than 35% of the total voting power or value of the outstanding securities of another corporation, such other corporation will also be treated as a taxable REIT subsidiary. Other than some activities relating to lodging and health care facilities, a taxable REIT subsidiary may generally engage in any business, including the provision of customary or non-customary services to tenants of its parent REIT. A taxable REIT subsidiary is subject to U.S. federal income tax as a regular C corporation. A</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2"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REIT is not treated as holding the assets of a taxable REIT subsidiary or as receiving any income that the taxable REIT subsidiary earns. Rather, the stock issued by the taxable REIT subsidiary is an asset in the hands of the REIT, and the REIT generally recognizes as income the dividends, if any, that it receives from the taxable REIT subsidiary. A REIT’s ownership of securities of a taxable REIT subsidiary is not subject to the 5% or 10% asset test described below. See “—Asset Tests.” Taxpayers are subject to a limitation on their ability to deduct net business interest generally equal to 30% of adjusted taxable income, subject to certain exceptions. See “—Annual Distribution Requirements.” While not certain, this provision may limit the ability of our taxable REIT subsidiaries to deduct interest, which could increase their taxable income.</w:t>
      </w:r>
    </w:p>
    <w:p>
      <w:pPr>
        <w:spacing w:after="0" w:line="143" w:lineRule="exact"/>
        <w:rPr>
          <w:sz w:val="20"/>
          <w:szCs w:val="20"/>
          <w:color w:val="auto"/>
        </w:rPr>
      </w:pPr>
    </w:p>
    <w:p>
      <w:pPr>
        <w:ind w:left="1400" w:right="399"/>
        <w:spacing w:after="0" w:line="280" w:lineRule="auto"/>
        <w:rPr>
          <w:sz w:val="20"/>
          <w:szCs w:val="20"/>
          <w:color w:val="auto"/>
        </w:rPr>
      </w:pPr>
      <w:r>
        <w:rPr>
          <w:rFonts w:ascii="Times New Roman" w:cs="Times New Roman" w:eastAsia="Times New Roman" w:hAnsi="Times New Roman"/>
          <w:sz w:val="13"/>
          <w:szCs w:val="13"/>
          <w:b w:val="1"/>
          <w:bCs w:val="1"/>
          <w:i w:val="1"/>
          <w:iCs w:val="1"/>
          <w:color w:val="auto"/>
        </w:rPr>
        <w:t>Ownership of Interests in Subsidiary REITs</w:t>
      </w:r>
      <w:r>
        <w:rPr>
          <w:rFonts w:ascii="Times New Roman" w:cs="Times New Roman" w:eastAsia="Times New Roman" w:hAnsi="Times New Roman"/>
          <w:sz w:val="13"/>
          <w:szCs w:val="13"/>
          <w:color w:val="auto"/>
        </w:rPr>
        <w:t>. We own and may acquire direct or indirect interests in one or more entities that have elected or will elect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be taxed as REITs under the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and (ii) the Subsidiary REIT’s failure to qualify could have an adverse effect on our ability to comply with the REIT income and asset tests, and thus could impair our ability to qualify as a REIT unless we could avail ourselves of certain relief provisions.</w:t>
      </w:r>
    </w:p>
    <w:p>
      <w:pPr>
        <w:spacing w:after="0" w:line="125" w:lineRule="exact"/>
        <w:rPr>
          <w:sz w:val="20"/>
          <w:szCs w:val="20"/>
          <w:color w:val="auto"/>
        </w:rPr>
      </w:pPr>
    </w:p>
    <w:p>
      <w:pPr>
        <w:ind w:left="1400" w:right="319"/>
        <w:spacing w:after="0" w:line="269" w:lineRule="auto"/>
        <w:rPr>
          <w:sz w:val="20"/>
          <w:szCs w:val="20"/>
          <w:color w:val="auto"/>
        </w:rPr>
      </w:pPr>
      <w:r>
        <w:rPr>
          <w:rFonts w:ascii="Times New Roman" w:cs="Times New Roman" w:eastAsia="Times New Roman" w:hAnsi="Times New Roman"/>
          <w:sz w:val="13"/>
          <w:szCs w:val="13"/>
          <w:b w:val="1"/>
          <w:bCs w:val="1"/>
          <w:i w:val="1"/>
          <w:iCs w:val="1"/>
          <w:color w:val="auto"/>
        </w:rPr>
        <w:t>Income Tests</w:t>
      </w:r>
      <w:r>
        <w:rPr>
          <w:rFonts w:ascii="Times New Roman" w:cs="Times New Roman" w:eastAsia="Times New Roman" w:hAnsi="Times New Roman"/>
          <w:sz w:val="13"/>
          <w:szCs w:val="13"/>
          <w:color w:val="auto"/>
        </w:rPr>
        <w:t>. We must satisfy two gross income requirements annually to maintain our qualification as a REIT. First, in each taxable year we must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derive directly or indirectly at least 75% of our gross income (excluding gross income from prohibited transactions, certain hedging transactions and certain foreign currency gains) from investments relating to real property or mortgages on real property, including “rents from real property,” dividends from other REITs and, in certain circumstances, interest, or certain types of temporary investments. Second, in each taxable year we must derive at least 95% of our gross income (excluding gross income from prohibited transactions, certain hedging transactions, and certain foreign currency gains) from the real property investments described above or dividends, interest and gain from the sale or disposition of stock or securities, or from any combination of the foregoing. For these purposes,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w:t>
      </w:r>
    </w:p>
    <w:p>
      <w:pPr>
        <w:spacing w:after="0" w:line="5" w:lineRule="exact"/>
        <w:rPr>
          <w:sz w:val="20"/>
          <w:szCs w:val="20"/>
          <w:color w:val="auto"/>
        </w:rPr>
      </w:pPr>
    </w:p>
    <w:p>
      <w:pPr>
        <w:ind w:left="1400" w:right="779"/>
        <w:spacing w:after="0" w:line="255" w:lineRule="auto"/>
        <w:rPr>
          <w:sz w:val="20"/>
          <w:szCs w:val="20"/>
          <w:color w:val="auto"/>
        </w:rPr>
      </w:pPr>
      <w:r>
        <w:rPr>
          <w:rFonts w:ascii="Times New Roman" w:cs="Times New Roman" w:eastAsia="Times New Roman" w:hAnsi="Times New Roman"/>
          <w:sz w:val="14"/>
          <w:szCs w:val="14"/>
          <w:color w:val="auto"/>
        </w:rPr>
        <w:t>Rents we receive from a tenant will qualify as “rents from real property” for the purpose of satisfying the gross income requirements for a REIT described above only if all of the following conditions are met:</w:t>
      </w:r>
    </w:p>
    <w:p>
      <w:pPr>
        <w:spacing w:after="0" w:line="69" w:lineRule="exact"/>
        <w:rPr>
          <w:sz w:val="20"/>
          <w:szCs w:val="20"/>
          <w:color w:val="auto"/>
        </w:rPr>
      </w:pPr>
    </w:p>
    <w:p>
      <w:pPr>
        <w:ind w:left="2160" w:right="419" w:hanging="339"/>
        <w:spacing w:after="0" w:line="255" w:lineRule="auto"/>
        <w:tabs>
          <w:tab w:leader="none" w:pos="21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rent is not based in whole or in part on the income or profits of any person. However, an amount we receive or accrue generally will not be excluded from the term “rents from real property” solely because it is based on a fixed percentage or percentages of receipts or sales or if it is based on the net income of a tenant which derives substantially all of its income with respect to such property from subleasing of substantially all of such property, to the extent that the rents paid by the subtenants would qualify as rents from real property if we earned such amounts directly;</w:t>
      </w:r>
    </w:p>
    <w:p>
      <w:pPr>
        <w:spacing w:after="0" w:line="69" w:lineRule="exact"/>
        <w:rPr>
          <w:rFonts w:ascii="Times New Roman" w:cs="Times New Roman" w:eastAsia="Times New Roman" w:hAnsi="Times New Roman"/>
          <w:sz w:val="14"/>
          <w:szCs w:val="14"/>
          <w:color w:val="auto"/>
        </w:rPr>
      </w:pPr>
    </w:p>
    <w:p>
      <w:pPr>
        <w:ind w:left="2160" w:right="279" w:hanging="339"/>
        <w:spacing w:after="0" w:line="251" w:lineRule="auto"/>
        <w:tabs>
          <w:tab w:leader="none" w:pos="21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we nor an actual or constructive owner of 10% or more of our capital stock actually or constructively owns 10% or more of the interests in the assets or net profits of a non-corporate tenant, or, if the tenant is a corporation, 10% or more of the total combined voting power of all classes of stock entitled to vote or 10% or more of the total value of all classes of stock of the tenant. Rents we receive from such a tenant that is a taxable REIT subsidiary of ours, however, will not be excluded from the definition of “rents from real property” as a result of this condition if at least 90% of the space at the property to which the rents relate is leased to third parties, and the rents paid by the taxable REIT subsidiary are substantially comparable to rents paid by our other tenants for comparable space. Whether rents paid by a taxable REIT subsidiary are substantially comparable to rents paid by other tenants is determined at the time the lease with the taxable REIT subsidiary is entered into, extended, and modified, if such modification increases the rents due under such lease. Notwithstanding the foregoing, however, if a lease with a “controlled</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2"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479"/>
        <w:spacing w:after="0" w:line="257" w:lineRule="auto"/>
        <w:rPr>
          <w:sz w:val="20"/>
          <w:szCs w:val="20"/>
          <w:color w:val="auto"/>
        </w:rPr>
      </w:pPr>
      <w:r>
        <w:rPr>
          <w:rFonts w:ascii="Times New Roman" w:cs="Times New Roman" w:eastAsia="Times New Roman" w:hAnsi="Times New Roman"/>
          <w:sz w:val="14"/>
          <w:szCs w:val="14"/>
          <w:color w:val="auto"/>
        </w:rPr>
        <w:t>taxable REIT subsidiary” is modified and such modification results in an increase in the rents payable by such taxable REIT subsidiary, any such increase will not qualify as “rents from real property.” For purposes of this rule, a “controlled taxable REIT subsidiary” is a taxable REIT subsidiary in which the parent REIT owns stock possessing more than 50% of the voting power or more than 50% of the total value of the outstanding stock of such taxable REIT subsidiary;</w:t>
      </w:r>
    </w:p>
    <w:p>
      <w:pPr>
        <w:spacing w:after="0" w:line="69" w:lineRule="exact"/>
        <w:rPr>
          <w:sz w:val="20"/>
          <w:szCs w:val="20"/>
          <w:color w:val="auto"/>
        </w:rPr>
      </w:pPr>
    </w:p>
    <w:p>
      <w:pPr>
        <w:ind w:left="2160" w:right="319" w:hanging="339"/>
        <w:spacing w:after="0" w:line="283" w:lineRule="auto"/>
        <w:tabs>
          <w:tab w:leader="none" w:pos="216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 attributable to personal property, leased in connection with a lease of real property, is not greater than 15% of the total rent received under the lease. If this condition is not met, then the portion of the rent attributable to personal property will not qualify as “rents from real property.” To the extent that rent attributable to personal property, leased in connection with a lease of real property, exceeds 15% of the total rent received under the lease, we may transfer a portion of such personal property to a taxable REIT subsidiary; and</w:t>
      </w:r>
    </w:p>
    <w:p>
      <w:pPr>
        <w:spacing w:after="0" w:line="53" w:lineRule="exact"/>
        <w:rPr>
          <w:rFonts w:ascii="Times New Roman" w:cs="Times New Roman" w:eastAsia="Times New Roman" w:hAnsi="Times New Roman"/>
          <w:sz w:val="13"/>
          <w:szCs w:val="13"/>
          <w:color w:val="auto"/>
        </w:rPr>
      </w:pPr>
    </w:p>
    <w:p>
      <w:pPr>
        <w:ind w:left="2160" w:right="299" w:hanging="339"/>
        <w:spacing w:after="0" w:line="252" w:lineRule="auto"/>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generally may not operate or manage the property or furnish or render services to our tenants, subject to a 1% de minimis exception and except as provided below. We may, however, perform services that are “usually or customarily rendered” in connection with the rental of space for occupancy only and are not otherwise considered “rendered to the occupant” of the property. Examples of these services include the provision of light, heat, or other utilities, trash removal, general maintenance of common areas, interconnection services and certain basic server services that do not require logical access to our tenants’ equipment. In addition, we may employ an independent contractor from whom we derive no revenue to provide customary services to our tenants, or a taxable REIT subsidiary (which may be wholly or partially owned by us) to provide both customary and non-customary services to our tenants, without causing the rent we receive from those tenants to fail to qualify as “rents from real property.”</w:t>
      </w:r>
    </w:p>
    <w:p>
      <w:pPr>
        <w:spacing w:after="0" w:line="144"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We generally do not intend, and as the general partner of our operating partnership, we do not intend to permit our operating partnership, to take actions we believe will cause us to fail to satisfy the rental conditions described above. However, we may intentionally fail to satisfy some of these conditions to the extent we determine, based on the advice of our tax counsel, that the failure will not jeopardize our tax status as a REIT. In addition, with respect to the limitation on the rental of personal property, we generally have not obtained appraisals of the real property and personal property leased to tenants. Accordingly, there can be no assurance that the IRS will not disagree with our determinations of value.</w:t>
      </w:r>
    </w:p>
    <w:p>
      <w:pPr>
        <w:spacing w:after="0" w:line="142" w:lineRule="exact"/>
        <w:rPr>
          <w:sz w:val="20"/>
          <w:szCs w:val="20"/>
          <w:color w:val="auto"/>
        </w:rPr>
      </w:pPr>
    </w:p>
    <w:p>
      <w:pPr>
        <w:ind w:left="1400" w:right="299"/>
        <w:spacing w:after="0" w:line="283" w:lineRule="auto"/>
        <w:rPr>
          <w:sz w:val="20"/>
          <w:szCs w:val="20"/>
          <w:color w:val="auto"/>
        </w:rPr>
      </w:pPr>
      <w:r>
        <w:rPr>
          <w:rFonts w:ascii="Times New Roman" w:cs="Times New Roman" w:eastAsia="Times New Roman" w:hAnsi="Times New Roman"/>
          <w:sz w:val="13"/>
          <w:szCs w:val="13"/>
          <w:color w:val="auto"/>
        </w:rPr>
        <w:t>Income we receive that is attributable to the rental of parking spaces at the properties generally will constitute rents from real property for purposes of the gross income tests if certain services provided with respect to the parking spaces are performed by independent contractors from whom we derive no revenue, either directly or indirectly, or by a taxable REIT subsidiary, and certain other conditions are met. We believe that the income we receive that is attributable to parking spaces will meet these tests and, accordingly, will constitute rents from real property for purposes of the gross income tests.</w:t>
      </w:r>
    </w:p>
    <w:p>
      <w:pPr>
        <w:spacing w:after="0" w:line="126"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under, and thus will be exempt from, the 75% and 95% gross income tests. The term “hedging transaction,” as used above, generally means (A) any transaction we enter into in the normal course of our business primarily to manage risk of (1) interest rate changes or fluctuations with respect to borrowings made or to be made by us to acquire or carry real estate assets, or (2) currency fluctuations with respect to an item of qualifying income under the 75% or 95% gross income test or any property which generates such income and (B) new transactions entered into to hedge the income or loss from prior hedging transactions, where any portion of the property or indebtedness which was the subject of the prior hedging transaction was extinguished or disposed of. To the extent that we do not properly identify such transactions as hedges or we hedge with other types of financial instruments, the income from those transactions is not likely to be treated as qualifying income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2"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for purposes of the gross income tests. We intend to structure any hedging transactions in a manner that does not jeopardize our status as a REIT.</w:t>
      </w:r>
    </w:p>
    <w:p>
      <w:pPr>
        <w:spacing w:after="0" w:line="171" w:lineRule="exact"/>
        <w:rPr>
          <w:sz w:val="20"/>
          <w:szCs w:val="20"/>
          <w:color w:val="auto"/>
        </w:rPr>
      </w:pPr>
    </w:p>
    <w:p>
      <w:pPr>
        <w:ind w:left="1400" w:right="299"/>
        <w:spacing w:after="0" w:line="257" w:lineRule="auto"/>
        <w:rPr>
          <w:sz w:val="20"/>
          <w:szCs w:val="20"/>
          <w:color w:val="auto"/>
        </w:rPr>
      </w:pPr>
      <w:r>
        <w:rPr>
          <w:rFonts w:ascii="Times New Roman" w:cs="Times New Roman" w:eastAsia="Times New Roman" w:hAnsi="Times New Roman"/>
          <w:sz w:val="14"/>
          <w:szCs w:val="14"/>
          <w:color w:val="auto"/>
        </w:rPr>
        <w:t>We have investments in entities located outside the United States and from time to time may invest in additional entities or properties located outside the United States, through a taxable REIT subsidiary or otherwise. These acquisitions could cause us to incur foreign currency gains or losses. Any foreign currency gains, to the extent attributable to specified items of qualifying income or gain, or specified qualifying assets, however, generally will not constitute gross income for purposes of the 75% and 95% gross income tests, and therefore will be excluded from these tests.</w:t>
      </w:r>
    </w:p>
    <w:p>
      <w:pPr>
        <w:spacing w:after="0" w:line="142" w:lineRule="exact"/>
        <w:rPr>
          <w:sz w:val="20"/>
          <w:szCs w:val="20"/>
          <w:color w:val="auto"/>
        </w:rPr>
      </w:pPr>
    </w:p>
    <w:p>
      <w:pPr>
        <w:jc w:val="both"/>
        <w:ind w:left="1400" w:right="279"/>
        <w:spacing w:after="0" w:line="262" w:lineRule="auto"/>
        <w:rPr>
          <w:sz w:val="20"/>
          <w:szCs w:val="20"/>
          <w:color w:val="auto"/>
        </w:rPr>
      </w:pPr>
      <w:r>
        <w:rPr>
          <w:rFonts w:ascii="Times New Roman" w:cs="Times New Roman" w:eastAsia="Times New Roman" w:hAnsi="Times New Roman"/>
          <w:sz w:val="14"/>
          <w:szCs w:val="14"/>
          <w:color w:val="auto"/>
        </w:rPr>
        <w:t>To the extent our taxable REIT subsidiaries pay dividends or interest, our allocable share of such dividend or interest income will qualify under the 95%, but (subject to certain exceptions) not the 75%, gross income test. Notwithstanding the foregoing, our allocable share of such interest would also qualify under the 75% gross income test to the extent the interest is paid on a loan that is adequately secured by real property.</w:t>
      </w:r>
    </w:p>
    <w:p>
      <w:pPr>
        <w:spacing w:after="0" w:line="138" w:lineRule="exact"/>
        <w:rPr>
          <w:sz w:val="20"/>
          <w:szCs w:val="20"/>
          <w:color w:val="auto"/>
        </w:rPr>
      </w:pPr>
    </w:p>
    <w:p>
      <w:pPr>
        <w:jc w:val="both"/>
        <w:ind w:left="1400" w:right="499"/>
        <w:spacing w:after="0" w:line="262" w:lineRule="auto"/>
        <w:rPr>
          <w:sz w:val="20"/>
          <w:szCs w:val="20"/>
          <w:color w:val="auto"/>
        </w:rPr>
      </w:pPr>
      <w:r>
        <w:rPr>
          <w:rFonts w:ascii="Times New Roman" w:cs="Times New Roman" w:eastAsia="Times New Roman" w:hAnsi="Times New Roman"/>
          <w:sz w:val="14"/>
          <w:szCs w:val="14"/>
          <w:color w:val="auto"/>
        </w:rPr>
        <w:t>We will monitor the amount of the dividend and other income from our taxable REIT subsidiaries and will take actions intended to keep this income, and any other nonqualifying income, within the limitations of the gross income tests. Although we expect these actions will be sufficient to prevent a violation of the gross income tests, we cannot guarantee that such actions will in all cases prevent such a violation.</w:t>
      </w:r>
    </w:p>
    <w:p>
      <w:pPr>
        <w:spacing w:after="0" w:line="138"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If we fail to satisfy one or both of the 75% or 95% gross income tests for any taxable year, we may nevertheless qualify as a REIT for the year if we are entitled to relief under certain provisions of the Code. We generally may make use of the relief provisions if:</w:t>
      </w:r>
    </w:p>
    <w:p>
      <w:pPr>
        <w:spacing w:after="0" w:line="53" w:lineRule="exact"/>
        <w:rPr>
          <w:sz w:val="20"/>
          <w:szCs w:val="20"/>
          <w:color w:val="auto"/>
        </w:rPr>
      </w:pPr>
    </w:p>
    <w:p>
      <w:pPr>
        <w:ind w:left="2160" w:right="359" w:hanging="339"/>
        <w:spacing w:after="0" w:line="262" w:lineRule="auto"/>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our identification of the failure to meet the 75% or 95% gross income tests for any taxable year, we file a schedule with the IRS setting forth each item of our gross income for purposes of the 75% or 95% gross income tests for such taxable year in accordance with Treasury Regulations to be issued; and</w:t>
      </w:r>
    </w:p>
    <w:p>
      <w:pPr>
        <w:spacing w:after="0" w:line="64"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these tests was due to reasonable cause and not due to willful neglect.</w:t>
      </w:r>
    </w:p>
    <w:p>
      <w:pPr>
        <w:spacing w:after="0" w:line="171"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It is not possible, however, to state whether in all circumstances we would be entitled to the benefit of these relief provisions. For example, if we fail to satisfy the gross income tests because nonqualifying income that we intentionally accrue or receive exceeds the limits on nonqualifying income, the IRS could conclude that our failure to satisfy the tests was not due to reasonable cause. If these relief provisions do not apply to a particular set of circumstances, we will not qualify as a REIT. See “—Failure to Qualify” below. As discussed above in “—General,” even if these relief provisions apply, and we retain our status as a REIT, a tax would be imposed with respect to our nonqualifying income. We may not always be able to comply with the gross income tests for REIT qualification despite periodic monitoring of our income.</w:t>
      </w:r>
    </w:p>
    <w:p>
      <w:pPr>
        <w:spacing w:after="0" w:line="143"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Prohibited Transaction Income</w:t>
      </w:r>
      <w:r>
        <w:rPr>
          <w:rFonts w:ascii="Times New Roman" w:cs="Times New Roman" w:eastAsia="Times New Roman" w:hAnsi="Times New Roman"/>
          <w:sz w:val="14"/>
          <w:szCs w:val="14"/>
          <w:color w:val="auto"/>
        </w:rPr>
        <w:t>. Any gain that we realize on the sale of property (other than any foreclosure property) held as inventory or otherwise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held primarily for sale to customers in the ordinary course of business, including our share of any such gain realized by our operating partnership, either directly or through its subsidiary partnerships, will be treated as income from a prohibited transaction that is subject to a 100% penalty tax, unless certain safe harbor exceptions apply. This prohibited transaction income may also adversely affect our ability to satisfy the gross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As the general partner of our operating partnership, we intend to cause our operating partnership to hold its properties for investment with a view to long-term appreciation, to engage in the business of acquiring, developing and owning its properties and to make occasional sales of the properties as are consistent with our investment objectives. We do not intend, and do not intend to permit our operating partnership or its subsidiary partnerships, to enter into any sales that are prohibited transactions. However, the IRS may successfully contend that some or all of the sales made by our</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2"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19"/>
        <w:spacing w:after="0" w:line="262" w:lineRule="auto"/>
        <w:rPr>
          <w:sz w:val="20"/>
          <w:szCs w:val="20"/>
          <w:color w:val="auto"/>
        </w:rPr>
      </w:pPr>
      <w:r>
        <w:rPr>
          <w:rFonts w:ascii="Times New Roman" w:cs="Times New Roman" w:eastAsia="Times New Roman" w:hAnsi="Times New Roman"/>
          <w:sz w:val="14"/>
          <w:szCs w:val="14"/>
          <w:color w:val="auto"/>
        </w:rPr>
        <w:t>operating partnership or its subsidiary partnerships are prohibited transactions. We would be required to pay the 100% penalty tax on our allocable share of the gains resulting from any such sales. The 100% penalty tax will not apply to gains from the sale of assets that are held through a taxable REIT subsidiary, but such income will be subject to regular U.S. federal corporate income tax.</w:t>
      </w:r>
    </w:p>
    <w:p>
      <w:pPr>
        <w:spacing w:after="0" w:line="136" w:lineRule="exact"/>
        <w:rPr>
          <w:sz w:val="20"/>
          <w:szCs w:val="20"/>
          <w:color w:val="auto"/>
        </w:rPr>
      </w:pPr>
    </w:p>
    <w:p>
      <w:pPr>
        <w:ind w:left="1400" w:right="47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Penalty Tax</w:t>
      </w:r>
      <w:r>
        <w:rPr>
          <w:rFonts w:ascii="Times New Roman" w:cs="Times New Roman" w:eastAsia="Times New Roman" w:hAnsi="Times New Roman"/>
          <w:sz w:val="14"/>
          <w:szCs w:val="14"/>
          <w:color w:val="auto"/>
        </w:rPr>
        <w:t>. Any redetermined rents, redetermined deductions, excess interest or redetermined TRS service income we generate will be subject to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100% penalty tax. In general, redetermined rents are rents from real property that are overstated as a result of any services furnished to any of our tenants by a taxable REIT subsidiary of ours, redetermined deductions and excess interest represent any amounts that are deducted by a taxable REIT subsidiary of ours for amounts paid to us that are in excess of the amounts that would have been deducted based on arm’s length negotiations, and redetermined TRS service income is income of a taxable REIT subsidiary that is understated as a result of services provided to us or on our behalf. Rents we receive will not constitute redetermined rents if they qualify for certain safe harbor provisions contained in the Code.</w:t>
      </w:r>
    </w:p>
    <w:p>
      <w:pPr>
        <w:spacing w:after="0" w:line="143" w:lineRule="exact"/>
        <w:rPr>
          <w:sz w:val="20"/>
          <w:szCs w:val="20"/>
          <w:color w:val="auto"/>
        </w:rPr>
      </w:pPr>
    </w:p>
    <w:p>
      <w:pPr>
        <w:ind w:left="1400" w:right="439"/>
        <w:spacing w:after="0" w:line="279" w:lineRule="auto"/>
        <w:rPr>
          <w:sz w:val="20"/>
          <w:szCs w:val="20"/>
          <w:color w:val="auto"/>
        </w:rPr>
      </w:pPr>
      <w:r>
        <w:rPr>
          <w:rFonts w:ascii="Times New Roman" w:cs="Times New Roman" w:eastAsia="Times New Roman" w:hAnsi="Times New Roman"/>
          <w:sz w:val="13"/>
          <w:szCs w:val="13"/>
          <w:color w:val="auto"/>
        </w:rPr>
        <w:t>From time to time, certain of our taxable REIT subsidiaries provide services to our tenants. We believe we have set, and we intend to set in the future, any fees paid to our taxable REIT subsidiaries for such services at arm’s length rates, although the fees paid may not satisfy the safe harbor provisions referenced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any overstated rents paid to us, or any excess deductions or understated income of our taxable REIT subsidiaries.</w:t>
      </w:r>
    </w:p>
    <w:p>
      <w:pPr>
        <w:spacing w:after="0" w:line="126" w:lineRule="exact"/>
        <w:rPr>
          <w:sz w:val="20"/>
          <w:szCs w:val="20"/>
          <w:color w:val="auto"/>
        </w:rPr>
      </w:pPr>
    </w:p>
    <w:p>
      <w:pPr>
        <w:ind w:left="1400" w:right="39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Asset Tests</w:t>
      </w:r>
      <w:r>
        <w:rPr>
          <w:rFonts w:ascii="Times New Roman" w:cs="Times New Roman" w:eastAsia="Times New Roman" w:hAnsi="Times New Roman"/>
          <w:sz w:val="14"/>
          <w:szCs w:val="14"/>
          <w:color w:val="auto"/>
        </w:rPr>
        <w:t>. At the close of each calendar quarter of our taxable year, we must also satisfy certain tests relating to the nature and diversification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assets. First, at least 75% of the value of our total assets must be represented by real estate assets, cash, cash items and U.S. government securities. For purposes of this test, the term “real estate assets” generally means real property (including interests in real property and interests in mortgages on real property or on both real property and, to a limited extent, personal property), shares (or transferable certificates of beneficial interest) in other REITs, any stock or debt instrument attributable to the investment of the proceeds of a stock offering or a public offering of debt with a term of at least five years (but only for the one-year period beginning on the date the REIT receives such proceeds), debt instruments of publicly offered REITs, and personal property leased in connection with a lease of real property for which the rent attributable to personal property is not greater than 15% of the total rent received under the lease.</w:t>
      </w:r>
    </w:p>
    <w:p>
      <w:pPr>
        <w:spacing w:after="0" w:line="146" w:lineRule="exact"/>
        <w:rPr>
          <w:sz w:val="20"/>
          <w:szCs w:val="20"/>
          <w:color w:val="auto"/>
        </w:rPr>
      </w:pPr>
    </w:p>
    <w:p>
      <w:pPr>
        <w:ind w:left="1400" w:right="499"/>
        <w:spacing w:after="0" w:line="278" w:lineRule="auto"/>
        <w:rPr>
          <w:sz w:val="20"/>
          <w:szCs w:val="20"/>
          <w:color w:val="auto"/>
        </w:rPr>
      </w:pPr>
      <w:r>
        <w:rPr>
          <w:rFonts w:ascii="Times New Roman" w:cs="Times New Roman" w:eastAsia="Times New Roman" w:hAnsi="Times New Roman"/>
          <w:sz w:val="14"/>
          <w:szCs w:val="14"/>
          <w:color w:val="auto"/>
        </w:rPr>
        <w:t>Second, not more than 25% of the value of our total assets may be represented by securities (including securities of taxable REIT subsidiaries), other than those securities includable in the 75% asset test.</w:t>
      </w:r>
    </w:p>
    <w:p>
      <w:pPr>
        <w:spacing w:after="0" w:line="126"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Third, of the investments included in the 25% asset class, and except for certain investments in other REITs, our qualified REIT subsidiaries and taxable REIT subsidiaries, the value of any one issuer’s securities may not exceed 5% of the value of our total assets, and we may not own more than 10% of the total vote or value of the outstanding securities of any one issuer. Certain types of securities we may own are disregarded as securities solely for purposes of the 10% value test, including, but not limited to, securities satisfying the “straight debt” safe harbor, securities issued by a partnership that itself would satisfy the 75% income test if it were a REIT, any loan to an individual or an estate, any obligation to pay rents from real property and any security issued by a REIT. In addition, solely for purposes of the 10% value test, the determination of our interest in the assets of a partnership in which we own an interest will be based on our proportionate interest in any securities issued by the partnership, excluding for this purpose certain securities described in the Code. From time to time we may own securities (including debt securities) of issuers that do not qualify as a REIT, a qualified REIT subsidiary or a taxable REIT subsidiary. We intend that our ownership of any such securities will be structured in a manner that allows us to comply with the asset tests described above.</w:t>
      </w:r>
    </w:p>
    <w:p>
      <w:pPr>
        <w:spacing w:after="0" w:line="145" w:lineRule="exact"/>
        <w:rPr>
          <w:sz w:val="20"/>
          <w:szCs w:val="20"/>
          <w:color w:val="auto"/>
        </w:rPr>
      </w:pPr>
    </w:p>
    <w:p>
      <w:pPr>
        <w:ind w:left="1400" w:right="599"/>
        <w:spacing w:after="0" w:line="278" w:lineRule="auto"/>
        <w:rPr>
          <w:sz w:val="20"/>
          <w:szCs w:val="20"/>
          <w:color w:val="auto"/>
        </w:rPr>
      </w:pPr>
      <w:r>
        <w:rPr>
          <w:rFonts w:ascii="Times New Roman" w:cs="Times New Roman" w:eastAsia="Times New Roman" w:hAnsi="Times New Roman"/>
          <w:sz w:val="14"/>
          <w:szCs w:val="14"/>
          <w:color w:val="auto"/>
        </w:rPr>
        <w:t>Fourth, not more than 25% (20% for (i) taxable years beginning before July 31, 2008 and (ii) taxable years beginning after December 31, 2017 and before January 1, 2026) of the value of our total assets may be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2"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439"/>
        <w:spacing w:after="0" w:line="271" w:lineRule="auto"/>
        <w:rPr>
          <w:sz w:val="20"/>
          <w:szCs w:val="20"/>
          <w:color w:val="auto"/>
        </w:rPr>
      </w:pPr>
      <w:r>
        <w:rPr>
          <w:rFonts w:ascii="Times New Roman" w:cs="Times New Roman" w:eastAsia="Times New Roman" w:hAnsi="Times New Roman"/>
          <w:sz w:val="13"/>
          <w:szCs w:val="13"/>
          <w:color w:val="auto"/>
        </w:rPr>
        <w:t>represented by the securities of one or more taxable REIT subsidiaries. We, through our operating partnership, own interests in companies that have elected, together with us, to be treated as our taxable REIT subsidiaries, and we may acquire securities in additional taxable REIT subsidiaries in the future. So long as each of these companies qualifies as a taxable REIT subsidiary of ours, we will not be subject to the 5% asset test, the 10% voting power limitation or the 10% value limitation with respect to our ownership of the securities of such companies. We believe that the aggregate value of our taxable REIT subsidiaries has not exceeded, and in the future will not exceed, 25% (20% for (i) taxable years beginning before July 31, 2008 and</w:t>
      </w:r>
    </w:p>
    <w:p>
      <w:pPr>
        <w:spacing w:after="0" w:line="2" w:lineRule="exact"/>
        <w:rPr>
          <w:sz w:val="20"/>
          <w:szCs w:val="20"/>
          <w:color w:val="auto"/>
        </w:rPr>
      </w:pPr>
    </w:p>
    <w:p>
      <w:pPr>
        <w:ind w:left="1400" w:right="359" w:firstLine="6"/>
        <w:spacing w:after="0" w:line="251" w:lineRule="auto"/>
        <w:tabs>
          <w:tab w:leader="none" w:pos="1604"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taxable years beginning after December 31, 2017 and before January 1, 2026) of the aggregate value of our gross assets. We generally do not obtain independent appraisals to support these conclusions. In addition, there can be no assurance that the IRS will not disagree with our determinations of value.</w:t>
      </w:r>
    </w:p>
    <w:p>
      <w:pPr>
        <w:spacing w:after="0" w:line="145" w:lineRule="exact"/>
        <w:rPr>
          <w:sz w:val="20"/>
          <w:szCs w:val="20"/>
          <w:color w:val="auto"/>
        </w:rPr>
      </w:pPr>
    </w:p>
    <w:p>
      <w:pPr>
        <w:ind w:left="1400" w:right="539"/>
        <w:spacing w:after="0" w:line="262" w:lineRule="auto"/>
        <w:rPr>
          <w:sz w:val="20"/>
          <w:szCs w:val="20"/>
          <w:color w:val="auto"/>
        </w:rPr>
      </w:pPr>
      <w:r>
        <w:rPr>
          <w:rFonts w:ascii="Times New Roman" w:cs="Times New Roman" w:eastAsia="Times New Roman" w:hAnsi="Times New Roman"/>
          <w:sz w:val="14"/>
          <w:szCs w:val="14"/>
          <w:color w:val="auto"/>
        </w:rPr>
        <w:t>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 as described above (e.g., a debt instrument issued by a publicly offered REIT that is not secured by a mortgage on real property).</w:t>
      </w:r>
    </w:p>
    <w:p>
      <w:pPr>
        <w:spacing w:after="0" w:line="138"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The asset tests must be satisfied at the close of each calendar quarter of our taxable year in which we (directly or through any partnership or qualified REIT subsidiary) acquire securities in the applicable issuer, and also at the close of each calendar quarter in which we increase our ownership of securities of such issuer (including as a result of an increase in our interest in any partnership that owns such securities). For example, our indirect ownership of securities of each issuer will increase as a result of our capital contributions to our operating partnership or as limited partners exercise any redemption/exchange rights. Also, after initially meeting the asset tests at the close of any quarter, we will not lose our status as a REIT for failure to satisfy the asset tests at the end of a later quarter solely by reason of changes in asset values. If we fail to satisfy an asset test because we acquire securities or other property during a quarter (including as a result of an increase in our interest in any partnership), we may cure this failure by disposing of sufficient nonqualifying assets within 30 days after the close of that quarter. We believe that we have maintained, and we intend to maintain, adequate records of the value of our assets to ensure compliance with the asset tests. If we fail to cure any noncompliance with the asset tests within the 30-day cure period, we would cease to qualify as a REIT unless we are eligible for certain relief provisions discussed below.</w:t>
      </w:r>
    </w:p>
    <w:p>
      <w:pPr>
        <w:spacing w:after="0" w:line="145"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Certain relief provisions may be available to us if we discover a failure to satisfy the asset tests described above after the 30-day cure period. Under these provisions, we will be deemed to have met the 5% and 10% asset tests if the value of our nonqualifying assets (i) does not exceed the lesser of (a) 1% of the total value of our assets at the end of the applicable quarter or (b) $10,000,000, and (ii) we dispose of the nonqualifying assets or otherwise satisfy such tests within (a) six months after the last day of the quarter in which the failure to satisfy the asset tests is discovered or (b) the period of time prescribed by Treasury Regulations to be issued. For violations of any of the asset tests due to reasonable cause and not due to willful neglect and that are, in the case of the 5% and 10% asset tests, in excess of the de minimis exception described above, we may avoid disqualification as a REIT after the 30-day cure period by taking steps including (i) the disposition of sufficient nonqualifying assets, or the taking of other actions, which allow us to meet the asset tests within (a) six months after the last day of the quarter in which the failure to satisfy the asset tests is discovered or (b) the period of time prescribed by Treasury Regulations to be issued, (ii) paying a tax equal to the greater of (a) $50,000 or (b) the U.S. federal corporate income tax rate multiplied by the net income generated by the nonqualifying assets, and (iii) disclosing certain information to the IRS.</w:t>
      </w:r>
    </w:p>
    <w:p>
      <w:pPr>
        <w:spacing w:after="0" w:line="145" w:lineRule="exact"/>
        <w:rPr>
          <w:sz w:val="20"/>
          <w:szCs w:val="20"/>
          <w:color w:val="auto"/>
        </w:rPr>
      </w:pPr>
    </w:p>
    <w:p>
      <w:pPr>
        <w:ind w:left="1400" w:right="439"/>
        <w:spacing w:after="0" w:line="257" w:lineRule="auto"/>
        <w:rPr>
          <w:sz w:val="20"/>
          <w:szCs w:val="20"/>
          <w:color w:val="auto"/>
        </w:rPr>
      </w:pPr>
      <w:r>
        <w:rPr>
          <w:rFonts w:ascii="Times New Roman" w:cs="Times New Roman" w:eastAsia="Times New Roman" w:hAnsi="Times New Roman"/>
          <w:sz w:val="14"/>
          <w:szCs w:val="14"/>
          <w:color w:val="auto"/>
        </w:rPr>
        <w:t>Although we believe we have satisfied the asset tests described above and plan to take steps to ensure that we satisfy such tests for any quarter with respect to which retesting is to occur, there can be no assurance that we will always be successful, or will not require a reduction in our operating partnership’s overall interest in an issuer (including in a taxable REIT subsidiary). If we fail to cure any noncompliance with the asset tests in a timely manner, and the relief provisions described above are not available, we would cease to qualify as a REIT.</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2"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right="3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Annual Distribution Requirements</w:t>
      </w:r>
      <w:r>
        <w:rPr>
          <w:rFonts w:ascii="Times New Roman" w:cs="Times New Roman" w:eastAsia="Times New Roman" w:hAnsi="Times New Roman"/>
          <w:sz w:val="14"/>
          <w:szCs w:val="14"/>
          <w:color w:val="auto"/>
        </w:rPr>
        <w:t>. To maintain our qualification as a REIT, we are required to distribute dividends, other than capital gain dividends,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our stockholders each year in an amount at least equal to the sum of:</w:t>
      </w:r>
    </w:p>
    <w:p>
      <w:pPr>
        <w:spacing w:after="0" w:line="51" w:lineRule="exact"/>
        <w:rPr>
          <w:sz w:val="20"/>
          <w:szCs w:val="20"/>
          <w:color w:val="auto"/>
        </w:rPr>
      </w:pPr>
    </w:p>
    <w:p>
      <w:pPr>
        <w:ind w:left="2160" w:hanging="339"/>
        <w:spacing w:after="0"/>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of our “REIT taxable income”; and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of our after-tax net income, if any, from foreclosure property; minus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excess of the sum of certain items of non-cash income over 5% of our “REIT taxable income.”</w:t>
      </w:r>
    </w:p>
    <w:p>
      <w:pPr>
        <w:spacing w:after="0" w:line="171" w:lineRule="exact"/>
        <w:rPr>
          <w:sz w:val="20"/>
          <w:szCs w:val="20"/>
          <w:color w:val="auto"/>
        </w:rPr>
      </w:pPr>
    </w:p>
    <w:p>
      <w:pPr>
        <w:ind w:left="1400" w:right="559"/>
        <w:spacing w:after="0" w:line="262" w:lineRule="auto"/>
        <w:rPr>
          <w:sz w:val="20"/>
          <w:szCs w:val="20"/>
          <w:color w:val="auto"/>
        </w:rPr>
      </w:pPr>
      <w:r>
        <w:rPr>
          <w:rFonts w:ascii="Times New Roman" w:cs="Times New Roman" w:eastAsia="Times New Roman" w:hAnsi="Times New Roman"/>
          <w:sz w:val="14"/>
          <w:szCs w:val="14"/>
          <w:color w:val="auto"/>
        </w:rPr>
        <w:t>For these purposes, our “REIT taxable income” is computed without regard to the dividends paid deduction and our net capital gain. In addition, for purposes of this test, non-cash income generally means income attributable to leveled stepped rents, original issue discount, cancellation of indebtedness, or a like-kind exchange that is later determined to be taxable.</w:t>
      </w:r>
    </w:p>
    <w:p>
      <w:pPr>
        <w:spacing w:after="0" w:line="138" w:lineRule="exact"/>
        <w:rPr>
          <w:sz w:val="20"/>
          <w:szCs w:val="20"/>
          <w:color w:val="auto"/>
        </w:rPr>
      </w:pPr>
    </w:p>
    <w:p>
      <w:pPr>
        <w:ind w:left="1400" w:right="319"/>
        <w:spacing w:after="0" w:line="257" w:lineRule="auto"/>
        <w:rPr>
          <w:sz w:val="20"/>
          <w:szCs w:val="20"/>
          <w:color w:val="auto"/>
        </w:rPr>
      </w:pPr>
      <w:r>
        <w:rPr>
          <w:rFonts w:ascii="Times New Roman" w:cs="Times New Roman" w:eastAsia="Times New Roman" w:hAnsi="Times New Roman"/>
          <w:sz w:val="14"/>
          <w:szCs w:val="14"/>
          <w:color w:val="auto"/>
        </w:rPr>
        <w:t>In addition, our “REIT taxable income” will be reduced by any taxes we are required to pay on any gain we recognize from the disposition of any asset we acquired from a corporation that is or has been a C corporation in a transaction in which our tax basis in the asset is less than the fair market value of the asset, in each case determined as of the date on which we acquired the asset, within the five-year period following our acquisition of such asset, as described above under “—General.”</w:t>
      </w:r>
    </w:p>
    <w:p>
      <w:pPr>
        <w:spacing w:after="0" w:line="142" w:lineRule="exact"/>
        <w:rPr>
          <w:sz w:val="20"/>
          <w:szCs w:val="20"/>
          <w:color w:val="auto"/>
        </w:rPr>
      </w:pPr>
    </w:p>
    <w:p>
      <w:pPr>
        <w:ind w:left="1400" w:right="299"/>
        <w:spacing w:after="0" w:line="274" w:lineRule="auto"/>
        <w:rPr>
          <w:sz w:val="20"/>
          <w:szCs w:val="20"/>
          <w:color w:val="auto"/>
        </w:rPr>
      </w:pPr>
      <w:r>
        <w:rPr>
          <w:rFonts w:ascii="Times New Roman" w:cs="Times New Roman" w:eastAsia="Times New Roman" w:hAnsi="Times New Roman"/>
          <w:sz w:val="13"/>
          <w:szCs w:val="13"/>
          <w:color w:val="auto"/>
        </w:rPr>
        <w:t>Except as provided below, a taxpayer’s deduction for net business interest expense will generally be limited to 30% of its taxable income, as adjusted for certain items of income, gain, deduction or loss. Any business interest deduction that is disallowed due to this limitation may be carried forward to future taxable years, subject to special rules applicable to partnerships. If we or any of our subsidiary partnerships (including our operating partnership) are subject to this interest expense limitation, our REIT taxable income for a taxable year may be increased. Taxpayers that conduct certain real estate businesses may elect not to have this interest expense limitation apply to them, provided that they use an alternative depreciation system to depreciate certain property. We believe that we or any of our subsidiary partnerships that are subject to this interest expense limitation will be eligible to make this election. If such election is made, although we or such subsidiary partnership, as applicable, would not be subject to the interest expense limitation described above, depreciation deductions may be reduced and, as a result, our REIT taxable income for a taxable year may be increased.</w:t>
      </w:r>
    </w:p>
    <w:p>
      <w:pPr>
        <w:spacing w:after="0" w:line="131" w:lineRule="exact"/>
        <w:rPr>
          <w:sz w:val="20"/>
          <w:szCs w:val="20"/>
          <w:color w:val="auto"/>
        </w:rPr>
      </w:pPr>
    </w:p>
    <w:p>
      <w:pPr>
        <w:ind w:left="1400" w:right="299"/>
        <w:spacing w:after="0" w:line="249" w:lineRule="auto"/>
        <w:rPr>
          <w:sz w:val="20"/>
          <w:szCs w:val="20"/>
          <w:color w:val="auto"/>
        </w:rPr>
      </w:pPr>
      <w:r>
        <w:rPr>
          <w:rFonts w:ascii="Times New Roman" w:cs="Times New Roman" w:eastAsia="Times New Roman" w:hAnsi="Times New Roman"/>
          <w:sz w:val="14"/>
          <w:szCs w:val="14"/>
          <w:color w:val="auto"/>
        </w:rPr>
        <w:t>We generally must pay, or be treated as paying, the distributions described above in the taxable year to which they relate. At our election, a distribution will be treated as paid in a taxable year if it is declared before we timely file our tax return for such year and paid on or before the first regular dividend payment after such declaration, provided such payment is made during the 12-month period following the close of such year. These distributions are treated as received by our stockholders in the year in which they are paid. This is so even though these distributions relate to the prior year for purposes of the 90% distribution requirement. In order to be taken into account for purposes of our distribution requirement, except as provided below, the amount distributed must not be preferential—i.e.,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are, and expect we will continue to be, a “publicly offered REIT.” However, Subsidiary REITs we may own from time to time may not be publicly offered REITs. To the extent that we do not distribute all of our net capital gain, or distribute at least 90%, but less than 100%, of our “REIT taxable income,” as adjusted, we will be required to pay regular U.S. federal corporate income tax on the undistributed amount. We believe that we have made, and we intend to continue to make, timely distributions sufficient to satisfy these annual distribution requirements and to minimize our corporate tax obligations. In this regard, the partnership agreement of our operating partnership authorizes us, as the general partner of our operating partnership, to take such steps as may be necessary to cause our operating partnership to distribute to its partners an amount sufficient to permit us to meet these distribution requirements and to minimize our corporate tax obligation.</w:t>
      </w:r>
    </w:p>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2"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or for other reasons. If these timing differences occur, we may borrow funds to pay dividends or pay dividends in the form of taxable stock distributions in order to meet the distribution requirements, while preserving our cash.</w:t>
      </w:r>
    </w:p>
    <w:p>
      <w:pPr>
        <w:spacing w:after="0" w:line="146"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Under some circumstances, we may be able to rectify an inadvertent failure to meet the 90% distribution requirement for a year by paying “deficiency dividends” to our stockholders in a later year, which may be included in our deduction for dividends paid for the earlier year. In that case, we may be able to avoid being taxed on amounts distributed as deficiency dividends, subject to the 4% excise tax described below. However, we will be required to pay interest to the IRS based upon the amount of any deduction claimed for deficiency dividends. While the payment of a deficiency dividend will apply to a prior year for purposes of our REIT distribution requirements, it will be treated as an additional distribution to our stockholders in the year such dividend is paid.</w:t>
      </w:r>
    </w:p>
    <w:p>
      <w:pPr>
        <w:spacing w:after="0" w:line="145" w:lineRule="exact"/>
        <w:rPr>
          <w:sz w:val="20"/>
          <w:szCs w:val="20"/>
          <w:color w:val="auto"/>
        </w:rPr>
      </w:pPr>
    </w:p>
    <w:p>
      <w:pPr>
        <w:ind w:left="1400" w:right="419"/>
        <w:spacing w:after="0" w:line="257" w:lineRule="auto"/>
        <w:rPr>
          <w:sz w:val="20"/>
          <w:szCs w:val="20"/>
          <w:color w:val="auto"/>
        </w:rPr>
      </w:pPr>
      <w:r>
        <w:rPr>
          <w:rFonts w:ascii="Times New Roman" w:cs="Times New Roman" w:eastAsia="Times New Roman" w:hAnsi="Times New Roman"/>
          <w:sz w:val="14"/>
          <w:szCs w:val="14"/>
          <w:color w:val="auto"/>
        </w:rPr>
        <w:t>Furthermore, we will be required to pay a 4% excise tax to the extent we fail to distribute during each calendar year at least the sum of 85% of our ordinary income for such year, 95% of our capital gain net income for the year and any undistributed taxable income from prior periods. Any ordinary income and net capital gain on which U.S. federal corporate income tax is imposed for any year is treated as an amount distributed during that year for purposes of calculating this excise tax.</w:t>
      </w:r>
    </w:p>
    <w:p>
      <w:pPr>
        <w:spacing w:after="0" w:line="142" w:lineRule="exact"/>
        <w:rPr>
          <w:sz w:val="20"/>
          <w:szCs w:val="20"/>
          <w:color w:val="auto"/>
        </w:rPr>
      </w:pPr>
    </w:p>
    <w:p>
      <w:pPr>
        <w:ind w:left="1400" w:right="359"/>
        <w:spacing w:after="0" w:line="262" w:lineRule="auto"/>
        <w:rPr>
          <w:sz w:val="20"/>
          <w:szCs w:val="20"/>
          <w:color w:val="auto"/>
        </w:rPr>
      </w:pPr>
      <w:r>
        <w:rPr>
          <w:rFonts w:ascii="Times New Roman" w:cs="Times New Roman" w:eastAsia="Times New Roman" w:hAnsi="Times New Roman"/>
          <w:sz w:val="14"/>
          <w:szCs w:val="14"/>
          <w:color w:val="auto"/>
        </w:rPr>
        <w:t>For purposes of the 90% distribution requirement and excise tax described above, dividends declared during the last three months of the taxable year, payable to stockholders of record on a specified date during such period and paid during January of the following year, will be treated as paid by us and received by our stockholders on December 31 of the year in which they are declared.</w:t>
      </w:r>
    </w:p>
    <w:p>
      <w:pPr>
        <w:spacing w:after="0" w:line="136" w:lineRule="exact"/>
        <w:rPr>
          <w:sz w:val="20"/>
          <w:szCs w:val="20"/>
          <w:color w:val="auto"/>
        </w:rPr>
      </w:pPr>
    </w:p>
    <w:p>
      <w:pPr>
        <w:ind w:left="1400" w:right="29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Like-Kind Exchanges</w:t>
      </w:r>
      <w:r>
        <w:rPr>
          <w:rFonts w:ascii="Times New Roman" w:cs="Times New Roman" w:eastAsia="Times New Roman" w:hAnsi="Times New Roman"/>
          <w:sz w:val="14"/>
          <w:szCs w:val="14"/>
          <w:color w:val="auto"/>
        </w:rPr>
        <w:t>. We may dispose of real property that is not held primarily for sale in transactions intended to qualify as like-kind exchanges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under the Code. Such like-kind exchanges are intended to result in the deferral of gain for U.S. federal income tax purposes. The failure of any such transaction to qualify as a like-kind exchange could require us to pay U.S. federal income tax, possibly including the 100% prohibited transaction tax, or deficiency dividends, depending on the facts and circumstances surrounding the particular transaction.</w:t>
      </w:r>
    </w:p>
    <w:p>
      <w:pPr>
        <w:spacing w:after="0" w:line="139" w:lineRule="exact"/>
        <w:rPr>
          <w:sz w:val="20"/>
          <w:szCs w:val="20"/>
          <w:color w:val="auto"/>
        </w:rPr>
      </w:pPr>
    </w:p>
    <w:p>
      <w:pPr>
        <w:ind w:left="1400" w:right="35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Tax Liabilities and Attributes Inherited in Connection with Acquisitions</w:t>
      </w:r>
      <w:r>
        <w:rPr>
          <w:rFonts w:ascii="Times New Roman" w:cs="Times New Roman" w:eastAsia="Times New Roman" w:hAnsi="Times New Roman"/>
          <w:sz w:val="14"/>
          <w:szCs w:val="14"/>
          <w:color w:val="auto"/>
        </w:rPr>
        <w:t>. From time to time, we or our operating partnership may acquire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corporations or entities and, in connection with such acquisitions, we may succeed to the historical tax attributes and liabilities of such entities. For example, if we acquire a C corporation and subsequently dispose of its assets within five years of the acquisition, we could be required to pay the built-in gain tax described above under “—General.” In addition, in order to qualify as a REIT, at the end of any taxable year, we must not have any earnings and profits accumulated in a non-REIT year. As a result, if we acquire a C corporation,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144"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Moreover, we or one of our subsidiaries may from time to time acquire other REITs through a merger or acquisition. If any such REIT failed to qualify as a REIT for any of its taxable years, such REIT would be liable for (and we or our subsidiary, as applicable, as the surviving corporation in the merger or acquisition, would be obligated to pay) regular U.S. federal corporate income tax on its taxable income for such taxable years. In addition, if such REIT was a C corporation at the time of the merger or acquisition, the tax consequences described in the preceding paragraph generally would apply. If such REIT failed to qualify as a REIT for any of</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2"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its taxable years, but qualified as a REIT at the time of such merger or acquisition, and we acquired such REIT’s assets in a transaction in which our tax basis in the assets of such REIT is determined, in whole or in part, by reference to such REIT’s tax basis in such assets, we generally would be subject to tax on the built-in gain on each asset of such REIT as described above if we were to dispose of the asset in a taxable transaction during the five-year period following such REIT’s requalification as a REIT, subject to certain exceptions. Moreover, even if such REIT qualified as a REIT at all relevant times, we would similarly be liable for other unpaid taxes (if any) of such REIT (such as the 100% tax on gains from any sales treated as “prohibited transactions” as described above under “—Prohibited Transaction Income”).</w:t>
      </w:r>
    </w:p>
    <w:p>
      <w:pPr>
        <w:spacing w:after="0" w:line="145" w:lineRule="exact"/>
        <w:rPr>
          <w:sz w:val="20"/>
          <w:szCs w:val="20"/>
          <w:color w:val="auto"/>
        </w:rPr>
      </w:pPr>
    </w:p>
    <w:p>
      <w:pPr>
        <w:ind w:left="1400" w:right="279"/>
        <w:spacing w:after="0" w:line="257" w:lineRule="auto"/>
        <w:rPr>
          <w:sz w:val="20"/>
          <w:szCs w:val="20"/>
          <w:color w:val="auto"/>
        </w:rPr>
      </w:pPr>
      <w:r>
        <w:rPr>
          <w:rFonts w:ascii="Times New Roman" w:cs="Times New Roman" w:eastAsia="Times New Roman" w:hAnsi="Times New Roman"/>
          <w:sz w:val="14"/>
          <w:szCs w:val="14"/>
          <w:color w:val="auto"/>
        </w:rPr>
        <w:t>Furthermore, after our acquisition of another corporation or entity, the asset and income tests will apply to all of our assets, including the assets we acquire from such corporation or entity, and to all of our income, including the income derived from the assets we acquire from such corporation or entity. As a result, the nature of the assets that we acquire from such corporation or entity and the income we derive from those assets may have an effect on our tax status as a REIT.</w:t>
      </w:r>
    </w:p>
    <w:p>
      <w:pPr>
        <w:spacing w:after="0" w:line="140" w:lineRule="exact"/>
        <w:rPr>
          <w:sz w:val="20"/>
          <w:szCs w:val="20"/>
          <w:color w:val="auto"/>
        </w:rPr>
      </w:pPr>
    </w:p>
    <w:p>
      <w:pPr>
        <w:ind w:left="1400" w:right="29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Failure to Qualify</w:t>
      </w:r>
      <w:r>
        <w:rPr>
          <w:rFonts w:ascii="Times New Roman" w:cs="Times New Roman" w:eastAsia="Times New Roman" w:hAnsi="Times New Roman"/>
          <w:sz w:val="14"/>
          <w:szCs w:val="14"/>
          <w:color w:val="auto"/>
        </w:rPr>
        <w:t>. If we discover a violation of a provision of the Code that would result in our failure to qualify as a REIT, certain specified cure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provisions may be available to us. Except with respect to violations of the gross income tests and asset tests (for which the cure provisions are described above), and provided the violation is due to reasonable cause and not due to willful neglect, these cure provisions generally impose a $50,000 penalty for each violation in lieu of a loss of REIT status. If we fail to satisfy the requirements for taxation as a REIT in any taxable year, and the relief provisions do not apply, we will be required to pay regular U.S. federal corporate income tax, including any applicable alternative minimum tax, on our taxable income. Distributions to stockholders in any year in which we fail to qualify as a REIT will not be deductible by us. As a result, we anticipate that our failure to qualify as a REIT would reduce the cash available for distribution by us to our stockholders. In addition, if we fail to qualify as a REIT, we will not be required to distribute any amounts to our stockholders and all distributions to stockholders will be taxable as regular corporate dividends to the extent of our current and accumulated earnings and profits. In such event, corporate stockholders may be eligible for the dividends-received deduction. In addition, non-corporate stockholders, including individuals, may be eligible for the preferential tax rates on qualified dividend income. Non-corporate stockholders,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 If we fail to qualify as a REIT, such stockholders may not claim this deduction with respect to dividends paid by us. Unless entitled to relief under specific statutory provisions, we would also be ineligible to elect to be treated as a REIT for the four taxable years following the year for which we lose our qualification. It is not possible to state whether in all circumstances we would be entitled to this statutory relief.</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 Aspects of Our Operating Partnership and its Subsidiary Partnerships and Limited Liability Companies</w:t>
      </w:r>
    </w:p>
    <w:p>
      <w:pPr>
        <w:spacing w:after="0" w:line="88"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General</w:t>
      </w:r>
      <w:r>
        <w:rPr>
          <w:rFonts w:ascii="Times New Roman" w:cs="Times New Roman" w:eastAsia="Times New Roman" w:hAnsi="Times New Roman"/>
          <w:sz w:val="14"/>
          <w:szCs w:val="14"/>
          <w:color w:val="auto"/>
        </w:rPr>
        <w:t>. All of our investments are held indirectly through our operating partnership. In addition, our operating partnership holds certain of 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investments indirectly through subsidiary partnerships and limited liability companies that we believe are and will continue to be treated as partnerships or disregarded entities for U.S. federal income tax purposes. In general, entities that are treated as partnerships or disregarded entities for U.S. federal income tax purposes are “pass-through” entities which are not required to pay U.S. federal income tax. Rather, partners of such partnerships are allocated their shares of the items of income, gain, loss, deduction and credit of the partnership, and are potentially required to pay tax on this income, without regard to whether they receive a distribution from the partnership. We will include in our income our share of these partnership items for purposes of the various gross income tests, the computation of our REIT taxable income, and the REIT distribution requirements. Moreover, for purposes of the asset tests, we will include our pro rata share of assets held by our operating partnership, including its share of the assets of its subsidiary partnerships, based on our capital interests in each such entity. See “—Taxation of Our Company—Ownership of Interests in Partnerships, Limited Liability Companies and Qualified REIT Subsidiaries.” A disregarded entity is not treated as a separate</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2"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559"/>
        <w:spacing w:after="0" w:line="262" w:lineRule="auto"/>
        <w:rPr>
          <w:sz w:val="20"/>
          <w:szCs w:val="20"/>
          <w:color w:val="auto"/>
        </w:rPr>
      </w:pPr>
      <w:r>
        <w:rPr>
          <w:rFonts w:ascii="Times New Roman" w:cs="Times New Roman" w:eastAsia="Times New Roman" w:hAnsi="Times New Roman"/>
          <w:sz w:val="14"/>
          <w:szCs w:val="14"/>
          <w:color w:val="auto"/>
        </w:rPr>
        <w:t>entity for U.S. federal income tax purposes, and all assets, liabilities and items of income, gain, loss, deduction and credit of a disregarded entity are treated as assets, liabilities and items of income, gain, loss, deduction and credit of its parent that is not a disregarded entity (e.g., our operating partnership) for all purposes under the Code, including all REIT qualification tests.</w:t>
      </w:r>
    </w:p>
    <w:p>
      <w:pPr>
        <w:spacing w:after="0" w:line="136" w:lineRule="exact"/>
        <w:rPr>
          <w:sz w:val="20"/>
          <w:szCs w:val="20"/>
          <w:color w:val="auto"/>
        </w:rPr>
      </w:pPr>
    </w:p>
    <w:p>
      <w:pPr>
        <w:ind w:left="1400" w:right="31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Entity Classification</w:t>
      </w:r>
      <w:r>
        <w:rPr>
          <w:rFonts w:ascii="Times New Roman" w:cs="Times New Roman" w:eastAsia="Times New Roman" w:hAnsi="Times New Roman"/>
          <w:sz w:val="14"/>
          <w:szCs w:val="14"/>
          <w:color w:val="auto"/>
        </w:rPr>
        <w:t>. Our interests in our operating partnership and its subsidiary partnerships and limited liability companies involve special tax</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considerations, including the possibility that the IRS might challenge the status of these entities as partnerships or disregarded entities for U.S. federal income tax purposes. For example, an entity that would otherwise be treated as a partnership for U.S. federal income tax purposes may nonetheless be taxable as a corporation if it is a “publicly traded partnership” and certain other requirements are met. A partnership will be treated as a publicly traded partnership if its interests are traded on an established securities market or are readily tradable on a secondary market or a substantial equivalent thereof, within the meaning of applicable Treasury Regulations. We do not anticipate that our operating partnership or any of its subsidiary partnerships will be treated as a publicly traded partnership that is taxable as a corporation. However, if any such entity were treated as a corporation, it would be required to pay an entity-level tax on its income. In this situation, the character of our assets and items of gross income would change and could prevent us from satisfying the REIT asset tests and possibly the REIT income tests. See “—Taxation of Our Company—Asset Tests” and “—Income Tests.” This, in turn, could prevent us from qualifying as a REIT. See “—Taxation of Our Company—Failure to Qualify” for a discussion of the effect of our failure to meet these tests. In addition, a change in the tax status of our operating partnership, or a subsidiary treated as a partnership or disregarded entity, to a corporation might be treated as a taxable event. If so, we might incur a tax liability without any related cash payment. We believe our operating partnership and each of its subsidiary partnerships and limited liability companies are and will continue to be treated as partnerships or disregarded entities for U.S. federal income tax purposes.</w:t>
      </w:r>
    </w:p>
    <w:p>
      <w:pPr>
        <w:spacing w:after="0" w:line="146"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Allocations of Income, Gain, Loss and Deduction</w:t>
      </w:r>
      <w:r>
        <w:rPr>
          <w:rFonts w:ascii="Times New Roman" w:cs="Times New Roman" w:eastAsia="Times New Roman" w:hAnsi="Times New Roman"/>
          <w:sz w:val="14"/>
          <w:szCs w:val="14"/>
          <w:color w:val="auto"/>
        </w:rPr>
        <w:t>. The operating partnership agreement generally provides that items of operating income will be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allocated to us to the extent of the accrued preferred return on our preferred units and then to the holders of common units in proportion to the number of common units held by each such unitholder. Items of operating loss will generally be allocated first to the holders of common units in proportion to the number of common units held, and then to us with respect to our preferred units. Certain limited partners may, from time to time, guarantee debt of our operating partnership, indirectly through an agreement to make capital contributions to our operating partnership under limited circumstances. As a result of these guaranties or contribution agreements, and notwithstanding the foregoing discussion of allocations of income and loss of our operating partnership to holders of units, such limited partners could under limited circumstances be allocated a disproportionate amount of net loss upon a liquidation of our operating partnership, which net loss would have otherwise been allocable to us. In addition, the partnership agreement further provides that holders of long-term incentive units, class C units and class D units may be entitled to receive special allocations of gain in the event of a sale or hypothetical sale of assets of our operating partnership prior to the allocation of gain to holders of common units. This special allocation of gain is intended to enable the holders of long-term incentive units, class C units and class D units to convert such units into common units.</w:t>
      </w:r>
    </w:p>
    <w:p>
      <w:pPr>
        <w:spacing w:after="0" w:line="145"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If an allocation of partnership income or loss does not comply with the requirements of Section 704(b) of the Code and the Treasury Regulations thereunder, the item subject to the allocation will be reallocated in accordance with the partners’ interests in the partnership. This reallocation will be determined by taking into account all of the facts and circumstances relating to the economic arrangement of the partners with respect to such item. The allocations of taxable income and loss of our operating partnership and any subsidiaries that are treated as partnerships for U.S. federal income tax purposes are intended to comply with the requirements of Section 704(b) of the Code and the Treasury Regulations thereunder.</w:t>
      </w:r>
    </w:p>
    <w:p>
      <w:pPr>
        <w:spacing w:after="0" w:line="140" w:lineRule="exact"/>
        <w:rPr>
          <w:sz w:val="20"/>
          <w:szCs w:val="20"/>
          <w:color w:val="auto"/>
        </w:rPr>
      </w:pPr>
    </w:p>
    <w:p>
      <w:pPr>
        <w:ind w:left="1400" w:right="31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Tax Allocations With Respect to the Properties</w:t>
      </w:r>
      <w:r>
        <w:rPr>
          <w:rFonts w:ascii="Times New Roman" w:cs="Times New Roman" w:eastAsia="Times New Roman" w:hAnsi="Times New Roman"/>
          <w:sz w:val="14"/>
          <w:szCs w:val="14"/>
          <w:color w:val="auto"/>
        </w:rPr>
        <w:t>. Under Section 704(c) of the Code, items of income, gain, loss and deduction attributable to appreciated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depreciated property that is contributed to a partnership in exchange for an interest in the partnership must be allocated in a manner so that the contributing partner is charged with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2"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99"/>
        <w:spacing w:after="0" w:line="257" w:lineRule="auto"/>
        <w:rPr>
          <w:sz w:val="20"/>
          <w:szCs w:val="20"/>
          <w:color w:val="auto"/>
        </w:rPr>
      </w:pPr>
      <w:r>
        <w:rPr>
          <w:rFonts w:ascii="Times New Roman" w:cs="Times New Roman" w:eastAsia="Times New Roman" w:hAnsi="Times New Roman"/>
          <w:sz w:val="14"/>
          <w:szCs w:val="14"/>
          <w:color w:val="auto"/>
        </w:rPr>
        <w:t>unrealized gain or benefits from the unrealized loss associated with the property at the time of the contribution. The amount of the unrealized gain or unrealized loss generally is equal to the difference between the fair market value or book value and the adjusted tax basis of the contributed property at the time of contribution (this difference is referred to as a book-tax difference), as adjusted from time to time. These allocations are solely for U.S. federal income tax purposes and do not affect the book capital accounts or other economic or legal arrangements among the partners.</w:t>
      </w:r>
    </w:p>
    <w:p>
      <w:pPr>
        <w:spacing w:after="0" w:line="142" w:lineRule="exact"/>
        <w:rPr>
          <w:sz w:val="20"/>
          <w:szCs w:val="20"/>
          <w:color w:val="auto"/>
        </w:rPr>
      </w:pPr>
    </w:p>
    <w:p>
      <w:pPr>
        <w:ind w:left="1400" w:right="319"/>
        <w:spacing w:after="0" w:line="271" w:lineRule="auto"/>
        <w:rPr>
          <w:sz w:val="20"/>
          <w:szCs w:val="20"/>
          <w:color w:val="auto"/>
        </w:rPr>
      </w:pPr>
      <w:r>
        <w:rPr>
          <w:rFonts w:ascii="Times New Roman" w:cs="Times New Roman" w:eastAsia="Times New Roman" w:hAnsi="Times New Roman"/>
          <w:sz w:val="13"/>
          <w:szCs w:val="13"/>
          <w:color w:val="auto"/>
        </w:rPr>
        <w:t>Appreciated property was contributed to our operating partnership in exchange for interests in our operating partnership in connection with the formation transactions. In addition, our operating partnership may, from time to time, acquire interests in property in exchange for interests in our operating partnership. In that case, the tax basis of these property interests generally will carry over to the operating partnership, notwithstanding their different book (i.e., fair market) value. The partnership agreement requires that income and loss allocations with respect to these properties be made in a manner consistent with Section 704(c) of the Code. Treasury Regulations issued under Section 704(c) of the Code provide partnerships with a choice of several methods of accounting for book-tax differences. Depending on the method we choose in connection with any particular contribution, the carryover basis of each of the contributed interests in the properties in the hands of our operating partnership (i) could cause us to be allocated lower amounts of depreciation deductions for tax purposes than would be allocated to us if any of the contributed properties were to have a tax basis equal to its respective fair market value at the time of the contribution and (ii) could cause us to be allocated taxable gain in the event of a sale of such contributed interests or properties in excess of the economic or book income allocated to us as a result of such sale, with a corresponding benefit to the other partners in our operating partnership. An allocation described in clause (ii) above might cause us or the other partners to recognize taxable income in excess of cash proceeds in the event of a sale or other disposition of property, which might adversely affect our ability to comply with the REIT distribution requirements. See “—Taxation of Our Company—Requirements for Qualification as a REIT” and “—Annual Distribution Requirements.”</w:t>
      </w:r>
    </w:p>
    <w:p>
      <w:pPr>
        <w:spacing w:after="0" w:line="133" w:lineRule="exact"/>
        <w:rPr>
          <w:sz w:val="20"/>
          <w:szCs w:val="20"/>
          <w:color w:val="auto"/>
        </w:rPr>
      </w:pPr>
    </w:p>
    <w:p>
      <w:pPr>
        <w:ind w:left="1400" w:right="1059"/>
        <w:spacing w:after="0" w:line="278" w:lineRule="auto"/>
        <w:rPr>
          <w:sz w:val="20"/>
          <w:szCs w:val="20"/>
          <w:color w:val="auto"/>
        </w:rPr>
      </w:pPr>
      <w:r>
        <w:rPr>
          <w:rFonts w:ascii="Times New Roman" w:cs="Times New Roman" w:eastAsia="Times New Roman" w:hAnsi="Times New Roman"/>
          <w:sz w:val="14"/>
          <w:szCs w:val="14"/>
          <w:color w:val="auto"/>
        </w:rPr>
        <w:t>Any property acquired by our operating partnership in a taxable transaction will initially have a tax basis equal to its fair market value, and Section 704(c) of the Code generally will not apply.</w:t>
      </w:r>
    </w:p>
    <w:p>
      <w:pPr>
        <w:spacing w:after="0" w:line="124" w:lineRule="exact"/>
        <w:rPr>
          <w:sz w:val="20"/>
          <w:szCs w:val="20"/>
          <w:color w:val="auto"/>
        </w:rPr>
      </w:pPr>
    </w:p>
    <w:p>
      <w:pPr>
        <w:ind w:left="1400" w:right="41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Partnership Audit Rules</w:t>
      </w:r>
      <w:r>
        <w:rPr>
          <w:rFonts w:ascii="Times New Roman" w:cs="Times New Roman" w:eastAsia="Times New Roman" w:hAnsi="Times New Roman"/>
          <w:sz w:val="14"/>
          <w:szCs w:val="14"/>
          <w:color w:val="auto"/>
        </w:rPr>
        <w:t>. Under current tax law, subject to certain exceptions, any audit adjustment to items of income, gain, loss, deduction, or credit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a partnership (and any partner’s distributive share thereof) is determined, and taxes, interest, or penalties attributable thereto are assessed and collected, at the partnership level. It is possible that these rules could result in partnerships in which we directly or indirectly invest, including our operating partnership,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Investors are urged to consult their tax advisors with respect to these rules and their potential impact on their investment in our capital stock.</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to Holders of Our Capital Stock and the Operating Partnership’s Debt Securities</w:t>
      </w:r>
    </w:p>
    <w:p>
      <w:pPr>
        <w:spacing w:after="0" w:line="90" w:lineRule="exact"/>
        <w:rPr>
          <w:sz w:val="20"/>
          <w:szCs w:val="20"/>
          <w:color w:val="auto"/>
        </w:rPr>
      </w:pPr>
    </w:p>
    <w:p>
      <w:pPr>
        <w:ind w:left="1400" w:right="339"/>
        <w:spacing w:after="0" w:line="253" w:lineRule="auto"/>
        <w:rPr>
          <w:sz w:val="20"/>
          <w:szCs w:val="20"/>
          <w:color w:val="auto"/>
        </w:rPr>
      </w:pPr>
      <w:r>
        <w:rPr>
          <w:rFonts w:ascii="Times New Roman" w:cs="Times New Roman" w:eastAsia="Times New Roman" w:hAnsi="Times New Roman"/>
          <w:sz w:val="14"/>
          <w:szCs w:val="14"/>
          <w:color w:val="auto"/>
        </w:rPr>
        <w:t>The following discussion is a summary of certain material U.S. federal income tax consequences to you of purchasing, owning and disposing of our capital stock or the operating partnership’s debt securities. This discussion is limited to holders who hold shares of our capital stock or the operating partnership’s debt securities as “capital assets” within the meaning of Section 1221 of the Code (generally, property held for investment). This discussion does not address all U.S. federal income tax consequences relevant to a holder’s particular circumstances, including the alternative minimum tax. In addition, except where specifically noted, it does not address consequences relevant to holders subject to special rules, including, without limitation:</w:t>
      </w:r>
    </w:p>
    <w:p>
      <w:pPr>
        <w:spacing w:after="0" w:line="73" w:lineRule="exact"/>
        <w:rPr>
          <w:sz w:val="20"/>
          <w:szCs w:val="20"/>
          <w:color w:val="auto"/>
        </w:rPr>
      </w:pPr>
    </w:p>
    <w:p>
      <w:pPr>
        <w:ind w:left="2160" w:hanging="339"/>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2"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459" w:hanging="339"/>
        <w:spacing w:after="0" w:line="278" w:lineRule="auto"/>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corporations, partnerships or other entities or arrangements treated as partnerships for U.S. federal income tax purposes (and investors therein);</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capital stock pursuant to the exercise of any employee stock option or otherwise as compensation;</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REITs or regulated investment companies;</w:t>
      </w:r>
    </w:p>
    <w:p>
      <w:pPr>
        <w:spacing w:after="0" w:line="98" w:lineRule="exact"/>
        <w:rPr>
          <w:rFonts w:ascii="Times New Roman" w:cs="Times New Roman" w:eastAsia="Times New Roman" w:hAnsi="Times New Roman"/>
          <w:sz w:val="14"/>
          <w:szCs w:val="14"/>
          <w:color w:val="auto"/>
        </w:rPr>
      </w:pPr>
    </w:p>
    <w:p>
      <w:pPr>
        <w:ind w:left="2160" w:right="519" w:hanging="339"/>
        <w:spacing w:after="0" w:line="278" w:lineRule="auto"/>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“foreign controlled foreign corporations,” “passive foreign investment companies,” and corporations that accumulate earnings to avoid U.S. federal income tax;</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98" w:lineRule="exact"/>
        <w:rPr>
          <w:rFonts w:ascii="Times New Roman" w:cs="Times New Roman" w:eastAsia="Times New Roman" w:hAnsi="Times New Roman"/>
          <w:sz w:val="14"/>
          <w:szCs w:val="14"/>
          <w:color w:val="auto"/>
        </w:rPr>
      </w:pPr>
    </w:p>
    <w:p>
      <w:pPr>
        <w:ind w:left="2160" w:right="419" w:hanging="339"/>
        <w:spacing w:after="0" w:line="278" w:lineRule="auto"/>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capital stock or the operating partnership’s debt securities as part of a hedge, straddle or other risk reduction strategy or as part of a conversion transaction or other integrated investment;</w:t>
      </w:r>
    </w:p>
    <w:p>
      <w:pPr>
        <w:spacing w:after="0" w:line="52" w:lineRule="exact"/>
        <w:rPr>
          <w:rFonts w:ascii="Times New Roman" w:cs="Times New Roman" w:eastAsia="Times New Roman" w:hAnsi="Times New Roman"/>
          <w:sz w:val="14"/>
          <w:szCs w:val="14"/>
          <w:color w:val="auto"/>
        </w:rPr>
      </w:pPr>
    </w:p>
    <w:p>
      <w:pPr>
        <w:ind w:left="2160" w:right="559" w:hanging="339"/>
        <w:spacing w:after="0" w:line="278" w:lineRule="auto"/>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our capital stock or the operating partnership’s debt securities being taken into account in an “applicable financial statement” (as defined in the Code);</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capital stock or the operating partnership’s debt securities under the constructive sale provisions of the Code;</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 and</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whose functional currency is not the U.S. dollar.</w:t>
      </w:r>
    </w:p>
    <w:p>
      <w:pPr>
        <w:spacing w:after="0" w:line="253"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INTENDED AS TAX ADVICE. INVESTORS SHOULD CONSULT THEIR TAX ADVISORS WITH RESPECT TO THE APPLICATION OF THE U.S. FEDERAL INCOME TAX LAWS TO THEIR PARTICULAR SITUATIONS AS WELL AS ANY TAX CONSEQUENCES OF THE PURCHASE, OWNERSHIP AND DISPOSITION OF OUR CAPITAL STOCK OR THE OPERATING PARTNERSHIP’S DEBT SECURITIES ARISING UNDER OTHER U.S. FEDERAL TAX LAWS (INCLUDING ESTATE AND GIFT TAX LAWS), UNDER THE LAWS OF ANY STATE, LOCAL OR NON-U.S. TAXING JURISDICTION OR UNDER ANY APPLICABLE TAX TREATY.</w:t>
      </w:r>
    </w:p>
    <w:p>
      <w:pPr>
        <w:spacing w:after="0" w:line="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For purposes of this discussion, a “U.S. holder” is a beneficial owner of shares of our capital stock or the operating partnership’s debt securities that, for</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U.S. federal income tax purposes, is or is treated as:</w:t>
      </w:r>
    </w:p>
    <w:p>
      <w:pPr>
        <w:spacing w:after="0" w:line="84" w:lineRule="exact"/>
        <w:rPr>
          <w:sz w:val="20"/>
          <w:szCs w:val="20"/>
          <w:color w:val="auto"/>
        </w:rPr>
      </w:pPr>
    </w:p>
    <w:p>
      <w:pPr>
        <w:ind w:left="2160" w:hanging="339"/>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98" w:lineRule="exact"/>
        <w:rPr>
          <w:rFonts w:ascii="Times New Roman" w:cs="Times New Roman" w:eastAsia="Times New Roman" w:hAnsi="Times New Roman"/>
          <w:sz w:val="14"/>
          <w:szCs w:val="14"/>
          <w:color w:val="auto"/>
        </w:rPr>
      </w:pPr>
    </w:p>
    <w:p>
      <w:pPr>
        <w:ind w:left="2160" w:right="539" w:hanging="339"/>
        <w:spacing w:after="0" w:line="262" w:lineRule="auto"/>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38" w:lineRule="exact"/>
        <w:rPr>
          <w:sz w:val="20"/>
          <w:szCs w:val="20"/>
          <w:color w:val="auto"/>
        </w:rPr>
      </w:pPr>
    </w:p>
    <w:p>
      <w:pPr>
        <w:ind w:left="1400" w:right="579"/>
        <w:spacing w:after="0" w:line="278"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capital stock or the operating partnership’s debt securities that is neither a U.S. holder nor an entity treated as a partnership for U.S. federal income tax purposes.</w:t>
      </w:r>
    </w:p>
    <w:p>
      <w:pPr>
        <w:spacing w:after="0" w:line="126" w:lineRule="exact"/>
        <w:rPr>
          <w:sz w:val="20"/>
          <w:szCs w:val="20"/>
          <w:color w:val="auto"/>
        </w:rPr>
      </w:pPr>
    </w:p>
    <w:p>
      <w:pPr>
        <w:ind w:left="1400" w:right="419"/>
        <w:spacing w:after="0" w:line="278"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holds shares of our capital stock or the operating partnership’s debt securities, the tax treatment of a partner in the partnership generally will depend on</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2"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79"/>
        <w:spacing w:after="0" w:line="262" w:lineRule="auto"/>
        <w:rPr>
          <w:sz w:val="20"/>
          <w:szCs w:val="20"/>
          <w:color w:val="auto"/>
        </w:rPr>
      </w:pPr>
      <w:r>
        <w:rPr>
          <w:rFonts w:ascii="Times New Roman" w:cs="Times New Roman" w:eastAsia="Times New Roman" w:hAnsi="Times New Roman"/>
          <w:sz w:val="14"/>
          <w:szCs w:val="14"/>
          <w:color w:val="auto"/>
        </w:rPr>
        <w:t>the status of the partner, the activities of the partnership and certain determinations made at the partner level. Accordingly, partnerships holding shares of our capital stock or the operating partnership’s debt securities and the partners in such partnerships should consult their tax advisors regarding the U.S. federal income tax consequences to them.</w:t>
      </w:r>
    </w:p>
    <w:p>
      <w:pPr>
        <w:spacing w:after="0" w:line="2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Taxation of Taxable U.S. Holders of Our Capital Stock</w:t>
      </w:r>
    </w:p>
    <w:p>
      <w:pPr>
        <w:spacing w:after="0" w:line="88"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Distributions Generally</w:t>
      </w:r>
      <w:r>
        <w:rPr>
          <w:rFonts w:ascii="Times New Roman" w:cs="Times New Roman" w:eastAsia="Times New Roman" w:hAnsi="Times New Roman"/>
          <w:sz w:val="14"/>
          <w:szCs w:val="14"/>
          <w:color w:val="auto"/>
        </w:rPr>
        <w:t>. Distributions out of our current or accumulated earnings and profits will be treated as dividends and, other than with respect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capital gain dividends and certain amounts which have previously been subject to corporate level tax, as discussed below, will be taxable to our taxable U.S. holders as ordinary income when actually or constructively received. See “—Tax Rates” below. As long as we qualify as a REIT, these distributions will not be eligible for the dividends-received deduction in the case of U.S. holders that are corporations or, except to the extent described in “—Tax Rates” below, the preferential rates on qualified dividend income applicable to non-corporate U.S. holders, including individuals. For purposes of determining whether distributions to holders of our capital stock are out of our current or accumulated earnings and profits, our earnings and profits will be allocated first to our outstanding preferred stock and then to our outstanding common stock.</w:t>
      </w:r>
    </w:p>
    <w:p>
      <w:pPr>
        <w:spacing w:after="0" w:line="144" w:lineRule="exact"/>
        <w:rPr>
          <w:sz w:val="20"/>
          <w:szCs w:val="20"/>
          <w:color w:val="auto"/>
        </w:rPr>
      </w:pPr>
    </w:p>
    <w:p>
      <w:pPr>
        <w:ind w:left="1400" w:right="319"/>
        <w:spacing w:after="0" w:line="252" w:lineRule="auto"/>
        <w:rPr>
          <w:sz w:val="20"/>
          <w:szCs w:val="20"/>
          <w:color w:val="auto"/>
        </w:rPr>
      </w:pPr>
      <w:r>
        <w:rPr>
          <w:rFonts w:ascii="Times New Roman" w:cs="Times New Roman" w:eastAsia="Times New Roman" w:hAnsi="Times New Roman"/>
          <w:sz w:val="14"/>
          <w:szCs w:val="14"/>
          <w:color w:val="auto"/>
        </w:rPr>
        <w:t>To the extent that we make distributions on our capital stock in excess of our current and accumulated earnings and profits allocable to such stock, these distributions will be treated first as a tax-free return of capital to a U.S. holder to the extent of the U.S. holder’s adjusted tax basis in such shares of stock. This treatment will reduce the U.S. holder’s adjusted tax basis in such shares of stock by such amount, but not below zero. Distributions in excess of our current and accumulated earnings and profits and in excess of a U.S. holder’s adjusted tax basis in its shares will be taxable as capital gain. Such gain will be taxable as long-term capital gain if the shares have been held for more than one year. Dividends we declare in October, November, or December of any year and which are payable to a holder of record on a specified date in any of these months will be treated as both paid by us and received by the holder on December 31 of that year, provided we actually pay the dividend on or before January 31 of the following year. U.S. holders may not include in their own income tax returns any of our net operating losses or capital losses.</w:t>
      </w:r>
    </w:p>
    <w:p>
      <w:pPr>
        <w:spacing w:after="0" w:line="144" w:lineRule="exact"/>
        <w:rPr>
          <w:sz w:val="20"/>
          <w:szCs w:val="20"/>
          <w:color w:val="auto"/>
        </w:rPr>
      </w:pPr>
    </w:p>
    <w:p>
      <w:pPr>
        <w:ind w:left="1400" w:right="299"/>
        <w:spacing w:after="0" w:line="250" w:lineRule="auto"/>
        <w:rPr>
          <w:sz w:val="20"/>
          <w:szCs w:val="20"/>
          <w:color w:val="auto"/>
        </w:rPr>
      </w:pPr>
      <w:r>
        <w:rPr>
          <w:rFonts w:ascii="Times New Roman" w:cs="Times New Roman" w:eastAsia="Times New Roman" w:hAnsi="Times New Roman"/>
          <w:sz w:val="14"/>
          <w:szCs w:val="14"/>
          <w:color w:val="auto"/>
        </w:rPr>
        <w:t>U.S. holders that receive taxable stock distributions, including distributions partially payable in our capital stock and partially payable in cash, would be required to include the full amount of the distribution (i.e., the cash and the stock portion) as a dividend (subject to limited exceptions) to the extent of our current and accumulated earnings and profits for U.S. federal income tax purposes, as described above. The amount of any distribution payable in our capital stock generally is equal to the amount of cash that could have been received instead of the capital stock. Depending on the circumstances of a U.S. holder, the tax on the distribution may exceed the amount of the distribution received in cash, in which case such U.S. holder would have to pay the tax using cash from other sources. If a U.S. holder sells the capital stock it received in connection with a taxable stock distribution in order to pay this tax and the proceeds of such sale are less than the amount required to be included in income with respect to the stock portion of the distribution, such U.S. holder could have a capital loss with respect to the stock sale that could not be used to offset such income. A U.S. holder that receives capital stock pursuant to such distribution generally has a tax basis in such capital stock equal to the amount of cash that could have been received instead of such capital stock as described above, and has a holding period in such capital stock that begins on the day immediately following the payment date for the distribution.</w:t>
      </w:r>
    </w:p>
    <w:p>
      <w:pPr>
        <w:spacing w:after="0" w:line="148" w:lineRule="exact"/>
        <w:rPr>
          <w:sz w:val="20"/>
          <w:szCs w:val="20"/>
          <w:color w:val="auto"/>
        </w:rPr>
      </w:pPr>
    </w:p>
    <w:p>
      <w:pPr>
        <w:ind w:left="1400" w:right="37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Capital Gain Dividends</w:t>
      </w:r>
      <w:r>
        <w:rPr>
          <w:rFonts w:ascii="Times New Roman" w:cs="Times New Roman" w:eastAsia="Times New Roman" w:hAnsi="Times New Roman"/>
          <w:sz w:val="14"/>
          <w:szCs w:val="14"/>
          <w:color w:val="auto"/>
        </w:rPr>
        <w:t>. Dividends that we properly designate as capital gain dividends will generally be taxable to our taxable U.S. holders as a gain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from the sale or disposition of a capital asset held for more than one year, to the extent that such gain does not exceed our actual net capital gain for the taxable year, and may not exceed our dividends paid for the taxable year, including dividends paid the following year that are treated as paid in the current year. U.S. holders that are corporations may, however, be required to treat up to 20% of certain capital gain dividends as ordinary income. If we properly designate any portion of a dividend as a capital gain dividend, then, except as otherwise required by law, we presently intend to allocate a portion of the total capital gain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2"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99"/>
        <w:spacing w:after="0" w:line="277" w:lineRule="auto"/>
        <w:rPr>
          <w:sz w:val="20"/>
          <w:szCs w:val="20"/>
          <w:color w:val="auto"/>
        </w:rPr>
      </w:pPr>
      <w:r>
        <w:rPr>
          <w:rFonts w:ascii="Times New Roman" w:cs="Times New Roman" w:eastAsia="Times New Roman" w:hAnsi="Times New Roman"/>
          <w:sz w:val="13"/>
          <w:szCs w:val="13"/>
          <w:color w:val="auto"/>
        </w:rPr>
        <w:t>dividends paid or made available to holders of all classes of our capital stock for the year to the holders of each class of our capital stock in proportion to the amount that our total dividends, as determined for U.S. federal income tax purposes, paid or made available to the holders of each such class of our capital stock for the year bears to the total dividends, as determined for U.S. federal income tax purposes, paid or made available to holders of all classes of our capital stock for the year. In addition, except as otherwise required by law, we will make a similar allocation with respect to any undistributed long-term capital gains which are to be included in our stockholders’ long-term capital gains, based on the allocation of the capital gain amount which would have resulted if those undistributed long-term capital gains had been distributed as “capital gain dividends” by us to our stockholders.</w:t>
      </w:r>
    </w:p>
    <w:p>
      <w:pPr>
        <w:spacing w:after="0" w:line="126" w:lineRule="exact"/>
        <w:rPr>
          <w:sz w:val="20"/>
          <w:szCs w:val="20"/>
          <w:color w:val="auto"/>
        </w:rPr>
      </w:pPr>
    </w:p>
    <w:p>
      <w:pPr>
        <w:jc w:val="both"/>
        <w:ind w:left="1400" w:right="45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Retention of Net Capital Gains</w:t>
      </w:r>
      <w:r>
        <w:rPr>
          <w:rFonts w:ascii="Times New Roman" w:cs="Times New Roman" w:eastAsia="Times New Roman" w:hAnsi="Times New Roman"/>
          <w:sz w:val="14"/>
          <w:szCs w:val="14"/>
          <w:color w:val="auto"/>
        </w:rPr>
        <w:t>. We may elect to retain, rather than distribute as a capital gain dividend, all or a portion of our net capital gains. If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make this election, we would pay tax on our retained net capital gains. In addition, to the extent we so elect, our earnings and profits (determined for U.S. federal income tax purposes) would be adjusted accordingly, and a U.S. holder generally would:</w:t>
      </w:r>
    </w:p>
    <w:p>
      <w:pPr>
        <w:spacing w:after="0" w:line="63" w:lineRule="exact"/>
        <w:rPr>
          <w:sz w:val="20"/>
          <w:szCs w:val="20"/>
          <w:color w:val="auto"/>
        </w:rPr>
      </w:pPr>
    </w:p>
    <w:p>
      <w:pPr>
        <w:ind w:left="2160" w:right="379" w:hanging="339"/>
        <w:spacing w:after="0" w:line="278" w:lineRule="auto"/>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its pro rata share of our undistributed capital gain in computing its long-term capital gains in its U.S. federal income tax return for its taxable year in which the last day of our taxable year falls, subject to certain limitations as to the amount that is includable;</w:t>
      </w:r>
    </w:p>
    <w:p>
      <w:pPr>
        <w:spacing w:after="0" w:line="52" w:lineRule="exact"/>
        <w:rPr>
          <w:rFonts w:ascii="Times New Roman" w:cs="Times New Roman" w:eastAsia="Times New Roman" w:hAnsi="Times New Roman"/>
          <w:sz w:val="14"/>
          <w:szCs w:val="14"/>
          <w:color w:val="auto"/>
        </w:rPr>
      </w:pPr>
    </w:p>
    <w:p>
      <w:pPr>
        <w:ind w:left="2160" w:right="359" w:hanging="339"/>
        <w:spacing w:after="0" w:line="278" w:lineRule="auto"/>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deemed to have paid its share of the capital gains tax imposed on us on the designated amounts included in the U.S. holder’s income as long-term capital gain;</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a credit or refund for the amount of tax deemed paid by it;</w:t>
      </w:r>
    </w:p>
    <w:p>
      <w:pPr>
        <w:spacing w:after="0" w:line="98" w:lineRule="exact"/>
        <w:rPr>
          <w:rFonts w:ascii="Times New Roman" w:cs="Times New Roman" w:eastAsia="Times New Roman" w:hAnsi="Times New Roman"/>
          <w:sz w:val="14"/>
          <w:szCs w:val="14"/>
          <w:color w:val="auto"/>
        </w:rPr>
      </w:pPr>
    </w:p>
    <w:p>
      <w:pPr>
        <w:ind w:left="2160" w:right="539" w:hanging="339"/>
        <w:spacing w:after="0" w:line="278" w:lineRule="auto"/>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adjusted tax basis of its capital stock by the difference between the amount of includable gains and the tax deemed to have been paid by it; and</w:t>
      </w:r>
    </w:p>
    <w:p>
      <w:pPr>
        <w:spacing w:after="0" w:line="52" w:lineRule="exact"/>
        <w:rPr>
          <w:rFonts w:ascii="Times New Roman" w:cs="Times New Roman" w:eastAsia="Times New Roman" w:hAnsi="Times New Roman"/>
          <w:sz w:val="14"/>
          <w:szCs w:val="14"/>
          <w:color w:val="auto"/>
        </w:rPr>
      </w:pPr>
    </w:p>
    <w:p>
      <w:pPr>
        <w:ind w:left="2160" w:right="479" w:hanging="339"/>
        <w:spacing w:after="0" w:line="278" w:lineRule="auto"/>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U.S. holder that is a corporation, appropriately adjust its earnings and profits for the retained capital gains in accordance with Treasury Regulations to be promulgated by the IRS.</w:t>
      </w:r>
    </w:p>
    <w:p>
      <w:pPr>
        <w:spacing w:after="0" w:line="124" w:lineRule="exact"/>
        <w:rPr>
          <w:sz w:val="20"/>
          <w:szCs w:val="20"/>
          <w:color w:val="auto"/>
        </w:rPr>
      </w:pPr>
    </w:p>
    <w:p>
      <w:pPr>
        <w:ind w:left="1400" w:right="29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Passive Activity Losses and Investment Interest Limitations</w:t>
      </w:r>
      <w:r>
        <w:rPr>
          <w:rFonts w:ascii="Times New Roman" w:cs="Times New Roman" w:eastAsia="Times New Roman" w:hAnsi="Times New Roman"/>
          <w:sz w:val="13"/>
          <w:szCs w:val="13"/>
          <w:color w:val="auto"/>
        </w:rPr>
        <w:t>. Distributions we make and gain arising from the sale or exchange of our capital stock by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U.S. holder will not be treated as passive activity income. As a result, U.S. holders generally will not be able to apply any “passive losses” against this income or gain. A U.S. holder generally may elect to treat capital gain dividends, capital gains from the disposition of our capital stock and income designated as qualified dividend income, as described in “—Tax Rates” below, as investment income for purposes of computing the investment interest limitation, but in such case, the holder will be taxed at ordinary income rates on such amount. Other distributions made by us, to the extent they do not constitute a return of capital, generally will be treated as investment income for purposes of computing the investment interest limitation.</w:t>
      </w:r>
    </w:p>
    <w:p>
      <w:pPr>
        <w:spacing w:after="0" w:line="128" w:lineRule="exact"/>
        <w:rPr>
          <w:sz w:val="20"/>
          <w:szCs w:val="20"/>
          <w:color w:val="auto"/>
        </w:rPr>
      </w:pPr>
    </w:p>
    <w:p>
      <w:pPr>
        <w:ind w:left="1400" w:right="319"/>
        <w:spacing w:after="0" w:line="275" w:lineRule="auto"/>
        <w:rPr>
          <w:sz w:val="20"/>
          <w:szCs w:val="20"/>
          <w:color w:val="auto"/>
        </w:rPr>
      </w:pPr>
      <w:r>
        <w:rPr>
          <w:rFonts w:ascii="Times New Roman" w:cs="Times New Roman" w:eastAsia="Times New Roman" w:hAnsi="Times New Roman"/>
          <w:sz w:val="13"/>
          <w:szCs w:val="13"/>
          <w:b w:val="1"/>
          <w:bCs w:val="1"/>
          <w:i w:val="1"/>
          <w:iCs w:val="1"/>
          <w:color w:val="auto"/>
        </w:rPr>
        <w:t>Dispositions of Our Capital Stock</w:t>
      </w:r>
      <w:r>
        <w:rPr>
          <w:rFonts w:ascii="Times New Roman" w:cs="Times New Roman" w:eastAsia="Times New Roman" w:hAnsi="Times New Roman"/>
          <w:sz w:val="13"/>
          <w:szCs w:val="13"/>
          <w:color w:val="auto"/>
        </w:rPr>
        <w:t>. Except as described below under “—Taxation of Taxable U.S. Holders of Our Capital Stock—Redemption 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Repurchase by Us,” if a U.S. holder sells or disposes of shares of our capital stock, it will recognize gain or loss for U.S. federal income tax purposes in an amount equal to the difference between the amount of cash and the fair market value of any property received on the sale or other disposition and the holder’s adjusted tax basis in the shares. This gain or loss, except as provided below, will be long-term capital gain or loss if the holder has held such capital stock for more than one year. However, if a U.S. holder recognizes a loss upon the sale or other disposition of capital stock that it has held for six months or less, after applying certain holding period rules, the loss recognized will be treated as a long-term capital loss to the extent the U.S. holder received distributions from us which were required to be treated as long-term capital gains. The deductibility of capital losses is subject to limitations.</w:t>
      </w:r>
    </w:p>
    <w:p>
      <w:pPr>
        <w:spacing w:after="0" w:line="131" w:lineRule="exact"/>
        <w:rPr>
          <w:sz w:val="20"/>
          <w:szCs w:val="20"/>
          <w:color w:val="auto"/>
        </w:rPr>
      </w:pPr>
    </w:p>
    <w:p>
      <w:pPr>
        <w:ind w:left="1400" w:right="63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Redemption or Repurchase by Us</w:t>
      </w:r>
      <w:r>
        <w:rPr>
          <w:rFonts w:ascii="Times New Roman" w:cs="Times New Roman" w:eastAsia="Times New Roman" w:hAnsi="Times New Roman"/>
          <w:sz w:val="14"/>
          <w:szCs w:val="14"/>
          <w:color w:val="auto"/>
        </w:rPr>
        <w:t>. A redemption or repurchase of shares of our capital stock will be treated under Section 302 of the Code 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(and taxable as a dividend to the extent of our current and accumulated earnings and profits as described above under “—Distributions Generally”) unless the redemption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3"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899"/>
        <w:spacing w:after="0" w:line="278" w:lineRule="auto"/>
        <w:rPr>
          <w:sz w:val="20"/>
          <w:szCs w:val="20"/>
          <w:color w:val="auto"/>
        </w:rPr>
      </w:pPr>
      <w:r>
        <w:rPr>
          <w:rFonts w:ascii="Times New Roman" w:cs="Times New Roman" w:eastAsia="Times New Roman" w:hAnsi="Times New Roman"/>
          <w:sz w:val="14"/>
          <w:szCs w:val="14"/>
          <w:color w:val="auto"/>
        </w:rPr>
        <w:t>or repurchase satisfies one of the tests set forth in Section 302(b) of the Code and is therefore treated as a sale or exchange of the redeemed or repurchased shares. The redemption or repurchase generally will be treated as a sale or exchange if it:</w:t>
      </w:r>
    </w:p>
    <w:p>
      <w:pPr>
        <w:spacing w:after="0" w:line="53" w:lineRule="exact"/>
        <w:rPr>
          <w:sz w:val="20"/>
          <w:szCs w:val="20"/>
          <w:color w:val="auto"/>
        </w:rPr>
      </w:pPr>
    </w:p>
    <w:p>
      <w:pPr>
        <w:ind w:left="2160" w:hanging="339"/>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“substantially disproportionate” with respect to the U.S. holder;</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in a “complete redemption” of the U.S. holder’s stock interest in us; or</w:t>
      </w:r>
    </w:p>
    <w:p>
      <w:pPr>
        <w:spacing w:after="0" w:line="98"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essentially equivalent to a dividend” with respect to the U.S. holder,</w:t>
      </w:r>
    </w:p>
    <w:p>
      <w:pPr>
        <w:spacing w:after="0" w:line="17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all within the meaning of Section 302(b) of the Code.</w:t>
      </w:r>
    </w:p>
    <w:p>
      <w:pPr>
        <w:spacing w:after="0" w:line="171"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In determining whether any of these tests has been met, shares of our capital stock, including common stock and other equity interests in us, considered to be owned by the U.S. holder by reason of certain constructive ownership rules set forth in the Code, as well as shares of our capital stock actually owned by the U.S. holder, generally must be taken into account. Because the determination as to whether any of the alternative tests of Section 302(b) of the Code will be satisfied with respect to the U.S. holder depends upon the facts and circumstances at the time that the determination must be made, U.S. holders are advised to consult their tax advisors to determine such tax treatment.</w:t>
      </w:r>
    </w:p>
    <w:p>
      <w:pPr>
        <w:spacing w:after="0" w:line="142"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If a redemption or repurchase of shares of our capital stock is treated as a distribution, the amount of the distribution will be measured by the amount of cash and the fair market value of any property received. See “—Distributions Generally.” A U.S. holder’s adjusted tax basis in the redeemed or repurchased shares generally will be transferred to the holder’s remaining shares of our capital stock, if any. If a U.S. holder owns no other shares of our capital stock, under certain circumstances, such basis may be transferred to a related person or it may be lost entirely. Prospective investors should consult their tax advisors regarding the U.S. federal income tax consequences of a redemption or repurchase of our capital stock.</w:t>
      </w:r>
    </w:p>
    <w:p>
      <w:pPr>
        <w:spacing w:after="0" w:line="142" w:lineRule="exact"/>
        <w:rPr>
          <w:sz w:val="20"/>
          <w:szCs w:val="20"/>
          <w:color w:val="auto"/>
        </w:rPr>
      </w:pPr>
    </w:p>
    <w:p>
      <w:pPr>
        <w:ind w:left="1400" w:right="419"/>
        <w:spacing w:after="0" w:line="278" w:lineRule="auto"/>
        <w:rPr>
          <w:sz w:val="20"/>
          <w:szCs w:val="20"/>
          <w:color w:val="auto"/>
        </w:rPr>
      </w:pPr>
      <w:r>
        <w:rPr>
          <w:rFonts w:ascii="Times New Roman" w:cs="Times New Roman" w:eastAsia="Times New Roman" w:hAnsi="Times New Roman"/>
          <w:sz w:val="14"/>
          <w:szCs w:val="14"/>
          <w:color w:val="auto"/>
        </w:rPr>
        <w:t>If a redemption or repurchase of shares of our capital stock is not treated as a distribution, it will be treated as a taxable sale or exchange in the manner described under “—Dispositions of Our Capital Stock.”</w:t>
      </w:r>
    </w:p>
    <w:p>
      <w:pPr>
        <w:spacing w:after="0" w:line="124"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Tax Rates</w:t>
      </w:r>
      <w:r>
        <w:rPr>
          <w:rFonts w:ascii="Times New Roman" w:cs="Times New Roman" w:eastAsia="Times New Roman" w:hAnsi="Times New Roman"/>
          <w:sz w:val="14"/>
          <w:szCs w:val="14"/>
          <w:color w:val="auto"/>
        </w:rPr>
        <w:t>. The maximum tax rate for non-corporate taxpayers for (1) long-term capital gains, including certain “capital gain dividends,” generally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 (although depending on the characteristics of the assets which produced these gains and on designations which we may make, certain capital gain dividends may be taxed at a 25% rate) and (2) “qualified dividend income” generally is 20%. In general, dividends payable by REITs are not eligible for the reduced tax rate on qualified dividend income, except to the extent that certain holding period requirements have been met and the REIT’s dividends are attributable to dividends received from taxable corporations (such as its taxable REIT subsidiaries) or to income that was subject to tax at the corporate/REIT level (for example, if the REIT distributed taxable income that it retained and paid tax on in the prior taxable year). Capital gain dividends will only be eligible for the rates described above to the extent that they are properly designated by the REIT as “capital gain dividends.” U.S. holders that are corporations may be required to treat up to 20% of some capital gain dividends as ordinary income. In addition, non-corporate U.S. 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Taxation of Tax-Exempt Holders of Our Capital Stock</w:t>
      </w:r>
    </w:p>
    <w:p>
      <w:pPr>
        <w:spacing w:after="0" w:line="90" w:lineRule="exact"/>
        <w:rPr>
          <w:sz w:val="20"/>
          <w:szCs w:val="20"/>
          <w:color w:val="auto"/>
        </w:rPr>
      </w:pPr>
    </w:p>
    <w:p>
      <w:pPr>
        <w:ind w:left="1400" w:right="299"/>
        <w:spacing w:after="0" w:line="257" w:lineRule="auto"/>
        <w:rPr>
          <w:sz w:val="20"/>
          <w:szCs w:val="20"/>
          <w:color w:val="auto"/>
        </w:rPr>
      </w:pPr>
      <w:r>
        <w:rPr>
          <w:rFonts w:ascii="Times New Roman" w:cs="Times New Roman" w:eastAsia="Times New Roman" w:hAnsi="Times New Roman"/>
          <w:sz w:val="14"/>
          <w:szCs w:val="14"/>
          <w:color w:val="auto"/>
        </w:rPr>
        <w:t>Dividend income from us and gain arising upon a sale of shares of our capital stock generally should not be unrelated business taxable income, or UBTI, to a tax-exempt holder, except as described below. This income or gain will be UBTI, however, to the extent a tax-exempt holder holds its shares as “debt-financed property” within the meaning of the Code. Generally, “debt-financed property” is property the acquisition or holding of which was financed through a borrowing by the tax-exempt holder.</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2"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For tax-exempt holders that are social clubs, voluntary employee benefit associations or supplemental unemployment benefit trusts exempt from U.S. federal income taxation under Sections 501(c)(7), (c)(9) or (c)(17) of the Code, respectively, income from an investment in our shares will constitute UBTI unless the organization is able to properly claim a deduction for amounts set aside or placed in reserve for specific purposes so as to offset the income generated by its investment in our shares. These prospective investors should consult their tax advisors concerning these “set aside” and reserve requirements.</w:t>
      </w:r>
    </w:p>
    <w:p>
      <w:pPr>
        <w:spacing w:after="0" w:line="142" w:lineRule="exact"/>
        <w:rPr>
          <w:sz w:val="20"/>
          <w:szCs w:val="20"/>
          <w:color w:val="auto"/>
        </w:rPr>
      </w:pPr>
    </w:p>
    <w:p>
      <w:pPr>
        <w:ind w:left="1400" w:right="399"/>
        <w:spacing w:after="0" w:line="253" w:lineRule="auto"/>
        <w:rPr>
          <w:sz w:val="20"/>
          <w:szCs w:val="20"/>
          <w:color w:val="auto"/>
        </w:rPr>
      </w:pPr>
      <w:r>
        <w:rPr>
          <w:rFonts w:ascii="Times New Roman" w:cs="Times New Roman" w:eastAsia="Times New Roman" w:hAnsi="Times New Roman"/>
          <w:sz w:val="14"/>
          <w:szCs w:val="14"/>
          <w:color w:val="auto"/>
        </w:rPr>
        <w:t>Notwithstanding the above, however, a portion of the dividends paid by a “pension-held REIT” may be treated as UBTI as to certain trusts that hold more than 10%, by value, of the interests in the REIT. A REIT will not be a “pension-held REIT” if it is able to satisfy the “not closely held” requirement without relying on the “look-through” exception with respect to certain trusts or if such REIT is not “predominantly held” by “qualified trusts.” As a result of restrictions on ownership and transfer of our stock contained in our charter, we do not expect to be classified as a “pension-held REIT,” and as a result, the tax treatment described above should be inapplicable to our holders. However, because our stock is (and, we anticipate, will continue to be) publicly traded, we cannot guarantee that this will always be the case.</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Taxation of Non-U.S. Holders of Our Capital Stock</w:t>
      </w:r>
    </w:p>
    <w:p>
      <w:pPr>
        <w:spacing w:after="0" w:line="90" w:lineRule="exact"/>
        <w:rPr>
          <w:sz w:val="20"/>
          <w:szCs w:val="20"/>
          <w:color w:val="auto"/>
        </w:rPr>
      </w:pPr>
    </w:p>
    <w:p>
      <w:pPr>
        <w:ind w:left="1400" w:right="339"/>
        <w:spacing w:after="0" w:line="253" w:lineRule="auto"/>
        <w:rPr>
          <w:sz w:val="20"/>
          <w:szCs w:val="20"/>
          <w:color w:val="auto"/>
        </w:rPr>
      </w:pPr>
      <w:r>
        <w:rPr>
          <w:rFonts w:ascii="Times New Roman" w:cs="Times New Roman" w:eastAsia="Times New Roman" w:hAnsi="Times New Roman"/>
          <w:sz w:val="14"/>
          <w:szCs w:val="14"/>
          <w:color w:val="auto"/>
        </w:rPr>
        <w:t>The following discussion addresses the rules governing U.S. federal income taxation of the purchase, ownership and disposition of our capital stock by non-U.S. holders. These rules are complex, and no attempt is made herein to provide more than a brief summary of such rules. Accordingly, the discussion does not address all aspects of U.S. federal income taxation and does not address other federal, state, local or non-U.S. tax consequences that may be relevant to a non-U.S. holder in light of its particular circumstances. We urge non-U.S. holders to consult their tax advisors to determine the impact of U.S. federal, state, local and non-U.S. income and other tax laws and any applicable tax treaty on the purchase, ownership and disposition of shares of our capital stock, including any reporting requirements.</w:t>
      </w:r>
    </w:p>
    <w:p>
      <w:pPr>
        <w:spacing w:after="0" w:line="143" w:lineRule="exact"/>
        <w:rPr>
          <w:sz w:val="20"/>
          <w:szCs w:val="20"/>
          <w:color w:val="auto"/>
        </w:rPr>
      </w:pPr>
    </w:p>
    <w:p>
      <w:pPr>
        <w:ind w:left="1400" w:right="29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Distributions Generally</w:t>
      </w:r>
      <w:r>
        <w:rPr>
          <w:rFonts w:ascii="Times New Roman" w:cs="Times New Roman" w:eastAsia="Times New Roman" w:hAnsi="Times New Roman"/>
          <w:sz w:val="14"/>
          <w:szCs w:val="14"/>
          <w:color w:val="auto"/>
        </w:rPr>
        <w:t>. Distributions (including any taxable stock distributions) that are neither attributable to gains from sales or exchanges by us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United States real property interests, or USRPIs, nor designated by us as capital gain dividends (except as described below) will be treated as dividends of ordinary income to the extent that they are made out of our current or accumulated earnings and profits. Such distributions ordinarily will be subject to withholding of U.S. federal income tax at a 30% rate or such lower rate as may be specified by an applicable income tax treaty, unless the distributions are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Under certain treaties, however, lower withholding rates generally applicable to dividends do not apply to dividends from a REIT. Certain certification and disclosure requirements must be satisfied for a non-U.S. holder to be exempt from withholding under the effectively connected income exemption. Dividends that are treated as effectively connected with a U.S. trade or business generally will not be subject to withholding but will be subject to U.S. federal income tax on a net basis at the regular rates, in the same manner as dividends paid to U.S. holders are subject to U.S. federal income tax. Any such dividends received by a non-U.S. holder that is a corporation may also be subject to an additional branch profits tax at a 30% rate (applicable after deducting U.S. federal income taxes paid on such effectively connected income) or such lower rate as may be specified by an applicable income tax treaty.</w:t>
      </w:r>
    </w:p>
    <w:p>
      <w:pPr>
        <w:spacing w:after="0" w:line="149" w:lineRule="exact"/>
        <w:rPr>
          <w:sz w:val="20"/>
          <w:szCs w:val="20"/>
          <w:color w:val="auto"/>
        </w:rPr>
      </w:pPr>
    </w:p>
    <w:p>
      <w:pPr>
        <w:ind w:left="1400" w:right="459"/>
        <w:spacing w:after="0" w:line="278" w:lineRule="auto"/>
        <w:rPr>
          <w:sz w:val="20"/>
          <w:szCs w:val="20"/>
          <w:color w:val="auto"/>
        </w:rPr>
      </w:pPr>
      <w:r>
        <w:rPr>
          <w:rFonts w:ascii="Times New Roman" w:cs="Times New Roman" w:eastAsia="Times New Roman" w:hAnsi="Times New Roman"/>
          <w:sz w:val="14"/>
          <w:szCs w:val="14"/>
          <w:color w:val="auto"/>
        </w:rPr>
        <w:t>Except as otherwise provided below, we expect to withhold U.S. federal income tax at the rate of 30% on any distributions made to a non-U.S. holder unless:</w:t>
      </w:r>
    </w:p>
    <w:p>
      <w:pPr>
        <w:spacing w:after="0" w:line="53" w:lineRule="exact"/>
        <w:rPr>
          <w:sz w:val="20"/>
          <w:szCs w:val="20"/>
          <w:color w:val="auto"/>
        </w:rPr>
      </w:pPr>
    </w:p>
    <w:p>
      <w:pPr>
        <w:ind w:left="2160" w:right="519" w:hanging="422"/>
        <w:spacing w:after="0" w:line="278" w:lineRule="auto"/>
        <w:tabs>
          <w:tab w:leader="none" w:pos="21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lower treaty rate applies and the non-U.S. holder furnishes an IRS Form W-8BEN or W-8BEN-E (or other applicable documentation) evidencing eligibility for that reduced treaty rate; or</w:t>
      </w:r>
    </w:p>
    <w:p>
      <w:pPr>
        <w:spacing w:after="0" w:line="52" w:lineRule="exact"/>
        <w:rPr>
          <w:rFonts w:ascii="Times New Roman" w:cs="Times New Roman" w:eastAsia="Times New Roman" w:hAnsi="Times New Roman"/>
          <w:sz w:val="14"/>
          <w:szCs w:val="14"/>
          <w:color w:val="auto"/>
        </w:rPr>
      </w:pPr>
    </w:p>
    <w:p>
      <w:pPr>
        <w:ind w:left="2160" w:right="899" w:hanging="422"/>
        <w:spacing w:after="0" w:line="278" w:lineRule="auto"/>
        <w:tabs>
          <w:tab w:leader="none" w:pos="21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furnishes an IRS Form W-8ECI (or other applicable documentation) claiming that the distribution is income effectively connected with the non-U.S. holder’s trade or business.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2"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Distributions in excess of our current and accumulated earnings and profits will not be taxable to a non-U.S. holder to the extent that such distributions do not exceed the adjusted tax basis of the holder’s capital stock, but rather will reduce the adjusted tax basis of such stock. To the extent that such distributions exceed the non-U.S. holder’s adjusted tax basis in such capital stock, they generally will give rise to gain from the sale or exchange of such stock, the tax treatment of which is described below. However, such excess distributions may be treated as dividend income for certain non-U.S. holders. For withholding purposes, we expect to treat all distributions as made out of our current or accumulated earnings and profits. However, amounts withheld may be refundable if it is subsequently determined that the distribution was, in fact, in excess of our current and accumulated earnings and profits, provided that certain conditions are met.</w:t>
      </w:r>
    </w:p>
    <w:p>
      <w:pPr>
        <w:spacing w:after="0" w:line="144" w:lineRule="exact"/>
        <w:rPr>
          <w:sz w:val="20"/>
          <w:szCs w:val="20"/>
          <w:color w:val="auto"/>
        </w:rPr>
      </w:pPr>
    </w:p>
    <w:p>
      <w:pPr>
        <w:ind w:left="1400" w:right="37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Capital Gain Dividends and Distributions Attributable to a Sale or Exchange of United States Real Property Interests</w:t>
      </w:r>
      <w:r>
        <w:rPr>
          <w:rFonts w:ascii="Times New Roman" w:cs="Times New Roman" w:eastAsia="Times New Roman" w:hAnsi="Times New Roman"/>
          <w:sz w:val="14"/>
          <w:szCs w:val="14"/>
          <w:color w:val="auto"/>
        </w:rPr>
        <w:t>. Distributions to a non-U.S.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holder that we properly designate as capital gain dividends, other than those arising from the disposition of a USRPI, generally should not be subject to U.S. federal income taxation, unless:</w:t>
      </w:r>
    </w:p>
    <w:p>
      <w:pPr>
        <w:spacing w:after="0" w:line="63" w:lineRule="exact"/>
        <w:rPr>
          <w:sz w:val="20"/>
          <w:szCs w:val="20"/>
          <w:color w:val="auto"/>
        </w:rPr>
      </w:pPr>
    </w:p>
    <w:p>
      <w:pPr>
        <w:ind w:left="2160" w:right="339" w:hanging="422"/>
        <w:spacing w:after="0" w:line="255"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in which case the non-U.S. holder will be subject to the same treatment as U.S. holders with respect to such gain, except that a non-U.S. holder that is a corporation may also be subject to a branch profits tax of up to 30%, as discussed above; or</w:t>
      </w:r>
    </w:p>
    <w:p>
      <w:pPr>
        <w:spacing w:after="0" w:line="69" w:lineRule="exact"/>
        <w:rPr>
          <w:rFonts w:ascii="Times New Roman" w:cs="Times New Roman" w:eastAsia="Times New Roman" w:hAnsi="Times New Roman"/>
          <w:sz w:val="14"/>
          <w:szCs w:val="14"/>
          <w:color w:val="auto"/>
        </w:rPr>
      </w:pPr>
    </w:p>
    <w:p>
      <w:pPr>
        <w:ind w:left="2160" w:right="339" w:hanging="422"/>
        <w:spacing w:after="0" w:line="255"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who is present in the United States for 183 days or more during the taxable year and certain other conditions are met, in which case the non-U.S. holder will be subject to U.S. federal income tax at a rate of 30% on the non-U.S. holder’s capital gains (or such lower rate specified by an applicable income tax treaty), which may be offset by U.S. source capital losses of such non-U.S. holder (even though the individual is not considered a resident of the United States), provided the non-U.S. holder has timely filed U.S. federal income tax returns with respect to such losses.</w:t>
      </w:r>
    </w:p>
    <w:p>
      <w:pPr>
        <w:spacing w:after="0" w:line="142" w:lineRule="exact"/>
        <w:rPr>
          <w:sz w:val="20"/>
          <w:szCs w:val="20"/>
          <w:color w:val="auto"/>
        </w:rPr>
      </w:pPr>
    </w:p>
    <w:p>
      <w:pPr>
        <w:ind w:left="1400" w:right="279"/>
        <w:spacing w:after="0" w:line="249" w:lineRule="auto"/>
        <w:rPr>
          <w:sz w:val="20"/>
          <w:szCs w:val="20"/>
          <w:color w:val="auto"/>
        </w:rPr>
      </w:pPr>
      <w:r>
        <w:rPr>
          <w:rFonts w:ascii="Times New Roman" w:cs="Times New Roman" w:eastAsia="Times New Roman" w:hAnsi="Times New Roman"/>
          <w:sz w:val="14"/>
          <w:szCs w:val="14"/>
          <w:color w:val="auto"/>
        </w:rPr>
        <w:t>Pursuant to the Foreign Investment in Real Property Tax Act, which is referred to as “FIRPTA,” distributions to a non-U.S. holder that are attributable to gain from sales or exchanges by us of USRPIs, whether or not designated as capital gain dividends, will cause the non-U.S. holder to be treated as recognizing such gain as income effectively connected with a U.S. trade or business. Non-U.S. holders generally would be taxed at the regular rates applicable to U.S. holders, subject to any applicable alternative minimum tax and a special alternative minimum tax in the case of nonresident alien individuals. We also will be required to withhold and to remit to the IRS 21% of any distribution to non-U.S. holders attributable to gain from sales or exchanges by us of USRPIs. Distributions subject to FIRPTA may also be subject to a 30% branch profits tax in the hands of a non-U.S. holder that is a corporation. The amount withheld is creditable against the non-U.S. holder’s U.S. federal income tax liability. However, any distribution with respect to any class of stock that is “regularly traded,” as defined by applicable Treasury Regulations, on an established securities market located in the United States is not subject to FIRPTA, and therefore, not subject to the 21% U.S. withholding tax described above, if the non-U.S. holder did not own more than 10% of such class of stock at any time during the one-year period ending on the date of the distribution. Instead, such distributions generally will be treated as ordinary dividend distributions and subject to withholding in the manner described above with respect to ordinary dividends. In addition, distributions to certain non-U.S. publicly traded shareholders that meet certain record-keeping and other requirements (“qualified shareholders”) are exempt from FIRPTA, except to the extent owners of such qualified shareholders that are not also qualified shareholders own, actually or constructively, more than 10% of our capital stock. Furthermore, distributions to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51" w:lineRule="exact"/>
        <w:rPr>
          <w:sz w:val="20"/>
          <w:szCs w:val="20"/>
          <w:color w:val="auto"/>
        </w:rPr>
      </w:pPr>
    </w:p>
    <w:p>
      <w:pPr>
        <w:ind w:left="1400" w:right="3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Retention of Net Capital Gains</w:t>
      </w:r>
      <w:r>
        <w:rPr>
          <w:rFonts w:ascii="Times New Roman" w:cs="Times New Roman" w:eastAsia="Times New Roman" w:hAnsi="Times New Roman"/>
          <w:sz w:val="14"/>
          <w:szCs w:val="14"/>
          <w:color w:val="auto"/>
        </w:rPr>
        <w:t>. Although the law is not clear on the matter, it appears that amounts we designate as retained net capital gains in respect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our capital stock should be treated with respect to non-U.S. holders as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2"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459"/>
        <w:spacing w:after="0" w:line="283" w:lineRule="auto"/>
        <w:rPr>
          <w:sz w:val="20"/>
          <w:szCs w:val="20"/>
          <w:color w:val="auto"/>
        </w:rPr>
      </w:pPr>
      <w:r>
        <w:rPr>
          <w:rFonts w:ascii="Times New Roman" w:cs="Times New Roman" w:eastAsia="Times New Roman" w:hAnsi="Times New Roman"/>
          <w:sz w:val="13"/>
          <w:szCs w:val="13"/>
          <w:color w:val="auto"/>
        </w:rPr>
        <w:t>actual distributions of capital gain dividends. Under this approach, the non-U.S. holders may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holders should consult their tax advisors regarding the taxation of such retained net capital gain.</w:t>
      </w:r>
    </w:p>
    <w:p>
      <w:pPr>
        <w:spacing w:after="0" w:line="124" w:lineRule="exact"/>
        <w:rPr>
          <w:sz w:val="20"/>
          <w:szCs w:val="20"/>
          <w:color w:val="auto"/>
        </w:rPr>
      </w:pPr>
    </w:p>
    <w:p>
      <w:pPr>
        <w:ind w:left="1400" w:right="29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Sale of Our Capital Stock</w:t>
      </w:r>
      <w:r>
        <w:rPr>
          <w:rFonts w:ascii="Times New Roman" w:cs="Times New Roman" w:eastAsia="Times New Roman" w:hAnsi="Times New Roman"/>
          <w:sz w:val="14"/>
          <w:szCs w:val="14"/>
          <w:color w:val="auto"/>
        </w:rPr>
        <w:t>. Except as described below under “—Redemption or Repurchase by Us,” gain realized by a non-U.S. holder upon the sale,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exchange or other taxable disposition of our capital stock generally will not be subject to U.S. federal income tax unless such stock constitutes a USRPI. In general, stock of a domestic corporation that constitutes a “United States real property holding corporation,” or USRPHC, will constitute a USRPI. We believe that we are a USRPHC. Our capital stock will not, however, constitute a USRPI so long as we are a “domestically controlled qualified investment entity.” A “domestically controlled qualified investment entity” includes a REIT in which at all times during a five-year testing period less than 50% in value of its stock is held directly or indirectly by non-United States persons, subject to certain ownership rules. For purposes of determining whether a REIT is a “domestically controlled qualified investment entity,” ownership generally will be determined by looking through certain pass-through entities and certain other entities. Notwithstanding the foregoing ownership rules, a person who at all applicable times holds less than 5% of a class of a REIT’s stock that is “regularly traded” on an established securities market in the United States will be treated as a United States person unless the REIT has actual knowledge that such person (i) is not a United States person or (ii) in certain cases, is a foreign-controlled entity. We believe, but cannot guarantee, that we are a “domestically controlled qualified investment entity.” Because our stock is (and, we anticipate, will continue to be) publicly traded, no assurance can be given that we will continue to be a “domestically controlled qualified investment entity.”</w:t>
      </w:r>
    </w:p>
    <w:p>
      <w:pPr>
        <w:spacing w:after="0" w:line="150" w:lineRule="exact"/>
        <w:rPr>
          <w:sz w:val="20"/>
          <w:szCs w:val="20"/>
          <w:color w:val="auto"/>
        </w:rPr>
      </w:pPr>
    </w:p>
    <w:p>
      <w:pPr>
        <w:ind w:left="1400" w:right="359"/>
        <w:spacing w:after="0" w:line="262" w:lineRule="auto"/>
        <w:rPr>
          <w:sz w:val="20"/>
          <w:szCs w:val="20"/>
          <w:color w:val="auto"/>
        </w:rPr>
      </w:pPr>
      <w:r>
        <w:rPr>
          <w:rFonts w:ascii="Times New Roman" w:cs="Times New Roman" w:eastAsia="Times New Roman" w:hAnsi="Times New Roman"/>
          <w:sz w:val="14"/>
          <w:szCs w:val="14"/>
          <w:color w:val="auto"/>
        </w:rPr>
        <w:t>Even if we do not qualify as a “domestically controlled qualified investment entity” at the time a non-U.S. holder sells our capital stock, gain realized from the sale or other taxable disposition by a non-U.S. holder of such capital stock would not be subject to U.S. federal income tax under FIRPTA as a sale of a USRPI if:</w:t>
      </w:r>
    </w:p>
    <w:p>
      <w:pPr>
        <w:spacing w:after="0" w:line="55" w:lineRule="exact"/>
        <w:rPr>
          <w:sz w:val="20"/>
          <w:szCs w:val="20"/>
          <w:color w:val="auto"/>
        </w:rPr>
      </w:pPr>
    </w:p>
    <w:p>
      <w:pPr>
        <w:ind w:left="1740" w:right="339" w:firstLine="4"/>
        <w:spacing w:after="0" w:line="278" w:lineRule="auto"/>
        <w:tabs>
          <w:tab w:leader="none" w:pos="193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class of capital stock is “regularly traded,” as defined by applicable Treasury Regulations, on an established securities market such as the NYSE; and</w:t>
      </w:r>
    </w:p>
    <w:p>
      <w:pPr>
        <w:spacing w:after="0" w:line="42" w:lineRule="exact"/>
        <w:rPr>
          <w:rFonts w:ascii="Times New Roman" w:cs="Times New Roman" w:eastAsia="Times New Roman" w:hAnsi="Times New Roman"/>
          <w:sz w:val="14"/>
          <w:szCs w:val="14"/>
          <w:color w:val="auto"/>
        </w:rPr>
      </w:pPr>
    </w:p>
    <w:p>
      <w:pPr>
        <w:ind w:left="1740" w:right="599" w:firstLine="4"/>
        <w:spacing w:after="0" w:line="278" w:lineRule="auto"/>
        <w:tabs>
          <w:tab w:leader="none" w:pos="193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non-U.S. holder owned, actually and constructively, 10% or less of such class of capital stock throughout the shorter of the five-year period ending on the date of the sale or other taxable disposition or the non-U.S. holder’s holding period.</w:t>
      </w:r>
    </w:p>
    <w:p>
      <w:pPr>
        <w:spacing w:after="0" w:line="126" w:lineRule="exact"/>
        <w:rPr>
          <w:sz w:val="20"/>
          <w:szCs w:val="20"/>
          <w:color w:val="auto"/>
        </w:rPr>
      </w:pPr>
    </w:p>
    <w:p>
      <w:pPr>
        <w:ind w:left="1400" w:right="399"/>
        <w:spacing w:after="0" w:line="257" w:lineRule="auto"/>
        <w:rPr>
          <w:sz w:val="20"/>
          <w:szCs w:val="20"/>
          <w:color w:val="auto"/>
        </w:rPr>
      </w:pPr>
      <w:r>
        <w:rPr>
          <w:rFonts w:ascii="Times New Roman" w:cs="Times New Roman" w:eastAsia="Times New Roman" w:hAnsi="Times New Roman"/>
          <w:sz w:val="14"/>
          <w:szCs w:val="14"/>
          <w:color w:val="auto"/>
        </w:rPr>
        <w:t>In addition, dispositions of our capital stock by qualified shareholders are exempt from FIRPTA, except to the extent owners of such qualified shareholders that are not also qualified shareholders own, actually or constructively, more than 10% of our capital stock. Furthermore, dispositions of our capital stock by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42"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Notwithstanding the foregoing, gain from the sale, exchange or other taxable disposition of our capital stock not otherwise subject to FIRPTA will be taxable to a non-U.S. holder if either (a) 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gain is attributable), in which case the non-U.S. holder will be subject to the same treatment as U.S. holders with respect to such gain, except that a non-U.S. holder that is a corporation may also be subject to the 30% branch profits tax (or such lower rate as may be specified by an applicable income tax treaty) on such gain, as adjusted for certain items, or (b) the non-U.S. holder is a nonresident alien individual who is present in the United States for 183 days or more during the taxable year and certain other conditions are met, in which case the non-U.S. holder will be subject to a 30% tax on the non-U.S. holder’s capital gains (or such lower rate specified by an applicable income tax treaty), which may be offset by</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2"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19"/>
        <w:spacing w:after="0" w:line="270" w:lineRule="auto"/>
        <w:rPr>
          <w:sz w:val="20"/>
          <w:szCs w:val="20"/>
          <w:color w:val="auto"/>
        </w:rPr>
      </w:pPr>
      <w:r>
        <w:rPr>
          <w:rFonts w:ascii="Times New Roman" w:cs="Times New Roman" w:eastAsia="Times New Roman" w:hAnsi="Times New Roman"/>
          <w:sz w:val="13"/>
          <w:szCs w:val="13"/>
          <w:color w:val="auto"/>
        </w:rPr>
        <w:t>U.S. source capital losses of the non-U.S. holder (even though the individual is not considered a resident of the United States), provided the non-U.S. holder has timely filed U.S. federal income tax returns with respect to such losses. In addition, even if we are a domestically controlled qualified investment entity, upon disposition of our capital stock, a non-U.S. holder may be treated as having gain from the sale or other taxable disposition of a USRPI if the non-U.S. holder (1) disposes of such stock within a 30-day period preceding the ex-dividend date of a distribution, any portion of which, but for the disposition, would have been treated as gain from the sale or exchange of a USRPI and (2) acquires, or enters into a contract or option to acquire, or is deemed to acquire, other shares of that stock during the 61-day period beginning with the first day of the 30-day period described in clause</w:t>
      </w:r>
    </w:p>
    <w:p>
      <w:pPr>
        <w:spacing w:after="0" w:line="3" w:lineRule="exact"/>
        <w:rPr>
          <w:sz w:val="20"/>
          <w:szCs w:val="20"/>
          <w:color w:val="auto"/>
        </w:rPr>
      </w:pPr>
    </w:p>
    <w:p>
      <w:pPr>
        <w:ind w:left="1400" w:right="539"/>
        <w:spacing w:after="0" w:line="255" w:lineRule="auto"/>
        <w:rPr>
          <w:sz w:val="20"/>
          <w:szCs w:val="20"/>
          <w:color w:val="auto"/>
        </w:rPr>
      </w:pPr>
      <w:r>
        <w:rPr>
          <w:rFonts w:ascii="Times New Roman" w:cs="Times New Roman" w:eastAsia="Times New Roman" w:hAnsi="Times New Roman"/>
          <w:sz w:val="14"/>
          <w:szCs w:val="14"/>
          <w:color w:val="auto"/>
        </w:rPr>
        <w:t>(1), unless such class of stock is “regularly traded” and the non-U.S. holder did not own more than 10% of such class of stock at any time during the one-year period ending on the date of the distribution described in clause (1).</w:t>
      </w:r>
    </w:p>
    <w:p>
      <w:pPr>
        <w:spacing w:after="0" w:line="141"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If gain on the sale, exchange or other taxable disposition of our capital stock were subject to taxation under FIRPTA, the non-U.S. holder would be required to file a U.S. federal income tax return and would be subject to regular U.S. federal income tax with respect to such gain in the same manner as a taxable U.S. holder (subject to any applicable alternative minimum tax and a special alternative minimum tax in the case of nonresident alien individuals). In addition, if the sale, exchange or other taxable disposition of our capital stock were subject to taxation under FIRPTA, and if shares of the applicable class of our capital stock were not “regularly traded” on an established securities market, the purchaser of such capital stock generally would be required to withhold and remit to the IRS 15% of the purchase price.</w:t>
      </w:r>
    </w:p>
    <w:p>
      <w:pPr>
        <w:spacing w:after="0" w:line="143" w:lineRule="exact"/>
        <w:rPr>
          <w:sz w:val="20"/>
          <w:szCs w:val="20"/>
          <w:color w:val="auto"/>
        </w:rPr>
      </w:pPr>
    </w:p>
    <w:p>
      <w:pPr>
        <w:ind w:left="1400" w:right="35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Redemption or Repurchase by Us</w:t>
      </w:r>
      <w:r>
        <w:rPr>
          <w:rFonts w:ascii="Times New Roman" w:cs="Times New Roman" w:eastAsia="Times New Roman" w:hAnsi="Times New Roman"/>
          <w:sz w:val="14"/>
          <w:szCs w:val="14"/>
          <w:color w:val="auto"/>
        </w:rPr>
        <w:t>. A redemption or repurchase of shares of our capital stock will be treated under Section 302 of the Code 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(and taxable as a dividend to the extent of our current and accumulated earnings and profits) unless the redemption or repurchase satisfies one of the tests set forth in Section 302(b) of the Code and is therefore treated as a sale or exchange of the redeemed or repurchased shares. See “— Taxation of Taxable U.S. Holders of Our Capital Stock—Redemption or Repurchase by Us.” Qualified shareholders and their owners may be subject to different rules, and should consult their tax advisors regarding the application of such rules. If the redemption or repurchase of shares is treated as a distribution, the amount of the distribution will be measured by the amount of cash and the fair market value of any property received. See “—Taxation of Non-U.S. Holders of Our Capital Stock—Distributions Generally” above. If the redemption or repurchase of shares is not treated as a distribution, it will be treated as a taxable sale or exchange in the manner described above under “—Sale of Our Capital Stock.”</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Taxation of Holders of the Operating Partnership’s Debt Securities</w:t>
      </w:r>
    </w:p>
    <w:p>
      <w:pPr>
        <w:spacing w:after="0" w:line="90" w:lineRule="exact"/>
        <w:rPr>
          <w:sz w:val="20"/>
          <w:szCs w:val="20"/>
          <w:color w:val="auto"/>
        </w:rPr>
      </w:pPr>
    </w:p>
    <w:p>
      <w:pPr>
        <w:ind w:left="1400" w:right="299"/>
        <w:spacing w:after="0" w:line="255" w:lineRule="auto"/>
        <w:rPr>
          <w:sz w:val="20"/>
          <w:szCs w:val="20"/>
          <w:color w:val="auto"/>
        </w:rPr>
      </w:pPr>
      <w:r>
        <w:rPr>
          <w:rFonts w:ascii="Times New Roman" w:cs="Times New Roman" w:eastAsia="Times New Roman" w:hAnsi="Times New Roman"/>
          <w:sz w:val="14"/>
          <w:szCs w:val="14"/>
          <w:color w:val="auto"/>
        </w:rPr>
        <w:t>The following summary describes certain material U.S. federal income tax consequences of purchasing, owning and disposing of debt securities issued by the operating partnership. This discussion assumes the debt securities will be issued with less than a statutory de minimis amount of original issue discount for U.S. federal income tax purposes. In addition, this discussion is limited to persons purchasing the debt securities for cash at original issue and at their original “issue price” within the meaning of Section 1273 of the Code (i.e., the first price at which a substantial amount of the debt securities is sold to the public for cash).</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U.S. Holders</w:t>
      </w:r>
    </w:p>
    <w:p>
      <w:pPr>
        <w:spacing w:after="0" w:line="88" w:lineRule="exact"/>
        <w:rPr>
          <w:sz w:val="20"/>
          <w:szCs w:val="20"/>
          <w:color w:val="auto"/>
        </w:rPr>
      </w:pPr>
    </w:p>
    <w:p>
      <w:pPr>
        <w:ind w:left="1400" w:right="5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Payments of Interest</w:t>
      </w:r>
      <w:r>
        <w:rPr>
          <w:rFonts w:ascii="Times New Roman" w:cs="Times New Roman" w:eastAsia="Times New Roman" w:hAnsi="Times New Roman"/>
          <w:sz w:val="14"/>
          <w:szCs w:val="14"/>
          <w:color w:val="auto"/>
        </w:rPr>
        <w:t>. Interest on a debt security generally will be taxable to a U.S. holder as ordinary income at the time such interest is received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accrued, in accordance with such U.S. holder’s method of accounting for U.S. federal income tax purposes.</w:t>
      </w:r>
    </w:p>
    <w:p>
      <w:pPr>
        <w:spacing w:after="0" w:line="122" w:lineRule="exact"/>
        <w:rPr>
          <w:sz w:val="20"/>
          <w:szCs w:val="20"/>
          <w:color w:val="auto"/>
        </w:rPr>
      </w:pPr>
    </w:p>
    <w:p>
      <w:pPr>
        <w:jc w:val="both"/>
        <w:ind w:left="1400" w:right="29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w:t>
      </w:r>
      <w:r>
        <w:rPr>
          <w:rFonts w:ascii="Times New Roman" w:cs="Times New Roman" w:eastAsia="Times New Roman" w:hAnsi="Times New Roman"/>
          <w:sz w:val="14"/>
          <w:szCs w:val="14"/>
          <w:color w:val="auto"/>
        </w:rPr>
        <w:t>. A U.S. holder will recognize gain or loss on the sale, exchange, redemption, retirement or other taxable disposition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2"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339"/>
        <w:spacing w:after="0" w:line="283" w:lineRule="auto"/>
        <w:rPr>
          <w:sz w:val="20"/>
          <w:szCs w:val="20"/>
          <w:color w:val="auto"/>
        </w:rPr>
      </w:pPr>
      <w:r>
        <w:rPr>
          <w:rFonts w:ascii="Times New Roman" w:cs="Times New Roman" w:eastAsia="Times New Roman" w:hAnsi="Times New Roman"/>
          <w:sz w:val="13"/>
          <w:szCs w:val="13"/>
          <w:color w:val="auto"/>
        </w:rPr>
        <w:t>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such sale or other taxable disposition. Otherwise, such gain or loss will be short-term capital gain or loss. Long-term capital gains recognized by certain non-corporate U.S. holders, including individuals, generally will be taxable at reduced rates. The deductibility of capital losses is subject to limitations.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Non-U.S. Holders</w:t>
      </w:r>
    </w:p>
    <w:p>
      <w:pPr>
        <w:spacing w:after="0" w:line="88" w:lineRule="exact"/>
        <w:rPr>
          <w:sz w:val="20"/>
          <w:szCs w:val="20"/>
          <w:color w:val="auto"/>
        </w:rPr>
      </w:pPr>
    </w:p>
    <w:p>
      <w:pPr>
        <w:ind w:left="1400" w:right="2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Payments of Interest</w:t>
      </w:r>
      <w:r>
        <w:rPr>
          <w:rFonts w:ascii="Times New Roman" w:cs="Times New Roman" w:eastAsia="Times New Roman" w:hAnsi="Times New Roman"/>
          <w:sz w:val="14"/>
          <w:szCs w:val="14"/>
          <w:color w:val="auto"/>
        </w:rPr>
        <w:t>. Interest paid on a debt security to a non-U.S. holder that is not effectively connected with the non-U.S. holder’s conduct of a trade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business within the United States generally will not be subject to U.S. federal income tax or withholding, provided that:</w:t>
      </w:r>
    </w:p>
    <w:p>
      <w:pPr>
        <w:spacing w:after="0" w:line="51" w:lineRule="exact"/>
        <w:rPr>
          <w:sz w:val="20"/>
          <w:szCs w:val="20"/>
          <w:color w:val="auto"/>
        </w:rPr>
      </w:pPr>
    </w:p>
    <w:p>
      <w:pPr>
        <w:ind w:left="2160" w:hanging="339"/>
        <w:spacing w:after="0"/>
        <w:tabs>
          <w:tab w:leader="none" w:pos="21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does not, actually or constructively, own 10% or more of the operating partnership’s capital or profits;</w:t>
      </w:r>
    </w:p>
    <w:p>
      <w:pPr>
        <w:spacing w:after="0" w:line="98" w:lineRule="exact"/>
        <w:rPr>
          <w:rFonts w:ascii="Times New Roman" w:cs="Times New Roman" w:eastAsia="Times New Roman" w:hAnsi="Times New Roman"/>
          <w:sz w:val="14"/>
          <w:szCs w:val="14"/>
          <w:color w:val="auto"/>
        </w:rPr>
      </w:pPr>
    </w:p>
    <w:p>
      <w:pPr>
        <w:ind w:left="2160" w:right="779" w:hanging="339"/>
        <w:spacing w:after="0" w:line="278" w:lineRule="auto"/>
        <w:tabs>
          <w:tab w:leader="none" w:pos="21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not a controlled foreign corporation related to the operating partnership through actual or constructive stock ownership; and</w:t>
      </w:r>
    </w:p>
    <w:p>
      <w:pPr>
        <w:spacing w:after="0" w:line="52" w:lineRule="exact"/>
        <w:rPr>
          <w:rFonts w:ascii="Times New Roman" w:cs="Times New Roman" w:eastAsia="Times New Roman" w:hAnsi="Times New Roman"/>
          <w:sz w:val="14"/>
          <w:szCs w:val="14"/>
          <w:color w:val="auto"/>
        </w:rPr>
      </w:pPr>
    </w:p>
    <w:p>
      <w:pPr>
        <w:ind w:left="2160" w:right="319" w:hanging="339"/>
        <w:spacing w:after="0" w:line="252" w:lineRule="auto"/>
        <w:tabs>
          <w:tab w:leader="none" w:pos="21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 debt security directly through a “qualified intermediary” (within the meaning of the applicable Treasury Regulations) and certain conditions are satisfied.</w:t>
      </w:r>
    </w:p>
    <w:p>
      <w:pPr>
        <w:spacing w:after="0" w:line="146"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If a non-U.S. holder does not satisfy the requirements above, such non-U.S. holder will be subject to withholding tax of 30%, subject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42" w:lineRule="exact"/>
        <w:rPr>
          <w:sz w:val="20"/>
          <w:szCs w:val="20"/>
          <w:color w:val="auto"/>
        </w:rPr>
      </w:pPr>
    </w:p>
    <w:p>
      <w:pPr>
        <w:ind w:left="1400" w:right="399"/>
        <w:spacing w:after="0" w:line="255" w:lineRule="auto"/>
        <w:rPr>
          <w:sz w:val="20"/>
          <w:szCs w:val="20"/>
          <w:color w:val="auto"/>
        </w:rPr>
      </w:pPr>
      <w:r>
        <w:rPr>
          <w:rFonts w:ascii="Times New Roman" w:cs="Times New Roman" w:eastAsia="Times New Roman" w:hAnsi="Times New Roman"/>
          <w:sz w:val="14"/>
          <w:szCs w:val="14"/>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w:t>
      </w:r>
    </w:p>
    <w:p>
      <w:pPr>
        <w:spacing w:after="0" w:line="142" w:lineRule="exact"/>
        <w:rPr>
          <w:sz w:val="20"/>
          <w:szCs w:val="20"/>
          <w:color w:val="auto"/>
        </w:rPr>
      </w:pPr>
    </w:p>
    <w:p>
      <w:pPr>
        <w:ind w:left="1400" w:right="399"/>
        <w:spacing w:after="0" w:line="262" w:lineRule="auto"/>
        <w:rPr>
          <w:sz w:val="20"/>
          <w:szCs w:val="20"/>
          <w:color w:val="auto"/>
        </w:rPr>
      </w:pPr>
      <w:r>
        <w:rPr>
          <w:rFonts w:ascii="Times New Roman" w:cs="Times New Roman" w:eastAsia="Times New Roman" w:hAnsi="Times New Roman"/>
          <w:sz w:val="14"/>
          <w:szCs w:val="14"/>
          <w:color w:val="auto"/>
        </w:rPr>
        <w:t>Any such effectively connected interest generally will be subject to U.S. federal income tax at the regular rates. A non-U.S. holder that is a corporation may also be subject to a branch profits tax at a rate of 30% (or such lower rate specified by an applicable income tax treaty) on such effectively connected interest, as adjusted for certain items.</w:t>
      </w:r>
    </w:p>
    <w:p>
      <w:pPr>
        <w:spacing w:after="0" w:line="138" w:lineRule="exact"/>
        <w:rPr>
          <w:sz w:val="20"/>
          <w:szCs w:val="20"/>
          <w:color w:val="auto"/>
        </w:rPr>
      </w:pPr>
    </w:p>
    <w:p>
      <w:pPr>
        <w:ind w:left="1400" w:right="379"/>
        <w:spacing w:after="0" w:line="262" w:lineRule="auto"/>
        <w:rPr>
          <w:sz w:val="20"/>
          <w:szCs w:val="20"/>
          <w:color w:val="auto"/>
        </w:rPr>
      </w:pPr>
      <w:r>
        <w:rPr>
          <w:rFonts w:ascii="Times New Roman" w:cs="Times New Roman" w:eastAsia="Times New Roman" w:hAnsi="Times New Roman"/>
          <w:sz w:val="14"/>
          <w:szCs w:val="14"/>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2"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419"/>
        <w:spacing w:after="0" w:line="278" w:lineRule="auto"/>
        <w:rPr>
          <w:sz w:val="20"/>
          <w:szCs w:val="20"/>
          <w:color w:val="auto"/>
        </w:rPr>
      </w:pPr>
      <w:r>
        <w:rPr>
          <w:rFonts w:ascii="Times New Roman" w:cs="Times New Roman" w:eastAsia="Times New Roman" w:hAnsi="Times New Roman"/>
          <w:sz w:val="14"/>
          <w:szCs w:val="14"/>
          <w:color w:val="auto"/>
        </w:rPr>
        <w:t>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4"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w:t>
      </w:r>
      <w:r>
        <w:rPr>
          <w:rFonts w:ascii="Times New Roman" w:cs="Times New Roman" w:eastAsia="Times New Roman" w:hAnsi="Times New Roman"/>
          <w:sz w:val="14"/>
          <w:szCs w:val="14"/>
          <w:color w:val="auto"/>
        </w:rPr>
        <w:t>. A non-U.S. holder will not be subject to U.S. federal income tax on any gain realized upon the sale, exchange,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redemption, retirement or other taxable disposition of a debt security (such amount excludes any amount allocable to accrued and unpaid interest, which generally will be treated as interest and may be subject to the rules discussed above in “—Taxation of Holders of the Operating Partnership’s Debt Securities—Non-U.S. Holders—Payments of Interest”) unless:</w:t>
      </w:r>
    </w:p>
    <w:p>
      <w:pPr>
        <w:spacing w:after="0" w:line="68" w:lineRule="exact"/>
        <w:rPr>
          <w:sz w:val="20"/>
          <w:szCs w:val="20"/>
          <w:color w:val="auto"/>
        </w:rPr>
      </w:pPr>
    </w:p>
    <w:p>
      <w:pPr>
        <w:ind w:left="2160" w:right="399" w:hanging="339"/>
        <w:spacing w:after="0" w:line="262" w:lineRule="auto"/>
        <w:tabs>
          <w:tab w:leader="none" w:pos="21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64" w:lineRule="exact"/>
        <w:rPr>
          <w:rFonts w:ascii="Times New Roman" w:cs="Times New Roman" w:eastAsia="Times New Roman" w:hAnsi="Times New Roman"/>
          <w:sz w:val="14"/>
          <w:szCs w:val="14"/>
          <w:color w:val="auto"/>
        </w:rPr>
      </w:pPr>
    </w:p>
    <w:p>
      <w:pPr>
        <w:ind w:left="2160" w:right="699" w:hanging="339"/>
        <w:spacing w:after="0" w:line="278" w:lineRule="auto"/>
        <w:tabs>
          <w:tab w:leader="none" w:pos="21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w:t>
      </w:r>
    </w:p>
    <w:p>
      <w:pPr>
        <w:spacing w:after="0" w:line="126" w:lineRule="exact"/>
        <w:rPr>
          <w:sz w:val="20"/>
          <w:szCs w:val="20"/>
          <w:color w:val="auto"/>
        </w:rPr>
      </w:pPr>
    </w:p>
    <w:p>
      <w:pPr>
        <w:jc w:val="both"/>
        <w:ind w:left="1400" w:right="379"/>
        <w:spacing w:after="0" w:line="262"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38" w:lineRule="exact"/>
        <w:rPr>
          <w:sz w:val="20"/>
          <w:szCs w:val="20"/>
          <w:color w:val="auto"/>
        </w:rPr>
      </w:pPr>
    </w:p>
    <w:p>
      <w:pPr>
        <w:jc w:val="both"/>
        <w:ind w:left="1400" w:right="279"/>
        <w:spacing w:after="0" w:line="257"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be subject to U.S. federal income tax at a rate of 30% (or such lower rate specified by an applicable income tax treaty) on gain realized upon the sale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Non-U.S. holders should consult their tax advisors regarding any applicable income tax treaties that may provide for different rules.</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88" w:lineRule="exact"/>
        <w:rPr>
          <w:sz w:val="20"/>
          <w:szCs w:val="20"/>
          <w:color w:val="auto"/>
        </w:rPr>
      </w:pPr>
    </w:p>
    <w:p>
      <w:pPr>
        <w:ind w:left="1400" w:right="37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U.S. Holders</w:t>
      </w:r>
      <w:r>
        <w:rPr>
          <w:rFonts w:ascii="Times New Roman" w:cs="Times New Roman" w:eastAsia="Times New Roman" w:hAnsi="Times New Roman"/>
          <w:sz w:val="14"/>
          <w:szCs w:val="14"/>
          <w:color w:val="auto"/>
        </w:rPr>
        <w:t>. A U.S. holder may be subject to information reporting and backup withholding when such holder receives payments on our capital stock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the operating partnership’s debt securities or proceeds from the sale or other taxable disposition of such stock or debt securities (including a redemption or retirement of a debt security). Certain U.S. holders are exempt from backup withholding, including corporations and certain tax-exempt organizations. A U.S. holder will be subject to backup withholding if such holder is not otherwise exempt and:</w:t>
      </w:r>
    </w:p>
    <w:p>
      <w:pPr>
        <w:spacing w:after="0" w:line="68" w:lineRule="exact"/>
        <w:rPr>
          <w:sz w:val="20"/>
          <w:szCs w:val="20"/>
          <w:color w:val="auto"/>
        </w:rPr>
      </w:pPr>
    </w:p>
    <w:p>
      <w:pPr>
        <w:ind w:left="2160" w:right="719" w:hanging="339"/>
        <w:spacing w:after="0" w:line="278" w:lineRule="auto"/>
        <w:tabs>
          <w:tab w:leader="none" w:pos="21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fails to furnish the holder’s taxpayer identification number, which for an individual is ordinarily his or her social security number;</w:t>
      </w:r>
    </w:p>
    <w:p>
      <w:pPr>
        <w:spacing w:after="0" w:line="52" w:lineRule="exact"/>
        <w:rPr>
          <w:rFonts w:ascii="Times New Roman" w:cs="Times New Roman" w:eastAsia="Times New Roman" w:hAnsi="Times New Roman"/>
          <w:sz w:val="14"/>
          <w:szCs w:val="14"/>
          <w:color w:val="auto"/>
        </w:rPr>
      </w:pPr>
    </w:p>
    <w:p>
      <w:pPr>
        <w:ind w:left="2160" w:hanging="339"/>
        <w:spacing w:after="0"/>
        <w:tabs>
          <w:tab w:leader="none" w:pos="21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furnishes an incorrect taxpayer identification number;</w:t>
      </w:r>
    </w:p>
    <w:p>
      <w:pPr>
        <w:spacing w:after="0" w:line="98" w:lineRule="exact"/>
        <w:rPr>
          <w:rFonts w:ascii="Times New Roman" w:cs="Times New Roman" w:eastAsia="Times New Roman" w:hAnsi="Times New Roman"/>
          <w:sz w:val="14"/>
          <w:szCs w:val="14"/>
          <w:color w:val="auto"/>
        </w:rPr>
      </w:pPr>
    </w:p>
    <w:p>
      <w:pPr>
        <w:ind w:left="2160" w:right="859" w:hanging="339"/>
        <w:spacing w:after="0" w:line="278" w:lineRule="auto"/>
        <w:tabs>
          <w:tab w:leader="none" w:pos="21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withholding agent is notified by the IRS that the holder previously failed to properly report payments of interest or dividends; or</w:t>
      </w:r>
    </w:p>
    <w:p>
      <w:pPr>
        <w:spacing w:after="0" w:line="52" w:lineRule="exact"/>
        <w:rPr>
          <w:rFonts w:ascii="Times New Roman" w:cs="Times New Roman" w:eastAsia="Times New Roman" w:hAnsi="Times New Roman"/>
          <w:sz w:val="14"/>
          <w:szCs w:val="14"/>
          <w:color w:val="auto"/>
        </w:rPr>
      </w:pPr>
    </w:p>
    <w:p>
      <w:pPr>
        <w:ind w:left="2160" w:right="379" w:hanging="339"/>
        <w:spacing w:after="0" w:line="278" w:lineRule="auto"/>
        <w:tabs>
          <w:tab w:leader="none" w:pos="21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26" w:lineRule="exact"/>
        <w:rPr>
          <w:sz w:val="20"/>
          <w:szCs w:val="20"/>
          <w:color w:val="auto"/>
        </w:rPr>
      </w:pPr>
    </w:p>
    <w:p>
      <w:pPr>
        <w:ind w:left="1400" w:right="339"/>
        <w:spacing w:after="0" w:line="262"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2"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1400" w:right="29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Non-U.S. Holders</w:t>
      </w:r>
      <w:r>
        <w:rPr>
          <w:rFonts w:ascii="Times New Roman" w:cs="Times New Roman" w:eastAsia="Times New Roman" w:hAnsi="Times New Roman"/>
          <w:sz w:val="13"/>
          <w:szCs w:val="13"/>
          <w:color w:val="auto"/>
        </w:rPr>
        <w:t>. Payments of dividends on our capital stock or interest on the operating partnership’s debt securities generally will not be subject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capital stock or interest on the operating partnership’s debt securities paid to the non-U.S. holder, regardless of whether such distributions constitute a dividend or whether any tax was actually withheld. In addition, proceeds of the sale or other taxable disposition of such stock or debt securities (including a retirement or redemption of a debt security)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such stock or debt securities conducted through a non-U.S. office of a non-U.S. broker generally will not be subject to backup withholding or information reporting.</w:t>
      </w:r>
    </w:p>
    <w:p>
      <w:pPr>
        <w:spacing w:after="0" w:line="136" w:lineRule="exact"/>
        <w:rPr>
          <w:sz w:val="20"/>
          <w:szCs w:val="20"/>
          <w:color w:val="auto"/>
        </w:rPr>
      </w:pPr>
    </w:p>
    <w:p>
      <w:pPr>
        <w:ind w:left="1400" w:right="339"/>
        <w:spacing w:after="0" w:line="278"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26" w:lineRule="exact"/>
        <w:rPr>
          <w:sz w:val="20"/>
          <w:szCs w:val="20"/>
          <w:color w:val="auto"/>
        </w:rPr>
      </w:pPr>
    </w:p>
    <w:p>
      <w:pPr>
        <w:ind w:left="1400" w:right="339"/>
        <w:spacing w:after="0" w:line="278"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Medicare Contribution Tax on Unearned Income</w:t>
      </w:r>
    </w:p>
    <w:p>
      <w:pPr>
        <w:spacing w:after="0" w:line="90" w:lineRule="exact"/>
        <w:rPr>
          <w:sz w:val="20"/>
          <w:szCs w:val="20"/>
          <w:color w:val="auto"/>
        </w:rPr>
      </w:pPr>
    </w:p>
    <w:p>
      <w:pPr>
        <w:ind w:left="1400" w:right="359"/>
        <w:spacing w:after="0" w:line="257" w:lineRule="auto"/>
        <w:rPr>
          <w:sz w:val="20"/>
          <w:szCs w:val="20"/>
          <w:color w:val="auto"/>
        </w:rPr>
      </w:pPr>
      <w:r>
        <w:rPr>
          <w:rFonts w:ascii="Times New Roman" w:cs="Times New Roman" w:eastAsia="Times New Roman" w:hAnsi="Times New Roman"/>
          <w:sz w:val="14"/>
          <w:szCs w:val="14"/>
          <w:color w:val="auto"/>
        </w:rPr>
        <w:t>Certain U.S. holders that are individuals, estates or trusts are required to pay an additional 3.8% tax on, among other things, dividends on stock, interest on debt obligations, and capital gains from the sale or other disposition of stock or debt obligations, subject to certain limitations. U.S. holders should consult their tax advisors regarding the effect, if any, of these rules on their ownership and disposition of our capital stock or the operating partnership’s debt securities.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90"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our capital stock, interest on the operating partnership’s debt securities, or (subject to the proposed Treasury Regulations discussed below) gross proceeds from the sale or other disposition of our capital stock or the operating partnership’s debt securities, in each case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w:t>
      </w:r>
    </w:p>
    <w:p>
      <w:pPr>
        <w:ind w:left="1400" w:right="379" w:firstLine="6"/>
        <w:spacing w:after="0" w:line="249" w:lineRule="auto"/>
        <w:tabs>
          <w:tab w:leader="none" w:pos="15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6" w:lineRule="exact"/>
        <w:rPr>
          <w:sz w:val="20"/>
          <w:szCs w:val="20"/>
          <w:color w:val="auto"/>
        </w:rPr>
      </w:pPr>
    </w:p>
    <w:p>
      <w:pPr>
        <w:ind w:left="1400" w:right="439"/>
        <w:spacing w:after="0" w:line="278" w:lineRule="auto"/>
        <w:rPr>
          <w:sz w:val="20"/>
          <w:szCs w:val="20"/>
          <w:color w:val="auto"/>
        </w:rPr>
      </w:pPr>
      <w:r>
        <w:rPr>
          <w:rFonts w:ascii="Times New Roman" w:cs="Times New Roman" w:eastAsia="Times New Roman" w:hAnsi="Times New Roman"/>
          <w:sz w:val="14"/>
          <w:szCs w:val="14"/>
          <w:color w:val="auto"/>
        </w:rPr>
        <w:t>Under the applicable Treasury Regulations and administrative guidance, withholding under FATCA generally applies to payments of dividends on our capital stock or interest on the operating partnership’s debt securities.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2"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While withholding under FATCA would have applied also to payments of gross proceeds from the sale or other disposition of stock or debt securities on or after January 1, 2019, proposed Treasury Regulations eliminate FATCA withholding on payments of gross proceeds entirely. Taxpayers generally may rely on these proposed Treasury Regulations until final Treasury Regulations are issued. Because we may not know the extent to which a distribution is a dividend for U.S. federal income tax purposes at the time it is made, for purposes of these withholding rules we may treat the entire distribution as a dividend.</w:t>
      </w:r>
    </w:p>
    <w:p>
      <w:pPr>
        <w:spacing w:after="0" w:line="142"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capital stock or the operating partnership’s debt securities.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Other Tax Consequences</w:t>
      </w:r>
    </w:p>
    <w:p>
      <w:pPr>
        <w:spacing w:after="0" w:line="90" w:lineRule="exact"/>
        <w:rPr>
          <w:sz w:val="20"/>
          <w:szCs w:val="20"/>
          <w:color w:val="auto"/>
        </w:rPr>
      </w:pPr>
    </w:p>
    <w:p>
      <w:pPr>
        <w:ind w:left="1400" w:right="439"/>
        <w:spacing w:after="0" w:line="257" w:lineRule="auto"/>
        <w:rPr>
          <w:sz w:val="20"/>
          <w:szCs w:val="20"/>
          <w:color w:val="auto"/>
        </w:rPr>
      </w:pPr>
      <w:r>
        <w:rPr>
          <w:rFonts w:ascii="Times New Roman" w:cs="Times New Roman" w:eastAsia="Times New Roman" w:hAnsi="Times New Roman"/>
          <w:sz w:val="14"/>
          <w:szCs w:val="14"/>
          <w:color w:val="auto"/>
        </w:rPr>
        <w:t>State, local and non-U.S. income tax laws may differ substantially from the corresponding U.S. federal income tax laws, and this discussion does not purport to describe any aspect of the tax laws of any state, local or non-U.S. jurisdiction, or any U.S. federal tax other than income tax. You should consult your tax advisors regarding the effect of state, local and non-U.S. tax laws with respect to our tax treatment as a REIT and on an investment in our capital stock or our operating partnership’s debt securities.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2"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73" w:lineRule="exact"/>
        <w:rPr>
          <w:sz w:val="20"/>
          <w:szCs w:val="20"/>
          <w:color w:val="auto"/>
        </w:rPr>
      </w:pPr>
    </w:p>
    <w:p>
      <w:pPr>
        <w:ind w:left="1400" w:right="319"/>
        <w:spacing w:after="0" w:line="283" w:lineRule="auto"/>
        <w:rPr>
          <w:sz w:val="20"/>
          <w:szCs w:val="20"/>
          <w:color w:val="auto"/>
        </w:rPr>
      </w:pPr>
      <w:r>
        <w:rPr>
          <w:rFonts w:ascii="Times New Roman" w:cs="Times New Roman" w:eastAsia="Times New Roman" w:hAnsi="Times New Roman"/>
          <w:sz w:val="13"/>
          <w:szCs w:val="13"/>
          <w:color w:val="auto"/>
        </w:rPr>
        <w:t>If the registration statement of which this prospectus forms a part is used by selling securityholders for the resale of any securities registered thereunder pursuant to a registration rights agreement to be entered into by us with such selling securityholders or otherwise, information about such selling securityholders, their beneficial ownership of the securities and their relationship with us will be set forth in a prospectus supplement, in a post-effective amendment, or in filings we make with the SEC under the Exchange Act that are incorporated by reference to such registration statement.</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2"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3" w:lineRule="exact"/>
        <w:rPr>
          <w:sz w:val="20"/>
          <w:szCs w:val="20"/>
          <w:color w:val="auto"/>
        </w:rPr>
      </w:pPr>
    </w:p>
    <w:p>
      <w:pPr>
        <w:jc w:val="both"/>
        <w:ind w:left="1400" w:right="419"/>
        <w:spacing w:after="0" w:line="262" w:lineRule="auto"/>
        <w:rPr>
          <w:sz w:val="20"/>
          <w:szCs w:val="20"/>
          <w:color w:val="auto"/>
        </w:rPr>
      </w:pPr>
      <w:r>
        <w:rPr>
          <w:rFonts w:ascii="Times New Roman" w:cs="Times New Roman" w:eastAsia="Times New Roman" w:hAnsi="Times New Roman"/>
          <w:sz w:val="14"/>
          <w:szCs w:val="14"/>
          <w:color w:val="auto"/>
        </w:rPr>
        <w:t>We, or selling securityholders, may sell the securities domestically or abroad to one or more underwriters for public offering and sale by them or may sell the securities to investors directly or through dealers or agents, or through a combination of methods. Any underwriter, dealer or agent involved in the offer and sale of the securities will be named in the applicable prospectus supplement.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Underwriters may offer and sell the securities at: (i) a fixed price or prices, which may be changed, (ii) market prices prevailing at the time of sale,</w:t>
      </w:r>
    </w:p>
    <w:p>
      <w:pPr>
        <w:spacing w:after="0" w:line="20" w:lineRule="exact"/>
        <w:rPr>
          <w:sz w:val="20"/>
          <w:szCs w:val="20"/>
          <w:color w:val="auto"/>
        </w:rPr>
      </w:pPr>
    </w:p>
    <w:p>
      <w:pPr>
        <w:ind w:left="1400" w:right="319" w:firstLine="6"/>
        <w:spacing w:after="0" w:line="249" w:lineRule="auto"/>
        <w:tabs>
          <w:tab w:leader="none" w:pos="164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the prevailing market prices at the time of sale or (iv) negotiated prices. We also may, from time to time, authorize underwriters acting as our agents to offer and sell the securities upon the terms and conditions as are set forth in the applicable prospectus supplement. In connection with the sale of securities, underwriters may be deemed to have received compensation from us in the form of underwriting discounts or commissions and may also receive commissions from purchasers of securities for whom they may act as agent. Underwriters may sell securities to or through dealers, and the dealers may receive compensation in the form of discounts, concessions or commissions from the underwriters and/or commissions from the purchasers for whom they may act as agent.</w:t>
      </w:r>
    </w:p>
    <w:p>
      <w:pPr>
        <w:spacing w:after="0" w:line="146" w:lineRule="exact"/>
        <w:rPr>
          <w:sz w:val="20"/>
          <w:szCs w:val="20"/>
          <w:color w:val="auto"/>
        </w:rPr>
      </w:pPr>
    </w:p>
    <w:p>
      <w:pPr>
        <w:ind w:left="1400" w:right="279"/>
        <w:spacing w:after="0" w:line="252" w:lineRule="auto"/>
        <w:rPr>
          <w:sz w:val="20"/>
          <w:szCs w:val="20"/>
          <w:color w:val="auto"/>
        </w:rPr>
      </w:pPr>
      <w:r>
        <w:rPr>
          <w:rFonts w:ascii="Times New Roman" w:cs="Times New Roman" w:eastAsia="Times New Roman" w:hAnsi="Times New Roman"/>
          <w:sz w:val="14"/>
          <w:szCs w:val="14"/>
          <w:color w:val="auto"/>
        </w:rPr>
        <w:t>Any underwriting compensation paid by us to underwriters, dealers or agents in connection with the offering of securities, and any discounts, concessions or commissions allowed by underwriters to participating dealers, will be set forth in the applicable prospectus supplement.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 Underwriters, dealers and agents may be entitled, under agreements entered into with us and our operating partnership, to indemnification against and contribution toward civil liabilities, including liabilities under the Securities Act. We will describe any indemnification agreement in the applicable prospectus supplement.</w:t>
      </w:r>
    </w:p>
    <w:p>
      <w:pPr>
        <w:spacing w:after="0" w:line="146" w:lineRule="exact"/>
        <w:rPr>
          <w:sz w:val="20"/>
          <w:szCs w:val="20"/>
          <w:color w:val="auto"/>
        </w:rPr>
      </w:pPr>
    </w:p>
    <w:p>
      <w:pPr>
        <w:ind w:left="1400" w:right="439"/>
        <w:spacing w:after="0" w:line="252" w:lineRule="auto"/>
        <w:rPr>
          <w:sz w:val="20"/>
          <w:szCs w:val="20"/>
          <w:color w:val="auto"/>
        </w:rPr>
      </w:pPr>
      <w:r>
        <w:rPr>
          <w:rFonts w:ascii="Times New Roman" w:cs="Times New Roman" w:eastAsia="Times New Roman" w:hAnsi="Times New Roman"/>
          <w:sz w:val="14"/>
          <w:szCs w:val="14"/>
          <w:color w:val="auto"/>
        </w:rPr>
        <w:t>Unless we specify otherwise in the applicable prospectus supplement, any series of securities issued hereunder will be a new issue with no established trading market (other than the common stock, which is listed on the NYSE). If the company sells any shares of the common stock pursuant to a prospectus supplement, such shares will be listed on the NYSE, subject to official notice of issuance. We may elect to list any other securities issued hereunder on any exchange, but we are not obligated to do so. Any underwriters or agents to or through whom such securities are sold by us or our operating partnership for public offering and sale may make a market in such securities, but such underwriters or agents will not be obligated to do so and may discontinue any market making at any time without notice. We cannot assure you as to the liquidity of the trading market for any such securities.</w:t>
      </w:r>
    </w:p>
    <w:p>
      <w:pPr>
        <w:spacing w:after="0" w:line="146" w:lineRule="exact"/>
        <w:rPr>
          <w:sz w:val="20"/>
          <w:szCs w:val="20"/>
          <w:color w:val="auto"/>
        </w:rPr>
      </w:pPr>
    </w:p>
    <w:p>
      <w:pPr>
        <w:ind w:left="1400" w:right="339"/>
        <w:spacing w:after="0" w:line="252" w:lineRule="auto"/>
        <w:rPr>
          <w:sz w:val="20"/>
          <w:szCs w:val="20"/>
          <w:color w:val="auto"/>
        </w:rPr>
      </w:pPr>
      <w:r>
        <w:rPr>
          <w:rFonts w:ascii="Times New Roman" w:cs="Times New Roman" w:eastAsia="Times New Roman" w:hAnsi="Times New Roman"/>
          <w:sz w:val="14"/>
          <w:szCs w:val="14"/>
          <w:color w:val="auto"/>
        </w:rPr>
        <w:t>If indicated in the applicable prospectus supplement, we may authorize underwriters or other persons acting as our agents to solicit offers by institutions or other suitable purchasers to purchase the securities from us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46"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To facilitate the offering of the securities, certain persons participating in the offering may engage in transactions that stabilize, maintain, or otherwise affect the price of the securities. This may include over-allotments or short sales of the securities, which involves the sale by persons participating in the offering of more securities than we sold to them. In these circumstances, these persons would cover the over-allotments or short positions by making purchases in the open market or by exercising their over-allotment option. In addition, these persons may stabilize or maintain the price of the securities by bidding for or purchasing securities in the open market or by</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82"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00" w:right="639"/>
        <w:spacing w:after="0" w:line="262" w:lineRule="auto"/>
        <w:rPr>
          <w:sz w:val="20"/>
          <w:szCs w:val="20"/>
          <w:color w:val="auto"/>
        </w:rPr>
      </w:pPr>
      <w:r>
        <w:rPr>
          <w:rFonts w:ascii="Times New Roman" w:cs="Times New Roman" w:eastAsia="Times New Roman" w:hAnsi="Times New Roman"/>
          <w:sz w:val="14"/>
          <w:szCs w:val="14"/>
          <w:color w:val="auto"/>
        </w:rPr>
        <w:t>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38"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The underwriters, dealers and agents and their affiliates may be customers of, engage in transactions with and perform services for us and our operating partnership in the ordinary course of business.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2"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3" w:lineRule="exact"/>
        <w:rPr>
          <w:sz w:val="20"/>
          <w:szCs w:val="20"/>
          <w:color w:val="auto"/>
        </w:rPr>
      </w:pPr>
    </w:p>
    <w:p>
      <w:pPr>
        <w:ind w:left="1400" w:right="499"/>
        <w:spacing w:after="0" w:line="257" w:lineRule="auto"/>
        <w:rPr>
          <w:sz w:val="20"/>
          <w:szCs w:val="20"/>
          <w:color w:val="auto"/>
        </w:rPr>
      </w:pPr>
      <w:r>
        <w:rPr>
          <w:rFonts w:ascii="Times New Roman" w:cs="Times New Roman" w:eastAsia="Times New Roman" w:hAnsi="Times New Roman"/>
          <w:sz w:val="14"/>
          <w:szCs w:val="14"/>
          <w:color w:val="auto"/>
        </w:rPr>
        <w:t>Venable LLP, Baltimore, Maryland, has issued an opinion to us regarding certain matters of Maryland law, including the validity of the securities covered by this prospectus. Latham &amp; Watkins LLP, Los Angeles, California has issued an opinion to us regarding certain matters with respect to the validity of the debt securities and guarantees covered by this prospectus and an opinion regarding certain tax matters described under “United States Federal Income Tax Considerations.”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3"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3" w:lineRule="exact"/>
        <w:rPr>
          <w:sz w:val="20"/>
          <w:szCs w:val="20"/>
          <w:color w:val="auto"/>
        </w:rPr>
      </w:pPr>
    </w:p>
    <w:p>
      <w:pPr>
        <w:ind w:left="1400" w:right="419"/>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Digital Realty Trust, Inc.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142" w:lineRule="exact"/>
        <w:rPr>
          <w:sz w:val="20"/>
          <w:szCs w:val="20"/>
          <w:color w:val="auto"/>
        </w:rPr>
      </w:pPr>
    </w:p>
    <w:p>
      <w:pPr>
        <w:ind w:left="1400" w:right="419"/>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of Digital Realty Trust, L.P. and subsidiaries as of December 31, 2025 and 2024, and for each of the years in the three-year period ended December 31, 2025, have been incorporated by reference herein in reliance upon the report of KPMG LLP, independent registered public accounting firm, incorporated by reference herein, and upon the authority of said firm as experts in accounting and auditing.</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83"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193040</wp:posOffset>
            </wp:positionV>
            <wp:extent cx="5382895" cy="13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5382895" cy="13335"/>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232410</wp:posOffset>
            </wp:positionV>
            <wp:extent cx="538289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5382895" cy="63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746760</wp:posOffset>
            </wp:positionV>
            <wp:extent cx="1134745" cy="395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1134745" cy="395605"/>
                    </a:xfrm>
                    <a:prstGeom prst="rect">
                      <a:avLst/>
                    </a:prstGeom>
                    <a:noFill/>
                  </pic:spPr>
                </pic:pic>
              </a:graphicData>
            </a:graphic>
          </wp:anchor>
        </w:drawing>
      </w:r>
    </w:p>
    <w:p>
      <w:pPr>
        <w:sectPr>
          <w:pgSz w:w="11900" w:h="16838" w:orient="portrait"/>
          <w:cols w:equalWidth="0" w:num="1">
            <w:col w:w="10159"/>
          </w:cols>
          <w:pgMar w:left="300" w:top="3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Digital Realty Trust, Inc.</w:t>
      </w:r>
    </w:p>
    <w:p>
      <w:pPr>
        <w:spacing w:after="0" w:line="200" w:lineRule="exact"/>
        <w:rPr>
          <w:sz w:val="20"/>
          <w:szCs w:val="20"/>
          <w:color w:val="auto"/>
        </w:rPr>
      </w:pPr>
    </w:p>
    <w:p>
      <w:pPr>
        <w:spacing w:after="0" w:line="2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12,310,249 Shares</w:t>
      </w:r>
    </w:p>
    <w:p>
      <w:pPr>
        <w:spacing w:after="0" w:line="34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1300480</wp:posOffset>
            </wp:positionV>
            <wp:extent cx="113474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181610</wp:posOffset>
            </wp:positionV>
            <wp:extent cx="113474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337185</wp:posOffset>
            </wp:positionV>
            <wp:extent cx="538289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5382895" cy="6350"/>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389890</wp:posOffset>
            </wp:positionV>
            <wp:extent cx="5382895"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5382895" cy="13335"/>
                    </a:xfrm>
                    <a:prstGeom prst="rect">
                      <a:avLst/>
                    </a:prstGeom>
                    <a:noFill/>
                  </pic:spPr>
                </pic:pic>
              </a:graphicData>
            </a:graphic>
          </wp:anchor>
        </w:drawing>
      </w:r>
    </w:p>
    <w:p>
      <w:pPr>
        <w:sectPr>
          <w:pgSz w:w="11900" w:h="16838" w:orient="portrait"/>
          <w:cols w:equalWidth="0" w:num="1">
            <w:col w:w="10159"/>
          </w:cols>
          <w:pgMar w:left="300" w:top="382" w:right="1440" w:bottom="1440" w:gutter="0" w:footer="0" w:header="0"/>
          <w:type w:val="continuous"/>
        </w:sectPr>
      </w:pPr>
    </w:p>
    <w:bookmarkStart w:id="116" w:name="page117"/>
    <w:bookmarkEnd w:id="116"/>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DIGITAL REALTY TRUST, INC.</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504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20"/>
              <w:spacing w:after="0" w:line="16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13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64"/>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ind w:left="160"/>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0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9"/>
                <w:szCs w:val="9"/>
                <w:color w:val="auto"/>
              </w:rPr>
            </w:pPr>
          </w:p>
        </w:tc>
        <w:tc>
          <w:tcPr>
            <w:tcW w:w="900" w:type="dxa"/>
            <w:vAlign w:val="bottom"/>
            <w:shd w:val="clear" w:color="auto" w:fill="9ADAF6"/>
          </w:tcPr>
          <w:p>
            <w:pPr>
              <w:jc w:val="right"/>
              <w:spacing w:after="0" w:line="114" w:lineRule="exact"/>
              <w:rPr>
                <w:sz w:val="20"/>
                <w:szCs w:val="20"/>
                <w:color w:val="auto"/>
              </w:rPr>
            </w:pPr>
            <w:r>
              <w:rPr>
                <w:rFonts w:ascii="Arial" w:cs="Arial" w:eastAsia="Arial" w:hAnsi="Arial"/>
                <w:sz w:val="12"/>
                <w:szCs w:val="12"/>
                <w:b w:val="1"/>
                <w:bCs w:val="1"/>
                <w:color w:val="auto"/>
              </w:rPr>
              <w:t>Registered</w:t>
            </w: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9"/>
                <w:szCs w:val="9"/>
                <w:color w:val="auto"/>
              </w:rPr>
            </w:pPr>
          </w:p>
        </w:tc>
        <w:tc>
          <w:tcPr>
            <w:tcW w:w="13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File</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Unsold</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4"/>
                <w:szCs w:val="14"/>
                <w:color w:val="auto"/>
              </w:rPr>
            </w:pPr>
          </w:p>
        </w:tc>
        <w:tc>
          <w:tcPr>
            <w:tcW w:w="68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4"/>
                <w:szCs w:val="14"/>
                <w:color w:val="auto"/>
              </w:rPr>
            </w:pPr>
          </w:p>
        </w:tc>
        <w:tc>
          <w:tcPr>
            <w:tcW w:w="920" w:type="dxa"/>
            <w:vAlign w:val="bottom"/>
            <w:shd w:val="clear" w:color="auto" w:fill="E7E7E2"/>
          </w:tcPr>
          <w:p>
            <w:pPr>
              <w:jc w:val="center"/>
              <w:spacing w:after="0" w:line="167"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4"/>
                <w:szCs w:val="14"/>
                <w:color w:val="auto"/>
              </w:rPr>
            </w:pPr>
          </w:p>
        </w:tc>
        <w:tc>
          <w:tcPr>
            <w:tcW w:w="9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rPr>
              <w:t>12,310,249</w:t>
            </w:r>
          </w:p>
        </w:tc>
        <w:tc>
          <w:tcPr>
            <w:tcW w:w="20" w:type="dxa"/>
            <w:vAlign w:val="bottom"/>
          </w:tcPr>
          <w:p>
            <w:pPr>
              <w:spacing w:after="0"/>
              <w:rPr>
                <w:sz w:val="14"/>
                <w:szCs w:val="14"/>
                <w:color w:val="auto"/>
              </w:rPr>
            </w:pPr>
          </w:p>
        </w:tc>
        <w:tc>
          <w:tcPr>
            <w:tcW w:w="78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rPr>
              <w:t>$ 185.00</w:t>
            </w:r>
          </w:p>
        </w:tc>
        <w:tc>
          <w:tcPr>
            <w:tcW w:w="20" w:type="dxa"/>
            <w:vAlign w:val="bottom"/>
          </w:tcPr>
          <w:p>
            <w:pPr>
              <w:spacing w:after="0"/>
              <w:rPr>
                <w:sz w:val="14"/>
                <w:szCs w:val="14"/>
                <w:color w:val="auto"/>
              </w:rPr>
            </w:pPr>
          </w:p>
        </w:tc>
        <w:tc>
          <w:tcPr>
            <w:tcW w:w="13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6"/>
              </w:rPr>
              <w:t>$ 314,508.40</w:t>
            </w: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8"/>
              </w:rPr>
              <w:t>2,277,396,065.00</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$ 314,508.40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9"/>
              </w:rPr>
              <w:t>2,277,396,065.00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$ 314,508.40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6" w:lineRule="exact"/>
        <w:rPr>
          <w:sz w:val="20"/>
          <w:szCs w:val="20"/>
          <w:color w:val="auto"/>
        </w:rPr>
      </w:pPr>
    </w:p>
    <w:p>
      <w:pPr>
        <w:jc w:val="both"/>
        <w:ind w:left="220" w:right="140" w:hanging="186"/>
        <w:spacing w:after="0" w:line="224" w:lineRule="auto"/>
        <w:tabs>
          <w:tab w:leader="none" w:pos="220" w:val="left"/>
        </w:tabs>
        <w:numPr>
          <w:ilvl w:val="0"/>
          <w:numId w:val="80"/>
        </w:numPr>
        <w:rPr>
          <w:rFonts w:ascii="Arial" w:cs="Arial" w:eastAsia="Arial" w:hAnsi="Arial"/>
          <w:sz w:val="21"/>
          <w:szCs w:val="21"/>
          <w:color w:val="auto"/>
          <w:vertAlign w:val="superscript"/>
        </w:rPr>
      </w:pPr>
      <w:r>
        <w:rPr>
          <w:rFonts w:ascii="Arial" w:cs="Arial" w:eastAsia="Arial" w:hAnsi="Arial"/>
          <w:sz w:val="17"/>
          <w:szCs w:val="17"/>
          <w:color w:val="auto"/>
        </w:rPr>
        <w:t>The registration fee is calculated in accordance with Rule 457(r) under the Securities Act of 1933, as amended (the "Securities Act"). This "Calculation of Registration Fee" table shall be deemed to update the "Calculation of Registration Fee" table in the registrant's Registration Statement on Form S-3 (Nos. 333-293494), in accordance with Rules 456(b) and 457(r)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494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56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97"/>
              <w:spacing w:after="0" w:line="18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ind w:right="20"/>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9ADAF6"/>
            </w:tcBorders>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8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80" w:type="dxa"/>
            <w:vAlign w:val="bottom"/>
            <w:tcBorders>
              <w:right w:val="single" w:sz="8" w:color="9ADAF6"/>
            </w:tcBorders>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6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right w:val="single" w:sz="8" w:color="9ADAF6"/>
            </w:tcBorders>
            <w:gridSpan w:val="4"/>
            <w:shd w:val="clear" w:color="auto" w:fill="9ADAF6"/>
          </w:tcPr>
          <w:p>
            <w:pPr>
              <w:ind w:left="380"/>
              <w:spacing w:after="0" w:line="193" w:lineRule="exact"/>
              <w:rPr>
                <w:sz w:val="20"/>
                <w:szCs w:val="20"/>
                <w:color w:val="auto"/>
              </w:rPr>
            </w:pPr>
            <w:r>
              <w:rPr>
                <w:rFonts w:ascii="Arial" w:cs="Arial" w:eastAsia="Arial" w:hAnsi="Arial"/>
                <w:sz w:val="17"/>
                <w:szCs w:val="17"/>
                <w:b w:val="1"/>
                <w:bCs w:val="1"/>
                <w:color w:val="auto"/>
                <w:w w:val="98"/>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400"/>
              <w:spacing w:after="0" w:line="187"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restart"/>
            <w:shd w:val="clear" w:color="auto" w:fill="9ADAF6"/>
          </w:tcPr>
          <w:p>
            <w:pPr>
              <w:jc w:val="center"/>
              <w:ind w:right="220"/>
              <w:spacing w:after="0" w:line="187"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w w:val="89"/>
              </w:rPr>
              <w:t>Security Type</w:t>
            </w: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gridSpan w:val="5"/>
            <w:vMerge w:val="restart"/>
            <w:shd w:val="clear" w:color="auto" w:fill="9ADAF6"/>
          </w:tcPr>
          <w:p>
            <w:pPr>
              <w:ind w:left="6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continue"/>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gridSpan w:val="5"/>
            <w:vMerge w:val="continue"/>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w w:val="97"/>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8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20" w:type="dxa"/>
            <w:vAlign w:val="bottom"/>
            <w:gridSpan w:val="3"/>
            <w:vMerge w:val="restart"/>
            <w:shd w:val="clear" w:color="auto" w:fill="9ADAF6"/>
          </w:tcPr>
          <w:p>
            <w:pPr>
              <w:jc w:val="center"/>
              <w:ind w:right="22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right w:val="single" w:sz="8" w:color="9ADAF6"/>
            </w:tcBorders>
            <w:gridSpan w:val="4"/>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Narrative Disclosure</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maximum aggregate offering price of the securities to which the prospectus relates is $2,277,396,065.00. The prospectus is a final prospectus for</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360"/>
      </w:cols>
      <w:pgMar w:left="300" w:top="141" w:right="239" w:bottom="7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1)"/>
      <w:numFmt w:val="decimal"/>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1)"/>
      <w:numFmt w:val="decimal"/>
      <w:start w:val="1"/>
    </w:lvl>
  </w:abstractNum>
  <w:abstractNum w:abstractNumId="8">
    <w:nsid w:val="2CD89A32"/>
    <w:multiLevelType w:val="hybridMultilevel"/>
    <w:lvl w:ilvl="0">
      <w:lvlJc w:val="left"/>
      <w:lvlText w:val="(%1)"/>
      <w:numFmt w:val="decimal"/>
      <w:start w:val="1"/>
    </w:lvl>
  </w:abstractNum>
  <w:abstractNum w:abstractNumId="9">
    <w:nsid w:val="57E4CCAF"/>
    <w:multiLevelType w:val="hybridMultilevel"/>
    <w:lvl w:ilvl="0">
      <w:lvlJc w:val="left"/>
      <w:lvlText w:val="(%1)"/>
      <w:numFmt w:val="decimal"/>
      <w:start w:val="3"/>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1)"/>
      <w:numFmt w:val="lowerLetter"/>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1)"/>
      <w:numFmt w:val="lowerRoman"/>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48">
    <w:nsid w:val="5FF87E05"/>
    <w:multiLevelType w:val="hybridMultilevel"/>
    <w:lvl w:ilvl="0">
      <w:lvlJc w:val="left"/>
      <w:lvlText w:val="(%1)"/>
      <w:numFmt w:val="upperLetter"/>
      <w:start w:val="2"/>
    </w:lvl>
    <w:lvl w:ilvl="1">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lvl w:ilvl="1">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1)"/>
      <w:numFmt w:val="lowerRoman"/>
      <w:start w:val="2"/>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1)"/>
      <w:numFmt w:val="decimal"/>
      <w:start w:val="3"/>
    </w:lvl>
  </w:abstractNum>
  <w:abstractNum w:abstractNumId="78">
    <w:nsid w:val="3B0FD379"/>
    <w:multiLevelType w:val="hybridMultilevel"/>
    <w:lvl w:ilvl="0">
      <w:lvlJc w:val="left"/>
      <w:lvlText w:val="(%1)"/>
      <w:numFmt w:val="lowerRoman"/>
      <w:start w:val="3"/>
    </w:lvl>
  </w:abstractNum>
  <w:abstractNum w:abstractNumId="79">
    <w:nsid w:val="68EB2F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jpe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43" Type="http://schemas.openxmlformats.org/officeDocument/2006/relationships/hyperlink" Target="http://www.sec.gov/ix?doc=/Archives/edgar/data/1297996/000110465926015365/dlr-20251231x10k.htm" TargetMode="External"/><Relationship Id="rId44" Type="http://schemas.openxmlformats.org/officeDocument/2006/relationships/hyperlink" Target="http://www.sec.gov/ix?doc=/Archives/edgar/data/0001297996/000130817926000296/dlr015307-def14a.htm" TargetMode="External"/><Relationship Id="rId45" Type="http://schemas.openxmlformats.org/officeDocument/2006/relationships/hyperlink" Target="http://www.sec.gov/ix?doc=/Archives/edgar/data/0001297996/000110465926054255/dlr-20260331x10q.htm" TargetMode="External"/><Relationship Id="rId46" Type="http://schemas.openxmlformats.org/officeDocument/2006/relationships/hyperlink" Target="http://www.sec.gov/ix?doc=/Archives/edgar/data/0001297996/000119312526053164/d112316d8k.htm" TargetMode="External"/><Relationship Id="rId47" Type="http://schemas.openxmlformats.org/officeDocument/2006/relationships/hyperlink" Target="http://www.sec.gov/ix?doc=/Archives/edgar/data/0001297996/000119312526202581/d140571d8k.htm" TargetMode="External"/><Relationship Id="rId48" Type="http://schemas.openxmlformats.org/officeDocument/2006/relationships/hyperlink" Target="http://www.sec.gov/ix?doc=/Archives/edgar/data/0001297996/000119312526276844/d50837d8k.htm" TargetMode="External"/><Relationship Id="rId49" Type="http://schemas.openxmlformats.org/officeDocument/2006/relationships/hyperlink" Target="http://www.sec.gov/ix?doc=/Archives/edgar/data/0001297996/000110465926068907/dlr-20260529x8k.htm" TargetMode="External"/><Relationship Id="rId50" Type="http://schemas.openxmlformats.org/officeDocument/2006/relationships/hyperlink" Target="http://www.sec.gov/Archives/edgar/data/1297996/000119312504179636/d8a12b.htm" TargetMode="External"/><Relationship Id="rId61" Type="http://schemas.openxmlformats.org/officeDocument/2006/relationships/hyperlink" Target="http://www.sec.gov/Archives/edgar/data/1297996/000110465926015365/dlr-20251231x10k.htm" TargetMode="External"/><Relationship Id="rId62" Type="http://schemas.openxmlformats.org/officeDocument/2006/relationships/hyperlink" Target="http://www.sec.gov/Archives/edgar/data/1297996/000130817925000509/dlr000000-def14a.htm" TargetMode="External"/><Relationship Id="rId63" Type="http://schemas.openxmlformats.org/officeDocument/2006/relationships/hyperlink" Target="http://www.sec.gov/Archives/edgar/data/1297996/000155837025001424/dlr-20241231x10k.htm" TargetMode="External"/><Relationship Id="rId64" Type="http://schemas.openxmlformats.org/officeDocument/2006/relationships/hyperlink" Target="http://www.sec.gov/Archives/edgar/data/1297996/000119312517248824/d425847d8a12b.htm" TargetMode="External"/><Relationship Id="rId65" Type="http://schemas.openxmlformats.org/officeDocument/2006/relationships/hyperlink" Target="http://www.sec.gov/Archives/edgar/data/1297996/000119312519072090/d721065d8a12b.htm" TargetMode="External"/><Relationship Id="rId66" Type="http://schemas.openxmlformats.org/officeDocument/2006/relationships/hyperlink" Target="http://www.sec.gov/Archives/edgar/data/1297996/000119312519265151/d81096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2026-07-01T05:22:09Z</dcterms:created>
  <dcterms:modified xsi:type="dcterms:W3CDTF">2026-07-01T05:22:09Z</dcterms:modified>
</cp:coreProperties>
</file>