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2"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Registration No. 333-293494</w:t>
      </w:r>
    </w:p>
    <w:p>
      <w:pPr>
        <w:spacing w:after="0" w:line="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 Prospectus dated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2292985</wp:posOffset>
            </wp:positionH>
            <wp:positionV relativeFrom="paragraph">
              <wp:posOffset>62230</wp:posOffset>
            </wp:positionV>
            <wp:extent cx="113474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474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$7,500,000,000</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Digital Realty Trust, Inc.</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2292985</wp:posOffset>
            </wp:positionH>
            <wp:positionV relativeFrom="paragraph">
              <wp:posOffset>191770</wp:posOffset>
            </wp:positionV>
            <wp:extent cx="11347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60" w:right="279"/>
        <w:spacing w:after="0" w:line="276" w:lineRule="auto"/>
        <w:rPr>
          <w:sz w:val="20"/>
          <w:szCs w:val="20"/>
          <w:color w:val="auto"/>
        </w:rPr>
      </w:pPr>
      <w:r>
        <w:rPr>
          <w:rFonts w:ascii="Times New Roman" w:cs="Times New Roman" w:eastAsia="Times New Roman" w:hAnsi="Times New Roman"/>
          <w:sz w:val="12"/>
          <w:szCs w:val="12"/>
          <w:color w:val="auto"/>
        </w:rPr>
        <w:t>We have entered into a sales agreement (as may be amended from time to time, the “sales agreement”) with BofA Securities, Inc., BNP Paribas Securities Corp., BTIG, LLC, Capital One Securities, Inc., Citigroup Global Markets Inc., Deutsche Bank Securities Inc., Huntington Securities, Inc., ING Financial Markets LLC, Jefferies LLC, J.P. Morgan Securities LLC, Mizuho Securities USA LLC, Morgan Stanley &amp; Co. LLC, MUFG Securities Americas Inc., Raymond James &amp; Associates, Inc., RBC Capital Markets, LLC, Santander US Capital Markets LLC, Scotia Capital (USA) Inc., TD Securities (USA) LLC, Truist Securities, Inc., UBS Securities LLC and Wells Fargo Securities, LLC, or collectively, the Agents, and the Forward Sellers and Forward Purchasers (each as defined below), relating to the offer and sale of shares of our common stock, $0.01 par value per share (“common stock”), having an aggregate sales price of up to $7,500,000,000 from time to time under this prospectus supplement and the accompanying prospectus through the Agents, acting as our sales agents, or, if applicable, through the Forward Sellers, acting as agents for the relevant Forward Purchasers, in connection with any forward sale agreements. Upon entry into the sales agreement, we terminated our prior at-the-market program. At the time of such termination, approximately $569.9 million remained unsold under such program.</w:t>
      </w:r>
    </w:p>
    <w:p>
      <w:pPr>
        <w:spacing w:after="0" w:line="140" w:lineRule="exact"/>
        <w:rPr>
          <w:sz w:val="24"/>
          <w:szCs w:val="24"/>
          <w:color w:val="auto"/>
        </w:rPr>
      </w:pPr>
    </w:p>
    <w:p>
      <w:pPr>
        <w:ind w:left="260" w:right="319"/>
        <w:spacing w:after="0" w:line="277" w:lineRule="auto"/>
        <w:rPr>
          <w:sz w:val="20"/>
          <w:szCs w:val="20"/>
          <w:color w:val="auto"/>
        </w:rPr>
      </w:pPr>
      <w:r>
        <w:rPr>
          <w:rFonts w:ascii="Times New Roman" w:cs="Times New Roman" w:eastAsia="Times New Roman" w:hAnsi="Times New Roman"/>
          <w:sz w:val="12"/>
          <w:szCs w:val="12"/>
          <w:color w:val="auto"/>
        </w:rPr>
        <w:t>Sales of the shares, if any, under this prospectus supplement and the accompanying prospectus may be made by means of ordinary brokers’ transactions at market prices, in negotiated transactions or in transactions that are deemed to be “at-the-market” offerings as defined in Rule 415 under the Securities Act of 1933, as amended, including sales made to or through a market maker other than on an exchange, in block transactions or by any other method permitted by law, at prices related to the prevailing market prices or at negotiated prices subject to certain minimum prices. Each of the Agents and the Forward Sellers has agreed to use its commercially reasonable efforts consistent with its normal trading and sales practices to solicit offers to purchase our common stock, under the terms and subject to the conditions set forth in the sales agreement. We may instruct any Agent or Forward Seller, as applicable, not to sell our common stock if the sales cannot be effected at or above the price designated by us in any placement notice. We, or any of the Agents or Forward Sellers, as applicable, may suspend the offering of shares of our common stock at any time upon proper notice and subject to other conditions.</w:t>
      </w:r>
    </w:p>
    <w:p>
      <w:pPr>
        <w:spacing w:after="0" w:line="139" w:lineRule="exact"/>
        <w:rPr>
          <w:sz w:val="24"/>
          <w:szCs w:val="24"/>
          <w:color w:val="auto"/>
        </w:rPr>
      </w:pPr>
    </w:p>
    <w:p>
      <w:pPr>
        <w:ind w:left="260" w:right="379"/>
        <w:spacing w:after="0" w:line="292" w:lineRule="auto"/>
        <w:rPr>
          <w:sz w:val="20"/>
          <w:szCs w:val="20"/>
          <w:color w:val="auto"/>
        </w:rPr>
      </w:pPr>
      <w:r>
        <w:rPr>
          <w:rFonts w:ascii="Times New Roman" w:cs="Times New Roman" w:eastAsia="Times New Roman" w:hAnsi="Times New Roman"/>
          <w:sz w:val="12"/>
          <w:szCs w:val="12"/>
          <w:color w:val="auto"/>
        </w:rPr>
        <w:t>We also may sell shares of common stock to each of the Agents, as principal for its own account, at a price to be agreed upon at the time of sale. If we sell shares of our common stock to any of the Agents, as principal, we will enter into a separate terms agreement with such Agent, and, to the extent required by applicable law, we will describe the terms agreement in a separate prospectus supplement or pricing supplement.</w:t>
      </w:r>
    </w:p>
    <w:p>
      <w:pPr>
        <w:spacing w:after="0" w:line="130" w:lineRule="exact"/>
        <w:rPr>
          <w:sz w:val="24"/>
          <w:szCs w:val="24"/>
          <w:color w:val="auto"/>
        </w:rPr>
      </w:pPr>
    </w:p>
    <w:p>
      <w:pPr>
        <w:ind w:left="260" w:right="299"/>
        <w:spacing w:after="0" w:line="279" w:lineRule="auto"/>
        <w:rPr>
          <w:sz w:val="20"/>
          <w:szCs w:val="20"/>
          <w:color w:val="auto"/>
        </w:rPr>
      </w:pPr>
      <w:r>
        <w:rPr>
          <w:rFonts w:ascii="Times New Roman" w:cs="Times New Roman" w:eastAsia="Times New Roman" w:hAnsi="Times New Roman"/>
          <w:sz w:val="12"/>
          <w:szCs w:val="12"/>
          <w:color w:val="auto"/>
        </w:rPr>
        <w:t>We will pay each of the Agents acting as our sales agent a commission that will not exceed, but may be lower than, 2.0% of the gross sales price per share of shares sold through it as our agent under the sales agreement. The compensation to each Forward Seller will be a mutually agreed commission in the form of a reduction to the initial forward price under the related forward sale agreement that will not exceed, but may be lower than, 2.0% of the gross sales price of the borrowed shares sold through such Forward Seller during the applicable forward hedge selling period for such shares (which gross sales price will be adjusted for daily accruals based on a floating interest rate and specified amounts related to expected dividends on shares of our common stock if an “ex-dividend” date occurs during such forward hedge selling period). See “Plan of Distribution” and “Use of Proceeds” in this prospectus supplement.</w:t>
      </w:r>
    </w:p>
    <w:p>
      <w:pPr>
        <w:spacing w:after="0" w:line="139" w:lineRule="exact"/>
        <w:rPr>
          <w:sz w:val="24"/>
          <w:szCs w:val="24"/>
          <w:color w:val="auto"/>
        </w:rPr>
      </w:pPr>
    </w:p>
    <w:p>
      <w:pPr>
        <w:ind w:left="260" w:right="359"/>
        <w:spacing w:after="0" w:line="281" w:lineRule="auto"/>
        <w:rPr>
          <w:sz w:val="20"/>
          <w:szCs w:val="20"/>
          <w:color w:val="auto"/>
        </w:rPr>
      </w:pPr>
      <w:r>
        <w:rPr>
          <w:rFonts w:ascii="Times New Roman" w:cs="Times New Roman" w:eastAsia="Times New Roman" w:hAnsi="Times New Roman"/>
          <w:sz w:val="12"/>
          <w:szCs w:val="12"/>
          <w:color w:val="auto"/>
        </w:rPr>
        <w:t>None of the Agents or Forward Sellers is required to sell any specific number or dollar amount of shares of our common stock but each will use its reasonable efforts, subject to the terms of the sales agreement, to sell the shares offered as instructed by us (with respect to the Agents) and all the shares borrowed by the relevant Forward Purchaser pursuant to the sales agreement (with respect to the Forward Sellers). The offering of our common stock pursuant to the sales agreement will terminate upon the earlier of (1) the sale of all common stock subject to the sales agreement (including shares sold by us to or through the Agents and borrowed shares sold through the Forward Sellers) or (2) termination of the sales agreement.</w:t>
      </w:r>
    </w:p>
    <w:p>
      <w:pPr>
        <w:sectPr>
          <w:pgSz w:w="11900" w:h="16838" w:orient="portrait"/>
          <w:cols w:equalWidth="0" w:num="1">
            <w:col w:w="9019"/>
          </w:cols>
          <w:pgMar w:left="1440" w:top="206" w:right="1440" w:bottom="1440" w:gutter="0" w:footer="0" w:header="0"/>
        </w:sectPr>
      </w:pPr>
    </w:p>
    <w:bookmarkStart w:id="1" w:name="page2"/>
    <w:bookmarkEnd w:id="1"/>
    <w:p>
      <w:pPr>
        <w:ind w:left="260" w:right="279"/>
        <w:spacing w:after="0" w:line="27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sales agreement contemplates that, in addition to the issuance and sale by us of shares of our common stock to or through the Agents as our sales agents, we may enter into separate forward sale agreements (each, together with any related pricing supplement, a “forward sale agreement” and, collectively, the “forward sale agreements”), with any of Bank of America, N.A., BNP PARIBAS, Citibank, N.A., Deutsche Bank AG, London Branch, Huntington Securities, Inc., Jefferies LLC, JPMorgan Chase Bank, National Association, New York Branch, Mizuho Markets Americas LLC, Morgan Stanley &amp; Co. LLC, MUFG Securities EMEA plc, Nomura Global Financial Products, Inc., Royal Bank of Canada, Banco Santander, S.A., The Bank of Nova Scotia, The Toronto-Dominion Bank, Truist Bank, UBS AG, London Branch and Wells Fargo Bank, National Association, or one of their respective affiliates (in such capacity, each, a “Forward Purchaser” and, collectively, the “Forward Purchasers”). If we enter into a forward sale agreement with any Forward Purchaser, we expect that such Forward Purchaser, acting in accordance with the mutually accepted instructions related to such forward sale agreement, will attempt to borrow and sell, through its relevant Forward Seller, shares of our common stock to hedge such Forward Purchaser’s exposure under such forward sale agreement. We refer to an Agent, when acting as sales agent for the relevant Forward Purchaser, as, individually, a “Forward Seller” and, collectively, the “Forward Sellers”, except that with respect to Nomura Global Financial Products, Inc., the relevant Forward Seller is Nomura Securities International, Inc. (acting through BTIG, LLC as agent). Each Forward Purchaser will be either one of the relevant Agents named in the first sentence of this paragraph or an affiliate of one of those Agents (except with respect to Nomura Global Financial Products, Inc. in its capacity as Forward Purchaser) and,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(except with respect to BTIG, LLC, in which case the relevant Forward Purchaser is Nomura Global Financial Products, Inc. and the relevant Forward Seller is Nomura Securities International, Inc. (acting through BTIG, LLC, as its agent)). We will not initially receive any proceeds from any sale of shares of our common stock borrowed by a Forward Purchaser and sold through a Forward Seller.</w:t>
      </w:r>
    </w:p>
    <w:p>
      <w:pPr>
        <w:spacing w:after="0" w:line="304" w:lineRule="exact"/>
        <w:rPr>
          <w:sz w:val="20"/>
          <w:szCs w:val="20"/>
          <w:color w:val="auto"/>
        </w:rPr>
      </w:pPr>
    </w:p>
    <w:p>
      <w:pPr>
        <w:ind w:left="260" w:right="299"/>
        <w:spacing w:after="0" w:line="285" w:lineRule="auto"/>
        <w:rPr>
          <w:sz w:val="20"/>
          <w:szCs w:val="20"/>
          <w:color w:val="auto"/>
        </w:rPr>
      </w:pPr>
      <w:r>
        <w:rPr>
          <w:rFonts w:ascii="Times New Roman" w:cs="Times New Roman" w:eastAsia="Times New Roman" w:hAnsi="Times New Roman"/>
          <w:sz w:val="12"/>
          <w:szCs w:val="12"/>
          <w:color w:val="auto"/>
        </w:rPr>
        <w:t>We currently expect to fully physically settle each forward sale agreement, if any, with the relevant Forward Purchaser on one or more dates specified by us on or prior to the maturity date of such forward sale agreement. If we elect to cash settle any forward sale agreement, we may not receive any proceeds and we may owe cash to the relevant Forward Purchaser. If we elect to net share settle any forward sale agreement, we will not receive any proceeds, and we may owe shares of our common stock to the relevant Forward Purchaser. See “Plan of Distribution”.</w:t>
      </w:r>
    </w:p>
    <w:p>
      <w:pPr>
        <w:spacing w:after="0" w:line="134" w:lineRule="exact"/>
        <w:rPr>
          <w:sz w:val="20"/>
          <w:szCs w:val="20"/>
          <w:color w:val="auto"/>
        </w:rPr>
      </w:pPr>
    </w:p>
    <w:p>
      <w:pPr>
        <w:ind w:left="260" w:right="679"/>
        <w:spacing w:after="0" w:line="314" w:lineRule="auto"/>
        <w:rPr>
          <w:sz w:val="20"/>
          <w:szCs w:val="20"/>
          <w:color w:val="auto"/>
        </w:rPr>
      </w:pPr>
      <w:r>
        <w:rPr>
          <w:rFonts w:ascii="Times New Roman" w:cs="Times New Roman" w:eastAsia="Times New Roman" w:hAnsi="Times New Roman"/>
          <w:sz w:val="12"/>
          <w:szCs w:val="12"/>
          <w:color w:val="auto"/>
        </w:rPr>
        <w:t>Our common stock is listed on the New York Stock Exchange under the symbol “DLR”. The last reported sale price of our common stock on the New York Stock Exchange on May 1, 2026 was $200.70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146685</wp:posOffset>
            </wp:positionV>
            <wp:extent cx="11347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63" w:lineRule="exact"/>
        <w:rPr>
          <w:sz w:val="20"/>
          <w:szCs w:val="20"/>
          <w:color w:val="auto"/>
        </w:rPr>
      </w:pPr>
    </w:p>
    <w:p>
      <w:pPr>
        <w:ind w:left="260" w:right="379"/>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S-5 of this prospectus supplement and the matters discussed in the documents incorporated by reference in this prospectus supplement and the accompanying prospectus.</w:t>
      </w:r>
    </w:p>
    <w:p>
      <w:pPr>
        <w:spacing w:after="0" w:line="139" w:lineRule="exact"/>
        <w:rPr>
          <w:sz w:val="20"/>
          <w:szCs w:val="20"/>
          <w:color w:val="auto"/>
        </w:rPr>
      </w:pPr>
    </w:p>
    <w:p>
      <w:pPr>
        <w:ind w:left="260" w:right="27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nor any other regulatory body has approved or disapproved of these securities or passed on the adequacy or accuracy of this prospectus supplement and the prospectus to which it relates. Any representation to the contrary is a criminal offense.</w:t>
      </w:r>
    </w:p>
    <w:p>
      <w:pPr>
        <w:spacing w:after="0" w:line="140" w:lineRule="exact"/>
        <w:rPr>
          <w:sz w:val="20"/>
          <w:szCs w:val="20"/>
          <w:color w:val="auto"/>
        </w:rPr>
      </w:pPr>
    </w:p>
    <w:p>
      <w:pPr>
        <w:ind w:left="260" w:right="439"/>
        <w:spacing w:after="0" w:line="314" w:lineRule="auto"/>
        <w:rPr>
          <w:sz w:val="20"/>
          <w:szCs w:val="20"/>
          <w:color w:val="auto"/>
        </w:rPr>
      </w:pPr>
      <w:r>
        <w:rPr>
          <w:rFonts w:ascii="Times New Roman" w:cs="Times New Roman" w:eastAsia="Times New Roman" w:hAnsi="Times New Roman"/>
          <w:sz w:val="12"/>
          <w:szCs w:val="12"/>
          <w:color w:val="auto"/>
        </w:rPr>
        <w:t>Our common stock is subject to certain restrictions on ownership and transfer, which are intended to assist us in preserving our qualification as a real estate investment trust, or REIT, for U.S. federal income tax purposes. See “Restrictions on Ownership and Transfer” in the accompanying prospectus.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1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BofA Securities</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w w:val="97"/>
              </w:rPr>
              <w:t>BNP PARIBAS</w:t>
            </w:r>
          </w:p>
        </w:tc>
        <w:tc>
          <w:tcPr>
            <w:tcW w:w="198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8"/>
              </w:rPr>
              <w:t>BTIG</w:t>
            </w:r>
          </w:p>
        </w:tc>
      </w:tr>
      <w:tr>
        <w:trPr>
          <w:trHeight w:val="187"/>
        </w:trPr>
        <w:tc>
          <w:tcPr>
            <w:tcW w:w="2120" w:type="dxa"/>
            <w:vAlign w:val="bottom"/>
          </w:tcPr>
          <w:p>
            <w:pPr>
              <w:jc w:val="center"/>
              <w:ind w:right="37"/>
              <w:spacing w:after="0" w:line="187" w:lineRule="exact"/>
              <w:rPr>
                <w:sz w:val="20"/>
                <w:szCs w:val="20"/>
                <w:color w:val="auto"/>
              </w:rPr>
            </w:pPr>
            <w:r>
              <w:rPr>
                <w:rFonts w:ascii="Times New Roman" w:cs="Times New Roman" w:eastAsia="Times New Roman" w:hAnsi="Times New Roman"/>
                <w:sz w:val="17"/>
                <w:szCs w:val="17"/>
                <w:b w:val="1"/>
                <w:bCs w:val="1"/>
                <w:color w:val="auto"/>
                <w:w w:val="97"/>
              </w:rPr>
              <w:t>Capital One Securities</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line="187" w:lineRule="exact"/>
              <w:rPr>
                <w:sz w:val="20"/>
                <w:szCs w:val="20"/>
                <w:color w:val="auto"/>
              </w:rPr>
            </w:pPr>
            <w:r>
              <w:rPr>
                <w:rFonts w:ascii="Times New Roman" w:cs="Times New Roman" w:eastAsia="Times New Roman" w:hAnsi="Times New Roman"/>
                <w:sz w:val="17"/>
                <w:szCs w:val="17"/>
                <w:b w:val="1"/>
                <w:bCs w:val="1"/>
                <w:color w:val="auto"/>
                <w:w w:val="98"/>
              </w:rPr>
              <w:t>Citigroup</w:t>
            </w:r>
          </w:p>
        </w:tc>
        <w:tc>
          <w:tcPr>
            <w:tcW w:w="1980" w:type="dxa"/>
            <w:vAlign w:val="bottom"/>
          </w:tcPr>
          <w:p>
            <w:pPr>
              <w:jc w:val="center"/>
              <w:ind w:left="97"/>
              <w:spacing w:after="0" w:line="187" w:lineRule="exact"/>
              <w:rPr>
                <w:sz w:val="20"/>
                <w:szCs w:val="20"/>
                <w:color w:val="auto"/>
              </w:rPr>
            </w:pPr>
            <w:r>
              <w:rPr>
                <w:rFonts w:ascii="Times New Roman" w:cs="Times New Roman" w:eastAsia="Times New Roman" w:hAnsi="Times New Roman"/>
                <w:sz w:val="17"/>
                <w:szCs w:val="17"/>
                <w:b w:val="1"/>
                <w:bCs w:val="1"/>
                <w:color w:val="auto"/>
                <w:w w:val="97"/>
              </w:rPr>
              <w:t>Deutsche Bank Securities</w:t>
            </w:r>
          </w:p>
        </w:tc>
      </w:tr>
      <w:tr>
        <w:trPr>
          <w:trHeight w:val="187"/>
        </w:trPr>
        <w:tc>
          <w:tcPr>
            <w:tcW w:w="2120" w:type="dxa"/>
            <w:vAlign w:val="bottom"/>
          </w:tcPr>
          <w:p>
            <w:pPr>
              <w:jc w:val="center"/>
              <w:ind w:right="17"/>
              <w:spacing w:after="0" w:line="187" w:lineRule="exact"/>
              <w:rPr>
                <w:sz w:val="20"/>
                <w:szCs w:val="20"/>
                <w:color w:val="auto"/>
              </w:rPr>
            </w:pPr>
            <w:r>
              <w:rPr>
                <w:rFonts w:ascii="Times New Roman" w:cs="Times New Roman" w:eastAsia="Times New Roman" w:hAnsi="Times New Roman"/>
                <w:sz w:val="17"/>
                <w:szCs w:val="17"/>
                <w:b w:val="1"/>
                <w:bCs w:val="1"/>
                <w:color w:val="auto"/>
                <w:w w:val="97"/>
              </w:rPr>
              <w:t>Huntington Capital Markets</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line="187" w:lineRule="exact"/>
              <w:rPr>
                <w:sz w:val="20"/>
                <w:szCs w:val="20"/>
                <w:color w:val="auto"/>
              </w:rPr>
            </w:pPr>
            <w:r>
              <w:rPr>
                <w:rFonts w:ascii="Times New Roman" w:cs="Times New Roman" w:eastAsia="Times New Roman" w:hAnsi="Times New Roman"/>
                <w:sz w:val="17"/>
                <w:szCs w:val="17"/>
                <w:b w:val="1"/>
                <w:bCs w:val="1"/>
                <w:color w:val="auto"/>
                <w:w w:val="93"/>
              </w:rPr>
              <w:t>ING</w:t>
            </w:r>
          </w:p>
        </w:tc>
        <w:tc>
          <w:tcPr>
            <w:tcW w:w="1980" w:type="dxa"/>
            <w:vAlign w:val="bottom"/>
          </w:tcPr>
          <w:p>
            <w:pPr>
              <w:jc w:val="center"/>
              <w:ind w:left="97"/>
              <w:spacing w:after="0" w:line="187" w:lineRule="exact"/>
              <w:rPr>
                <w:sz w:val="20"/>
                <w:szCs w:val="20"/>
                <w:color w:val="auto"/>
              </w:rPr>
            </w:pPr>
            <w:r>
              <w:rPr>
                <w:rFonts w:ascii="Times New Roman" w:cs="Times New Roman" w:eastAsia="Times New Roman" w:hAnsi="Times New Roman"/>
                <w:sz w:val="17"/>
                <w:szCs w:val="17"/>
                <w:b w:val="1"/>
                <w:bCs w:val="1"/>
                <w:color w:val="auto"/>
                <w:w w:val="97"/>
              </w:rPr>
              <w:t>Jefferies</w:t>
            </w:r>
          </w:p>
        </w:tc>
      </w:tr>
      <w:tr>
        <w:trPr>
          <w:trHeight w:val="187"/>
        </w:trPr>
        <w:tc>
          <w:tcPr>
            <w:tcW w:w="2120" w:type="dxa"/>
            <w:vAlign w:val="bottom"/>
          </w:tcPr>
          <w:p>
            <w:pPr>
              <w:jc w:val="center"/>
              <w:ind w:right="17"/>
              <w:spacing w:after="0" w:line="187" w:lineRule="exact"/>
              <w:rPr>
                <w:sz w:val="20"/>
                <w:szCs w:val="20"/>
                <w:color w:val="auto"/>
              </w:rPr>
            </w:pPr>
            <w:r>
              <w:rPr>
                <w:rFonts w:ascii="Times New Roman" w:cs="Times New Roman" w:eastAsia="Times New Roman" w:hAnsi="Times New Roman"/>
                <w:sz w:val="17"/>
                <w:szCs w:val="17"/>
                <w:b w:val="1"/>
                <w:bCs w:val="1"/>
                <w:color w:val="auto"/>
                <w:w w:val="95"/>
              </w:rPr>
              <w:t>J.P. Morgan</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line="187" w:lineRule="exact"/>
              <w:rPr>
                <w:sz w:val="20"/>
                <w:szCs w:val="20"/>
                <w:color w:val="auto"/>
              </w:rPr>
            </w:pPr>
            <w:r>
              <w:rPr>
                <w:rFonts w:ascii="Times New Roman" w:cs="Times New Roman" w:eastAsia="Times New Roman" w:hAnsi="Times New Roman"/>
                <w:sz w:val="17"/>
                <w:szCs w:val="17"/>
                <w:b w:val="1"/>
                <w:bCs w:val="1"/>
                <w:color w:val="auto"/>
                <w:w w:val="96"/>
              </w:rPr>
              <w:t>Mizuho</w:t>
            </w:r>
          </w:p>
        </w:tc>
        <w:tc>
          <w:tcPr>
            <w:tcW w:w="1980" w:type="dxa"/>
            <w:vAlign w:val="bottom"/>
          </w:tcPr>
          <w:p>
            <w:pPr>
              <w:jc w:val="center"/>
              <w:ind w:left="117"/>
              <w:spacing w:after="0" w:line="187" w:lineRule="exact"/>
              <w:rPr>
                <w:sz w:val="20"/>
                <w:szCs w:val="20"/>
                <w:color w:val="auto"/>
              </w:rPr>
            </w:pPr>
            <w:r>
              <w:rPr>
                <w:rFonts w:ascii="Times New Roman" w:cs="Times New Roman" w:eastAsia="Times New Roman" w:hAnsi="Times New Roman"/>
                <w:sz w:val="17"/>
                <w:szCs w:val="17"/>
                <w:b w:val="1"/>
                <w:bCs w:val="1"/>
                <w:color w:val="auto"/>
                <w:w w:val="97"/>
              </w:rPr>
              <w:t>Morgan Stanley</w:t>
            </w:r>
          </w:p>
        </w:tc>
      </w:tr>
      <w:tr>
        <w:trPr>
          <w:trHeight w:val="187"/>
        </w:trPr>
        <w:tc>
          <w:tcPr>
            <w:tcW w:w="2120" w:type="dxa"/>
            <w:vAlign w:val="bottom"/>
          </w:tcPr>
          <w:p>
            <w:pPr>
              <w:jc w:val="center"/>
              <w:ind w:right="17"/>
              <w:spacing w:after="0" w:line="187" w:lineRule="exact"/>
              <w:rPr>
                <w:sz w:val="20"/>
                <w:szCs w:val="20"/>
                <w:color w:val="auto"/>
              </w:rPr>
            </w:pPr>
            <w:r>
              <w:rPr>
                <w:rFonts w:ascii="Times New Roman" w:cs="Times New Roman" w:eastAsia="Times New Roman" w:hAnsi="Times New Roman"/>
                <w:sz w:val="17"/>
                <w:szCs w:val="17"/>
                <w:b w:val="1"/>
                <w:bCs w:val="1"/>
                <w:color w:val="auto"/>
                <w:w w:val="96"/>
              </w:rPr>
              <w:t>MUFG</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line="187" w:lineRule="exact"/>
              <w:rPr>
                <w:sz w:val="20"/>
                <w:szCs w:val="20"/>
                <w:color w:val="auto"/>
              </w:rPr>
            </w:pPr>
            <w:r>
              <w:rPr>
                <w:rFonts w:ascii="Times New Roman" w:cs="Times New Roman" w:eastAsia="Times New Roman" w:hAnsi="Times New Roman"/>
                <w:sz w:val="17"/>
                <w:szCs w:val="17"/>
                <w:b w:val="1"/>
                <w:bCs w:val="1"/>
                <w:color w:val="auto"/>
                <w:w w:val="97"/>
              </w:rPr>
              <w:t>Raymond James</w:t>
            </w:r>
          </w:p>
        </w:tc>
        <w:tc>
          <w:tcPr>
            <w:tcW w:w="1980" w:type="dxa"/>
            <w:vAlign w:val="bottom"/>
          </w:tcPr>
          <w:p>
            <w:pPr>
              <w:jc w:val="center"/>
              <w:ind w:left="97"/>
              <w:spacing w:after="0" w:line="187" w:lineRule="exact"/>
              <w:rPr>
                <w:sz w:val="20"/>
                <w:szCs w:val="20"/>
                <w:color w:val="auto"/>
              </w:rPr>
            </w:pPr>
            <w:r>
              <w:rPr>
                <w:rFonts w:ascii="Times New Roman" w:cs="Times New Roman" w:eastAsia="Times New Roman" w:hAnsi="Times New Roman"/>
                <w:sz w:val="17"/>
                <w:szCs w:val="17"/>
                <w:b w:val="1"/>
                <w:bCs w:val="1"/>
                <w:color w:val="auto"/>
                <w:w w:val="97"/>
              </w:rPr>
              <w:t>RBC Capital Markets</w:t>
            </w:r>
          </w:p>
        </w:tc>
      </w:tr>
      <w:tr>
        <w:trPr>
          <w:trHeight w:val="187"/>
        </w:trPr>
        <w:tc>
          <w:tcPr>
            <w:tcW w:w="2120" w:type="dxa"/>
            <w:vAlign w:val="bottom"/>
          </w:tcPr>
          <w:p>
            <w:pPr>
              <w:jc w:val="center"/>
              <w:ind w:right="17"/>
              <w:spacing w:after="0" w:line="187" w:lineRule="exact"/>
              <w:rPr>
                <w:sz w:val="20"/>
                <w:szCs w:val="20"/>
                <w:color w:val="auto"/>
              </w:rPr>
            </w:pPr>
            <w:r>
              <w:rPr>
                <w:rFonts w:ascii="Times New Roman" w:cs="Times New Roman" w:eastAsia="Times New Roman" w:hAnsi="Times New Roman"/>
                <w:sz w:val="17"/>
                <w:szCs w:val="17"/>
                <w:b w:val="1"/>
                <w:bCs w:val="1"/>
                <w:color w:val="auto"/>
                <w:w w:val="97"/>
              </w:rPr>
              <w:t>Santander</w:t>
            </w:r>
          </w:p>
        </w:tc>
        <w:tc>
          <w:tcPr>
            <w:tcW w:w="840" w:type="dxa"/>
            <w:vAlign w:val="bottom"/>
          </w:tcPr>
          <w:p>
            <w:pPr>
              <w:spacing w:after="0"/>
              <w:rPr>
                <w:sz w:val="16"/>
                <w:szCs w:val="16"/>
                <w:color w:val="auto"/>
              </w:rPr>
            </w:pPr>
          </w:p>
        </w:tc>
        <w:tc>
          <w:tcPr>
            <w:tcW w:w="2680" w:type="dxa"/>
            <w:vAlign w:val="bottom"/>
            <w:gridSpan w:val="2"/>
          </w:tcPr>
          <w:p>
            <w:pPr>
              <w:jc w:val="center"/>
              <w:ind w:right="820"/>
              <w:spacing w:after="0" w:line="187" w:lineRule="exact"/>
              <w:rPr>
                <w:sz w:val="20"/>
                <w:szCs w:val="20"/>
                <w:color w:val="auto"/>
              </w:rPr>
            </w:pPr>
            <w:r>
              <w:rPr>
                <w:rFonts w:ascii="Times New Roman" w:cs="Times New Roman" w:eastAsia="Times New Roman" w:hAnsi="Times New Roman"/>
                <w:sz w:val="17"/>
                <w:szCs w:val="17"/>
                <w:b w:val="1"/>
                <w:bCs w:val="1"/>
                <w:color w:val="auto"/>
                <w:w w:val="95"/>
              </w:rPr>
              <w:t>Scotiabank</w:t>
            </w:r>
          </w:p>
        </w:tc>
        <w:tc>
          <w:tcPr>
            <w:tcW w:w="1980" w:type="dxa"/>
            <w:vAlign w:val="bottom"/>
          </w:tcPr>
          <w:p>
            <w:pPr>
              <w:jc w:val="center"/>
              <w:ind w:left="97"/>
              <w:spacing w:after="0" w:line="187" w:lineRule="exact"/>
              <w:rPr>
                <w:sz w:val="20"/>
                <w:szCs w:val="20"/>
                <w:color w:val="auto"/>
              </w:rPr>
            </w:pPr>
            <w:r>
              <w:rPr>
                <w:rFonts w:ascii="Times New Roman" w:cs="Times New Roman" w:eastAsia="Times New Roman" w:hAnsi="Times New Roman"/>
                <w:sz w:val="17"/>
                <w:szCs w:val="17"/>
                <w:b w:val="1"/>
                <w:bCs w:val="1"/>
                <w:color w:val="auto"/>
                <w:w w:val="97"/>
              </w:rPr>
              <w:t>TD Securities</w:t>
            </w:r>
          </w:p>
        </w:tc>
      </w:tr>
      <w:tr>
        <w:trPr>
          <w:trHeight w:val="220"/>
        </w:trPr>
        <w:tc>
          <w:tcPr>
            <w:tcW w:w="21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Truist Securities</w:t>
            </w:r>
          </w:p>
        </w:tc>
        <w:tc>
          <w:tcPr>
            <w:tcW w:w="840" w:type="dxa"/>
            <w:vAlign w:val="bottom"/>
          </w:tcPr>
          <w:p>
            <w:pPr>
              <w:spacing w:after="0"/>
              <w:rPr>
                <w:sz w:val="19"/>
                <w:szCs w:val="19"/>
                <w:color w:val="auto"/>
              </w:rPr>
            </w:pPr>
          </w:p>
        </w:tc>
        <w:tc>
          <w:tcPr>
            <w:tcW w:w="268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w w:val="97"/>
              </w:rPr>
              <w:t>UBS Investment Bank</w:t>
            </w:r>
          </w:p>
        </w:tc>
        <w:tc>
          <w:tcPr>
            <w:tcW w:w="198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6"/>
              </w:rPr>
              <w:t>Wells Fargo Securities</w:t>
            </w:r>
          </w:p>
        </w:tc>
      </w:tr>
      <w:tr>
        <w:trPr>
          <w:trHeight w:val="272"/>
        </w:trPr>
        <w:tc>
          <w:tcPr>
            <w:tcW w:w="2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23"/>
        </w:trPr>
        <w:tc>
          <w:tcPr>
            <w:tcW w:w="2120" w:type="dxa"/>
            <w:vAlign w:val="bottom"/>
          </w:tcPr>
          <w:p>
            <w:pPr>
              <w:spacing w:after="0"/>
              <w:rPr>
                <w:sz w:val="24"/>
                <w:szCs w:val="24"/>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4, 2026.</w:t>
            </w:r>
          </w:p>
        </w:tc>
        <w:tc>
          <w:tcPr>
            <w:tcW w:w="19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3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4"/>
                <w:szCs w:val="14"/>
                <w:color w:val="0000EE"/>
                <w:w w:val="99"/>
              </w:rPr>
              <w:t>About This Prospectus Supplement and the Prospectus</w:t>
            </w:r>
          </w:p>
        </w:tc>
        <w:tc>
          <w:tcPr>
            <w:tcW w:w="3720" w:type="dxa"/>
            <w:vAlign w:val="bottom"/>
            <w:gridSpan w:val="3"/>
          </w:tcPr>
          <w:p>
            <w:pPr>
              <w:spacing w:after="0"/>
              <w:rPr>
                <w:sz w:val="24"/>
                <w:szCs w:val="24"/>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S-iii</w:t>
            </w:r>
          </w:p>
        </w:tc>
        <w:tc>
          <w:tcPr>
            <w:tcW w:w="0" w:type="dxa"/>
            <w:vAlign w:val="bottom"/>
          </w:tcPr>
          <w:p>
            <w:pPr>
              <w:spacing w:after="0"/>
              <w:rPr>
                <w:sz w:val="1"/>
                <w:szCs w:val="1"/>
                <w:color w:val="auto"/>
              </w:rPr>
            </w:pPr>
          </w:p>
        </w:tc>
      </w:tr>
      <w:tr>
        <w:trPr>
          <w:trHeight w:val="146"/>
        </w:trPr>
        <w:tc>
          <w:tcPr>
            <w:tcW w:w="164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8"/>
              </w:rPr>
              <w:t>Forward-Looking Statements</w:t>
            </w:r>
          </w:p>
        </w:tc>
        <w:tc>
          <w:tcPr>
            <w:tcW w:w="5140" w:type="dxa"/>
            <w:vAlign w:val="bottom"/>
            <w:gridSpan w:val="12"/>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S-iv</w:t>
            </w:r>
          </w:p>
        </w:tc>
        <w:tc>
          <w:tcPr>
            <w:tcW w:w="0" w:type="dxa"/>
            <w:vAlign w:val="bottom"/>
          </w:tcPr>
          <w:p>
            <w:pPr>
              <w:spacing w:after="0"/>
              <w:rPr>
                <w:sz w:val="1"/>
                <w:szCs w:val="1"/>
                <w:color w:val="auto"/>
              </w:rPr>
            </w:pPr>
          </w:p>
        </w:tc>
      </w:tr>
      <w:tr>
        <w:trPr>
          <w:trHeight w:val="146"/>
        </w:trPr>
        <w:tc>
          <w:tcPr>
            <w:tcW w:w="1880" w:type="dxa"/>
            <w:vAlign w:val="bottom"/>
            <w:tcBorders>
              <w:bottom w:val="single" w:sz="8" w:color="0000EE"/>
            </w:tcBorders>
            <w:gridSpan w:val="16"/>
          </w:tcPr>
          <w:p>
            <w:pPr>
              <w:spacing w:after="0" w:line="146"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4900" w:type="dxa"/>
            <w:vAlign w:val="bottom"/>
            <w:gridSpan w:val="8"/>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The Offering</w:t>
            </w: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46"/>
        </w:trPr>
        <w:tc>
          <w:tcPr>
            <w:tcW w:w="720" w:type="dxa"/>
            <w:vAlign w:val="bottom"/>
            <w:tcBorders>
              <w:top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9"/>
              </w:rPr>
              <w:t>Risk Factors</w:t>
            </w:r>
          </w:p>
        </w:tc>
        <w:tc>
          <w:tcPr>
            <w:tcW w:w="6060" w:type="dxa"/>
            <w:vAlign w:val="bottom"/>
            <w:gridSpan w:val="21"/>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46"/>
        </w:trPr>
        <w:tc>
          <w:tcPr>
            <w:tcW w:w="780" w:type="dxa"/>
            <w:vAlign w:val="bottom"/>
            <w:tcBorders>
              <w:top w:val="single" w:sz="8" w:color="0000EE"/>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5680" w:type="dxa"/>
            <w:vAlign w:val="bottom"/>
            <w:gridSpan w:val="1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S-23</w:t>
            </w:r>
          </w:p>
        </w:tc>
        <w:tc>
          <w:tcPr>
            <w:tcW w:w="0" w:type="dxa"/>
            <w:vAlign w:val="bottom"/>
          </w:tcPr>
          <w:p>
            <w:pPr>
              <w:spacing w:after="0"/>
              <w:rPr>
                <w:sz w:val="1"/>
                <w:szCs w:val="1"/>
                <w:color w:val="auto"/>
              </w:rPr>
            </w:pPr>
          </w:p>
        </w:tc>
      </w:tr>
      <w:tr>
        <w:trPr>
          <w:trHeight w:val="510"/>
        </w:trPr>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8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4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125"/>
        </w:trPr>
        <w:tc>
          <w:tcPr>
            <w:tcW w:w="6780" w:type="dxa"/>
            <w:vAlign w:val="bottom"/>
            <w:gridSpan w:val="24"/>
            <w:vMerge w:val="continue"/>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00" w:type="dxa"/>
            <w:vAlign w:val="bottom"/>
            <w:tcBorders>
              <w:top w:val="single" w:sz="8" w:color="0000EE"/>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EE"/>
                <w:w w:val="97"/>
              </w:rPr>
              <w:t>Our Company</w:t>
            </w:r>
          </w:p>
        </w:tc>
        <w:tc>
          <w:tcPr>
            <w:tcW w:w="460" w:type="dxa"/>
            <w:vAlign w:val="bottom"/>
            <w:tcBorders>
              <w:top w:val="single" w:sz="8" w:color="0000EE"/>
            </w:tcBorders>
            <w:gridSpan w:val="3"/>
          </w:tcPr>
          <w:p>
            <w:pPr>
              <w:spacing w:after="0"/>
              <w:rPr>
                <w:sz w:val="13"/>
                <w:szCs w:val="13"/>
                <w:color w:val="auto"/>
              </w:rPr>
            </w:pPr>
          </w:p>
        </w:tc>
        <w:tc>
          <w:tcPr>
            <w:tcW w:w="5520" w:type="dxa"/>
            <w:vAlign w:val="bottom"/>
            <w:gridSpan w:val="16"/>
          </w:tcPr>
          <w:p>
            <w:pPr>
              <w:spacing w:after="0"/>
              <w:rPr>
                <w:sz w:val="13"/>
                <w:szCs w:val="13"/>
                <w:color w:val="auto"/>
              </w:rPr>
            </w:pPr>
          </w:p>
        </w:tc>
        <w:tc>
          <w:tcPr>
            <w:tcW w:w="1680" w:type="dxa"/>
            <w:vAlign w:val="bottom"/>
            <w:gridSpan w:val="3"/>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2780" w:type="dxa"/>
            <w:vAlign w:val="bottom"/>
            <w:tcBorders>
              <w:top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000" w:type="dxa"/>
            <w:vAlign w:val="bottom"/>
            <w:gridSpan w:val="5"/>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90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20" w:type="dxa"/>
            <w:vAlign w:val="bottom"/>
            <w:tcBorders>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Common Stock</w:t>
            </w:r>
          </w:p>
        </w:tc>
        <w:tc>
          <w:tcPr>
            <w:tcW w:w="5060" w:type="dxa"/>
            <w:vAlign w:val="bottom"/>
            <w:gridSpan w:val="10"/>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30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6"/>
        </w:trPr>
        <w:tc>
          <w:tcPr>
            <w:tcW w:w="1340" w:type="dxa"/>
            <w:vAlign w:val="bottom"/>
            <w:tcBorders>
              <w:top w:val="single" w:sz="8" w:color="0000EE"/>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500" w:type="dxa"/>
            <w:vAlign w:val="bottom"/>
            <w:tcBorders>
              <w:top w:val="single" w:sz="8" w:color="0000EE"/>
            </w:tcBorders>
            <w:gridSpan w:val="5"/>
          </w:tcPr>
          <w:p>
            <w:pPr>
              <w:spacing w:after="0"/>
              <w:rPr>
                <w:sz w:val="12"/>
                <w:szCs w:val="12"/>
                <w:color w:val="auto"/>
              </w:rPr>
            </w:pPr>
          </w:p>
        </w:tc>
        <w:tc>
          <w:tcPr>
            <w:tcW w:w="4940" w:type="dxa"/>
            <w:vAlign w:val="bottom"/>
            <w:gridSpan w:val="9"/>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6"/>
        </w:trPr>
        <w:tc>
          <w:tcPr>
            <w:tcW w:w="3040" w:type="dxa"/>
            <w:vAlign w:val="bottom"/>
            <w:tcBorders>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Debt Securities and Related Guarantees</w:t>
            </w:r>
          </w:p>
        </w:tc>
        <w:tc>
          <w:tcPr>
            <w:tcW w:w="3740" w:type="dxa"/>
            <w:vAlign w:val="bottom"/>
            <w:gridSpan w:val="4"/>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6"/>
        </w:trPr>
        <w:tc>
          <w:tcPr>
            <w:tcW w:w="222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8"/>
              </w:rPr>
              <w:t>Restrictions on Ownership and Transfer</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6"/>
        </w:trPr>
        <w:tc>
          <w:tcPr>
            <w:tcW w:w="390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the Partnership Agreement of Digital Realty Trust, L.P.</w:t>
            </w:r>
          </w:p>
        </w:tc>
        <w:tc>
          <w:tcPr>
            <w:tcW w:w="2880" w:type="dxa"/>
            <w:vAlign w:val="bottom"/>
            <w:gridSpan w:val="2"/>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6"/>
        </w:trPr>
        <w:tc>
          <w:tcPr>
            <w:tcW w:w="2760" w:type="dxa"/>
            <w:vAlign w:val="bottom"/>
            <w:tcBorders>
              <w:top w:val="single" w:sz="8" w:color="0000EE"/>
              <w:bottom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w w:val="98"/>
              </w:rPr>
              <w:t>United States Federal Income Tax Considerations</w:t>
            </w:r>
          </w:p>
        </w:tc>
        <w:tc>
          <w:tcPr>
            <w:tcW w:w="2620" w:type="dxa"/>
            <w:vAlign w:val="bottom"/>
            <w:tcBorders>
              <w:top w:val="single" w:sz="8" w:color="0000EE"/>
            </w:tcBorders>
            <w:gridSpan w:val="5"/>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Selling Securityholders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6"/>
        </w:trPr>
        <w:tc>
          <w:tcPr>
            <w:tcW w:w="1300" w:type="dxa"/>
            <w:vAlign w:val="bottom"/>
            <w:tcBorders>
              <w:top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5480" w:type="dxa"/>
            <w:vAlign w:val="bottom"/>
            <w:gridSpan w:val="15"/>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6"/>
        </w:trPr>
        <w:tc>
          <w:tcPr>
            <w:tcW w:w="780" w:type="dxa"/>
            <w:vAlign w:val="bottom"/>
            <w:tcBorders>
              <w:top w:val="single" w:sz="8" w:color="0000EE"/>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5680" w:type="dxa"/>
            <w:vAlign w:val="bottom"/>
            <w:gridSpan w:val="1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6"/>
        </w:trPr>
        <w:tc>
          <w:tcPr>
            <w:tcW w:w="67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right="399" w:firstLine="339"/>
        <w:spacing w:after="0" w:line="258"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prospectus supplement, the accompanying prospectus or any applicable free writing prospectus in making a decision about whether to invest in our common stock. We have not, and the Agents, Forward Sellers and Forward Purchasers have not, authorized any other person to provide you with different or additional information. If anyone provides you with different or additional information, you should not rely on it.</w:t>
      </w:r>
    </w:p>
    <w:p>
      <w:pPr>
        <w:spacing w:after="0" w:line="139" w:lineRule="exact"/>
        <w:rPr>
          <w:sz w:val="20"/>
          <w:szCs w:val="20"/>
          <w:color w:val="auto"/>
        </w:rPr>
      </w:pPr>
    </w:p>
    <w:p>
      <w:pPr>
        <w:ind w:left="260" w:right="339" w:firstLine="339"/>
        <w:spacing w:after="0" w:line="277" w:lineRule="auto"/>
        <w:rPr>
          <w:sz w:val="20"/>
          <w:szCs w:val="20"/>
          <w:color w:val="auto"/>
        </w:rPr>
      </w:pPr>
      <w:r>
        <w:rPr>
          <w:rFonts w:ascii="Times New Roman" w:cs="Times New Roman" w:eastAsia="Times New Roman" w:hAnsi="Times New Roman"/>
          <w:sz w:val="13"/>
          <w:szCs w:val="13"/>
          <w:b w:val="1"/>
          <w:bCs w:val="1"/>
          <w:color w:val="auto"/>
        </w:rPr>
        <w:t>The distribution of this prospectus supplement and the accompanying prospectus and the offering of the common stock in certain jurisdictions may be restricted by law. If you possess this prospectus supplement and the accompanying prospectus, you should find out about and observe these restrictions. This prospectus supplement and the accompanying prospectus do not constitute an offer to sell, or a solicitation of an offer to purchase, any securities in any jurisdiction where it is unlawful to make such offer or solicitation or where the person making the offer or sale is not qualified to do so or to any person to whom it is not permitted to make such offer or sale. You should assume that the information appearing in this prospectus supplement, the accompanying prospectus, any applicable free writing prospectus and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7" w:right="1440" w:bottom="1440" w:gutter="0" w:footer="0" w:header="0"/>
        </w:sectPr>
      </w:pPr>
    </w:p>
    <w:bookmarkStart w:id="3" w:name="page4"/>
    <w:bookmarkEnd w:id="3"/>
    <w:p>
      <w:pPr>
        <w:ind w:left="260" w:right="579"/>
        <w:spacing w:after="0" w:line="25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documents incorporated by reference herein or therein is accurate only as of their respective dates or on the date or dates which are specified in these documents. Our business, financial condition, liquidity, results of operations and prospects may have changed since those dates. The description set forth in this prospectus supplement replaces and supplements, where inconsistent, the description of the general terms and provisions set forth in the accompanying prospectus.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7"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 SUPPLEMENT AND THE PROSPECTUS</w:t>
      </w:r>
    </w:p>
    <w:p>
      <w:pPr>
        <w:spacing w:after="0" w:line="173"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the offer and sale from time to time of shares of our common stock pursuant to the sales agreement and also adds to, changes and updates information contained in the accompanying prospectus and the documents incorporated by reference into this prospectus supplement and the accompanying prospectus. The second part, the accompanying prospectus, gives more general information about the securities we may offer from time to time, some of which does not apply to the common stock we are offering. 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w:t>
      </w:r>
    </w:p>
    <w:p>
      <w:pPr>
        <w:spacing w:after="0" w:line="144" w:lineRule="exact"/>
        <w:rPr>
          <w:sz w:val="20"/>
          <w:szCs w:val="20"/>
          <w:color w:val="auto"/>
        </w:rPr>
      </w:pPr>
    </w:p>
    <w:p>
      <w:pPr>
        <w:ind w:left="260" w:right="479"/>
        <w:spacing w:after="0" w:line="262" w:lineRule="auto"/>
        <w:rPr>
          <w:sz w:val="20"/>
          <w:szCs w:val="20"/>
          <w:color w:val="auto"/>
        </w:rPr>
      </w:pPr>
      <w:r>
        <w:rPr>
          <w:rFonts w:ascii="Times New Roman" w:cs="Times New Roman" w:eastAsia="Times New Roman" w:hAnsi="Times New Roman"/>
          <w:sz w:val="14"/>
          <w:szCs w:val="14"/>
          <w:color w:val="auto"/>
        </w:rPr>
        <w:t>It is important for you to read and consider all information contained in this prospectus supplement and the accompanying prospectus in making your investment decision. You should also read and consider the information contained in the documents identified under the heading “Incorporation by Reference.”</w:t>
      </w:r>
    </w:p>
    <w:p>
      <w:pPr>
        <w:spacing w:after="0" w:line="138" w:lineRule="exact"/>
        <w:rPr>
          <w:sz w:val="20"/>
          <w:szCs w:val="20"/>
          <w:color w:val="auto"/>
        </w:rPr>
      </w:pPr>
    </w:p>
    <w:p>
      <w:pPr>
        <w:ind w:left="260" w:right="319"/>
        <w:spacing w:after="0" w:line="279" w:lineRule="auto"/>
        <w:rPr>
          <w:sz w:val="20"/>
          <w:szCs w:val="20"/>
          <w:color w:val="auto"/>
        </w:rPr>
      </w:pPr>
      <w:r>
        <w:rPr>
          <w:rFonts w:ascii="Times New Roman" w:cs="Times New Roman" w:eastAsia="Times New Roman" w:hAnsi="Times New Roman"/>
          <w:sz w:val="13"/>
          <w:szCs w:val="13"/>
          <w:color w:val="auto"/>
        </w:rPr>
        <w:t>Unless otherwise indicated or unless the context requires otherwise, all references in this prospectus supplement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supplement to “our operating partnership” or “the operating partnership” refer to Digital Realty Trust, L.P. together with its consolidated subsidiaries.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references in this prospectus supplement to: “global revolving credit facility” refer to our operating partnership’s $4.2 billion senior unsecured</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revolving credit facility and global senior credit agreement, as amended; “Yen revolving credit facility” refer to our operating partnership’s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¥42,511,000,000 (approximately $268 million based on exchange rates at March 31, 2026) senior unsecured revolving credit facility and Yen credit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agreement, as amended; “revolving credit facilities” or “global revolving credit facilities” refer to our global revolving credit facility and our Yen</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revolving credit facility, collectively; “2025-27 Euro term facility” or “term facility” refer to the €375,000,000 three-year senior unsecured term loan</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facility of Digital Dutch Finco B.V.</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3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FORWARD-LOOKING STATEMENTS</w:t>
      </w:r>
    </w:p>
    <w:p>
      <w:pPr>
        <w:spacing w:after="0" w:line="90" w:lineRule="exact"/>
        <w:rPr>
          <w:sz w:val="20"/>
          <w:szCs w:val="20"/>
          <w:color w:val="auto"/>
        </w:rPr>
      </w:pPr>
    </w:p>
    <w:p>
      <w:pPr>
        <w:ind w:left="260" w:right="379"/>
        <w:spacing w:after="0" w:line="251" w:lineRule="auto"/>
        <w:rPr>
          <w:sz w:val="20"/>
          <w:szCs w:val="20"/>
          <w:color w:val="auto"/>
        </w:rPr>
      </w:pPr>
      <w:r>
        <w:rPr>
          <w:rFonts w:ascii="Times New Roman" w:cs="Times New Roman" w:eastAsia="Times New Roman" w:hAnsi="Times New Roman"/>
          <w:sz w:val="14"/>
          <w:szCs w:val="14"/>
          <w:color w:val="auto"/>
        </w:rPr>
        <w:t>We make statements in this prospectus supplement, the accompanying prospectus and the documents incorporated herein and therein by reference that are forward-looking statements within the meaning of the federal securities laws. In particular, statements pertaining to our capital resources, expected use of borrowings under our credit facilities, expected use of proceeds from this ATM equity program,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w:t>
      </w:r>
    </w:p>
    <w:p>
      <w:pPr>
        <w:spacing w:after="0" w:line="145" w:lineRule="exact"/>
        <w:rPr>
          <w:sz w:val="20"/>
          <w:szCs w:val="20"/>
          <w:color w:val="auto"/>
        </w:rPr>
      </w:pPr>
    </w:p>
    <w:p>
      <w:pPr>
        <w:ind w:left="260" w:right="319"/>
        <w:spacing w:after="0" w:line="257" w:lineRule="auto"/>
        <w:rPr>
          <w:sz w:val="20"/>
          <w:szCs w:val="20"/>
          <w:color w:val="auto"/>
        </w:rPr>
      </w:pPr>
      <w:r>
        <w:rPr>
          <w:rFonts w:ascii="Times New Roman" w:cs="Times New Roman" w:eastAsia="Times New Roman" w:hAnsi="Times New Roman"/>
          <w:sz w:val="14"/>
          <w:szCs w:val="14"/>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69" w:lineRule="exact"/>
        <w:rPr>
          <w:sz w:val="20"/>
          <w:szCs w:val="20"/>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demand for data centers or decreases in information technology spending;</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rental rates, increased operating costs or increased vacancy rates;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or available supply of data center space;</w:t>
      </w:r>
    </w:p>
    <w:p>
      <w:pPr>
        <w:spacing w:after="0" w:line="98" w:lineRule="exact"/>
        <w:rPr>
          <w:rFonts w:ascii="Times New Roman" w:cs="Times New Roman" w:eastAsia="Times New Roman" w:hAnsi="Times New Roman"/>
          <w:sz w:val="14"/>
          <w:szCs w:val="14"/>
          <w:color w:val="auto"/>
        </w:rPr>
      </w:pPr>
    </w:p>
    <w:p>
      <w:pPr>
        <w:ind w:left="1020" w:right="339" w:hanging="339"/>
        <w:spacing w:after="0" w:line="278"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our obligations or restrictions under our contracts with our customers;</w:t>
      </w:r>
    </w:p>
    <w:p>
      <w:pPr>
        <w:spacing w:after="0" w:line="98" w:lineRule="exact"/>
        <w:rPr>
          <w:rFonts w:ascii="Times New Roman" w:cs="Times New Roman" w:eastAsia="Times New Roman" w:hAnsi="Times New Roman"/>
          <w:sz w:val="14"/>
          <w:szCs w:val="14"/>
          <w:color w:val="auto"/>
        </w:rPr>
      </w:pPr>
    </w:p>
    <w:p>
      <w:pPr>
        <w:ind w:left="1020" w:right="439" w:hanging="339"/>
        <w:spacing w:after="0" w:line="278"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develop and lease new properties and development space, and delays or unexpected costs in development of properties;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global and local economic, credit and market conditions;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tariffs;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supply chain or procurement disruptions, or increased supply chain costs;</w:t>
      </w:r>
    </w:p>
    <w:p>
      <w:pPr>
        <w:spacing w:after="0" w:line="98" w:lineRule="exact"/>
        <w:rPr>
          <w:rFonts w:ascii="Times New Roman" w:cs="Times New Roman" w:eastAsia="Times New Roman" w:hAnsi="Times New Roman"/>
          <w:sz w:val="14"/>
          <w:szCs w:val="14"/>
          <w:color w:val="auto"/>
        </w:rPr>
      </w:pPr>
    </w:p>
    <w:p>
      <w:pPr>
        <w:ind w:left="1020" w:right="419" w:hanging="339"/>
        <w:spacing w:after="0" w:line="278"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periods of heightened inflation on our costs, such as operating and general and administrative expenses, interest expense and real estate acquisition and construction costs;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customers’ and our suppliers’ operations during an epidemic, pandemic, or other global events;</w:t>
      </w:r>
    </w:p>
    <w:p>
      <w:pPr>
        <w:spacing w:after="0" w:line="98" w:lineRule="exact"/>
        <w:rPr>
          <w:rFonts w:ascii="Times New Roman" w:cs="Times New Roman" w:eastAsia="Times New Roman" w:hAnsi="Times New Roman"/>
          <w:sz w:val="14"/>
          <w:szCs w:val="14"/>
          <w:color w:val="auto"/>
        </w:rPr>
      </w:pPr>
    </w:p>
    <w:p>
      <w:pPr>
        <w:ind w:left="1020" w:right="279" w:hanging="339"/>
        <w:spacing w:after="0" w:line="278"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upon significant customers, bankruptcy or insolvency of a major customer or a significant number of smaller customers, or defaults on or non-renewal of leases by customers;</w:t>
      </w:r>
    </w:p>
    <w:p>
      <w:pPr>
        <w:spacing w:after="0" w:line="52" w:lineRule="exact"/>
        <w:rPr>
          <w:rFonts w:ascii="Times New Roman" w:cs="Times New Roman" w:eastAsia="Times New Roman" w:hAnsi="Times New Roman"/>
          <w:sz w:val="14"/>
          <w:szCs w:val="14"/>
          <w:color w:val="auto"/>
        </w:rPr>
      </w:pPr>
    </w:p>
    <w:p>
      <w:pPr>
        <w:ind w:left="1020" w:right="1019" w:hanging="339"/>
        <w:spacing w:after="0" w:line="278"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conditions, geopolitical turmoil, political instability, civil disturbances, restrictive governmental actions or nationalization in the countries in which we operate;</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retain data center space that we lease or sublease from third parties;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and data privacy breaches;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37" w:right="1440" w:bottom="1440" w:gutter="0" w:footer="0" w:header="0"/>
        </w:sectPr>
      </w:pPr>
    </w:p>
    <w:bookmarkStart w:id="6" w:name="page7"/>
    <w:bookmarkEnd w:id="6"/>
    <w:p>
      <w:pPr>
        <w:ind w:left="1020" w:right="45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difficulties managing an international business and acquiring or operating properties in foreign jurisdictions and unfamiliar metropolitan areas;</w:t>
      </w:r>
    </w:p>
    <w:p>
      <w:pPr>
        <w:spacing w:after="0" w:line="52" w:lineRule="exact"/>
        <w:rPr>
          <w:rFonts w:ascii="Times New Roman" w:cs="Times New Roman" w:eastAsia="Times New Roman" w:hAnsi="Times New Roman"/>
          <w:sz w:val="14"/>
          <w:szCs w:val="14"/>
          <w:color w:val="auto"/>
        </w:rPr>
      </w:pPr>
    </w:p>
    <w:p>
      <w:pPr>
        <w:ind w:left="1020" w:right="41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realize the intended benefits from, or disruptions to our plans and operations or unknown or contingent liabilities related to, our recent and future acquisitions;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successfully integrate and operate acquired or developed properties or businesses;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identifying properties to acquire and completing acquisitions;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joint venture investments, including as a result of our lack of control of such investments;</w:t>
      </w:r>
    </w:p>
    <w:p>
      <w:pPr>
        <w:spacing w:after="0" w:line="98" w:lineRule="exact"/>
        <w:rPr>
          <w:rFonts w:ascii="Times New Roman" w:cs="Times New Roman" w:eastAsia="Times New Roman" w:hAnsi="Times New Roman"/>
          <w:sz w:val="14"/>
          <w:szCs w:val="14"/>
          <w:color w:val="auto"/>
        </w:rPr>
      </w:pPr>
    </w:p>
    <w:p>
      <w:pPr>
        <w:ind w:left="1020" w:right="29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necessary debt and equity financing, and our dependence on external sources of capital;</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fluctuations and changes in foreign currency exchange rates;</w:t>
      </w:r>
    </w:p>
    <w:p>
      <w:pPr>
        <w:spacing w:after="0" w:line="98" w:lineRule="exact"/>
        <w:rPr>
          <w:rFonts w:ascii="Times New Roman" w:cs="Times New Roman" w:eastAsia="Times New Roman" w:hAnsi="Times New Roman"/>
          <w:sz w:val="14"/>
          <w:szCs w:val="14"/>
          <w:color w:val="auto"/>
        </w:rPr>
      </w:pPr>
    </w:p>
    <w:p>
      <w:pPr>
        <w:ind w:left="1020" w:right="43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manage our growth effectively;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in excess of our insurance coverage;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talent;</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risks related to natural disasters and our inability to achieve our sustainability goals;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operating performance of anticipated near-term acquisitions and descriptions relating to these expectations;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rules and regulations applicable to our company;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Inc.’s failure to maintain its status as a REIT for U.S. federal income tax purposes;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L.P.’s failure to qualify as a partnership for U.S. federal income tax purposes;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engage in certain business activities;</w:t>
      </w:r>
    </w:p>
    <w:p>
      <w:pPr>
        <w:spacing w:after="0" w:line="98" w:lineRule="exact"/>
        <w:rPr>
          <w:rFonts w:ascii="Times New Roman" w:cs="Times New Roman" w:eastAsia="Times New Roman" w:hAnsi="Times New Roman"/>
          <w:sz w:val="14"/>
          <w:szCs w:val="14"/>
          <w:color w:val="auto"/>
        </w:rPr>
      </w:pPr>
    </w:p>
    <w:p>
      <w:pPr>
        <w:ind w:left="1020" w:right="73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state, federal and international laws and regulations, including related to taxation, real estate and zoning laws, and increases in real property tax rates;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financial, accounting, legal or regulatory issues or litigation that may affect us; and</w:t>
      </w:r>
    </w:p>
    <w:p>
      <w:pPr>
        <w:spacing w:after="0" w:line="98" w:lineRule="exact"/>
        <w:rPr>
          <w:rFonts w:ascii="Times New Roman" w:cs="Times New Roman" w:eastAsia="Times New Roman" w:hAnsi="Times New Roman"/>
          <w:sz w:val="14"/>
          <w:szCs w:val="14"/>
          <w:color w:val="auto"/>
        </w:rPr>
      </w:pPr>
    </w:p>
    <w:p>
      <w:pPr>
        <w:ind w:left="1020" w:right="619" w:hanging="339"/>
        <w:spacing w:after="0" w:line="27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additional risks and factors discussed in reports filed with the SEC by us from time to time, including those discussed under the heading “Risk Factors” in our most recently filed Combined Annual Report on Form 10-K.</w:t>
      </w:r>
    </w:p>
    <w:p>
      <w:pPr>
        <w:spacing w:after="0" w:line="126"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The risks included here are not exhaustive, and additional factors could adversely affect our business and financial performance, including factors and risks included in other sections of this prospectus supplement, the accompanying prospectus or the documents incorporated by reference herein or therein. Moreover, we operate 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9019"/>
          </w:cols>
          <w:pgMar w:left="1440" w:top="239" w:right="1440" w:bottom="1440" w:gutter="0" w:footer="0" w:header="0"/>
        </w:sectPr>
      </w:pPr>
    </w:p>
    <w:bookmarkStart w:id="7" w:name="page8"/>
    <w:bookmarkEnd w:id="7"/>
    <w:p>
      <w:pPr>
        <w:ind w:left="260" w:right="27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For a further discussion of these and other factors that could impact our future results, performance or transactions, see the section entitled “Risk Factors” in this prospectus supplement, in the accompanying prospectus and in our most recent Combined Annual Report on Form 10-K and our other periodic reports (in each case, including any amendments thereto), as well as the other risks described in the documents incorporated by reference in this prospectus supplement and the accompanying prospectus.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S-vi</w:t>
      </w:r>
    </w:p>
    <w:p>
      <w:pPr>
        <w:sectPr>
          <w:pgSz w:w="11900" w:h="16838" w:orient="portrait"/>
          <w:cols w:equalWidth="0" w:num="1">
            <w:col w:w="9019"/>
          </w:cols>
          <w:pgMar w:left="1440" w:top="23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2364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2364740"/>
                    </a:xfrm>
                    <a:prstGeom prst="rect">
                      <a:avLst/>
                    </a:prstGeom>
                    <a:noFill/>
                  </pic:spPr>
                </pic:pic>
              </a:graphicData>
            </a:graphic>
          </wp:anchor>
        </w:drawing>
        <w:t>PROSPECTUS SUPPLEMENT SUMMARY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Digital Realty Trust, Inc.</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3" w:lineRule="exact"/>
        <w:rPr>
          <w:sz w:val="20"/>
          <w:szCs w:val="20"/>
          <w:color w:val="auto"/>
        </w:rPr>
      </w:pPr>
    </w:p>
    <w:p>
      <w:pPr>
        <w:ind w:left="400" w:right="419"/>
        <w:spacing w:after="0" w:line="257" w:lineRule="auto"/>
        <w:rPr>
          <w:sz w:val="20"/>
          <w:szCs w:val="20"/>
          <w:color w:val="auto"/>
        </w:rPr>
      </w:pPr>
      <w:r>
        <w:rPr>
          <w:rFonts w:ascii="Times New Roman" w:cs="Times New Roman" w:eastAsia="Times New Roman" w:hAnsi="Times New Roman"/>
          <w:sz w:val="14"/>
          <w:szCs w:val="14"/>
          <w:color w:val="auto"/>
        </w:rPr>
        <w:t>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w:t>
      </w:r>
    </w:p>
    <w:p>
      <w:pPr>
        <w:spacing w:after="0" w:line="142" w:lineRule="exact"/>
        <w:rPr>
          <w:sz w:val="20"/>
          <w:szCs w:val="20"/>
          <w:color w:val="auto"/>
        </w:rPr>
      </w:pPr>
    </w:p>
    <w:p>
      <w:pPr>
        <w:ind w:left="400" w:right="679"/>
        <w:spacing w:after="0" w:line="255" w:lineRule="auto"/>
        <w:rPr>
          <w:sz w:val="20"/>
          <w:szCs w:val="20"/>
          <w:color w:val="auto"/>
        </w:rPr>
      </w:pPr>
      <w:r>
        <w:rPr>
          <w:rFonts w:ascii="Times New Roman" w:cs="Times New Roman" w:eastAsia="Times New Roman" w:hAnsi="Times New Roman"/>
          <w:sz w:val="14"/>
          <w:szCs w:val="14"/>
          <w:color w:val="auto"/>
        </w:rPr>
        <w:t>As of March 31, 2026, our portfolio included 309 data centers, including 89 data centers held as investments in unconsolidated entities, with approximately 2,408 megawatts of uninterruptible power supply-backed utility power dedicated to our operated data center capacity, excluding space under active development and space held for development. As of March 31, 2026, our portfolio, including the 89 data centers held as investments in unconsolidated entities, was approximately 89.4% leased, excluding space under active development and space held for development.</w:t>
      </w:r>
    </w:p>
    <w:p>
      <w:pPr>
        <w:spacing w:after="0" w:line="142" w:lineRule="exact"/>
        <w:rPr>
          <w:sz w:val="20"/>
          <w:szCs w:val="20"/>
          <w:color w:val="auto"/>
        </w:rPr>
      </w:pPr>
    </w:p>
    <w:p>
      <w:pPr>
        <w:ind w:left="400" w:right="639"/>
        <w:spacing w:after="0" w:line="228" w:lineRule="auto"/>
        <w:rPr>
          <w:sz w:val="20"/>
          <w:szCs w:val="20"/>
          <w:color w:val="auto"/>
        </w:rPr>
      </w:pPr>
      <w:r>
        <w:rPr>
          <w:rFonts w:ascii="Times New Roman" w:cs="Times New Roman" w:eastAsia="Times New Roman" w:hAnsi="Times New Roman"/>
          <w:sz w:val="14"/>
          <w:szCs w:val="14"/>
          <w:color w:val="auto"/>
        </w:rPr>
        <w:t>Digital Realty Trust, Inc. was incorporated in the state of Maryland on March 9, 2004. Digital Realty Trust, L.P. was organized in the state of Maryland on July 21, 2004. Our principal executive offices are located at 601 West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Floor 32, Austin, Texas 78701. Our telephone number is (737) 281-0101. Our website is www.digitalrealty.com. The information found on, or otherwise accessible through, our website is not incorporated into, and does not form a part of, this prospectus or any other report or document we file with or furnish to the SEC.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2" w:right="1440" w:bottom="1440" w:gutter="0" w:footer="0" w:header="0"/>
        </w:sectPr>
      </w:pPr>
    </w:p>
    <w:bookmarkStart w:id="9" w:name="page10"/>
    <w:bookmarkEnd w:id="9"/>
    <w:tbl>
      <w:tblPr>
        <w:tblLayout w:type="fixed"/>
        <w:tblInd w:w="270" w:type="dxa"/>
        <w:tblCellMar>
          <w:top w:w="0" w:type="dxa"/>
          <w:left w:w="0" w:type="dxa"/>
          <w:bottom w:w="0" w:type="dxa"/>
          <w:right w:w="0" w:type="dxa"/>
        </w:tblCellMar>
      </w:tblPr>
      <w:tr>
        <w:trPr>
          <w:trHeight w:val="317"/>
        </w:trPr>
        <w:tc>
          <w:tcPr>
            <w:tcW w:w="2380" w:type="dxa"/>
            <w:vAlign w:val="bottom"/>
            <w:tcBorders>
              <w:top w:val="single" w:sz="8" w:color="auto"/>
              <w:left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3"/>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Digital Realty Trust, Inc., a Maryland corporation.</w:t>
            </w:r>
          </w:p>
        </w:tc>
      </w:tr>
      <w:tr>
        <w:trPr>
          <w:trHeight w:val="25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offered</w:t>
            </w: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Shares of common stock with a maximum aggregate offering price of up to $7,500,000,000</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are available for offer and sale pursuant to this prospectus supplement and the</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accompanying prospectus.</w:t>
            </w:r>
          </w:p>
        </w:tc>
      </w:tr>
      <w:tr>
        <w:trPr>
          <w:trHeight w:val="24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Manner of Offering</w:t>
            </w: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Sales of the shares, if any, may be made by means of ordinary brokers’ transactions at</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market prices, in negotiated transactions or in transactions that are deemed to be</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“at-the-market” offerings as defined in Rule 415 under the Securities Act, including sales</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made to or through a market maker other than on an exchange, in block transactions or by</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any other method permitted by law, at prices related to the prevailing market prices or at</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negotiated prices subject to certain minimum prices. See “Plan of Distribution” in this</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prospectus supplement.</w:t>
            </w:r>
          </w:p>
        </w:tc>
      </w:tr>
      <w:tr>
        <w:trPr>
          <w:trHeight w:val="245"/>
        </w:trPr>
        <w:tc>
          <w:tcPr>
            <w:tcW w:w="2380" w:type="dxa"/>
            <w:vAlign w:val="bottom"/>
            <w:tcBorders>
              <w:left w:val="single" w:sz="8" w:color="auto"/>
            </w:tcBorders>
          </w:tcPr>
          <w:p>
            <w:pPr>
              <w:spacing w:after="0"/>
              <w:rPr>
                <w:sz w:val="21"/>
                <w:szCs w:val="21"/>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We also may sell shares of common stock to each of the Agents, as principal for its own</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account, at a price to be agreed upon at the time of sale. If we sell shares of our common</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stock to any of the Agents, as principal, we will enter into a separate terms agreement with</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such Agent, and, to the extent required by applicable law, we will describe the terms</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agreement in a separate prospectus supplement or pricing supplement.</w:t>
            </w:r>
          </w:p>
        </w:tc>
      </w:tr>
      <w:tr>
        <w:trPr>
          <w:trHeight w:val="24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We intend to contribute the net proceeds from any sales of shares of our common stock to</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or through the Agents and the net cash proceeds from the settlement of any forward sale</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agreements to our operating partnership, which will subsequently use such net proceeds</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contributed by us to temporarily repay borrowings outstanding under our operating</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partnership’s global revolving credit facilities, acquire additional properties or businesses,</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fund development opportunities, and to provide for working capital and other general</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corporate purposes, including potentially for the repayment of other debt or the repurchase,</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redemption, or retirement of outstanding debt securities, or a combination of the foregoing.</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See “Use of Proceeds” in this prospectus supplement.</w:t>
            </w:r>
          </w:p>
        </w:tc>
      </w:tr>
      <w:tr>
        <w:trPr>
          <w:trHeight w:val="24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Conflicts of interest</w:t>
            </w: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Certain of the Agents and their affiliates are joint lead arrangers and bookrunners, lenders,</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syndication agents, issuing banks, swing line banks and an administrative agent under our</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global revolving credit facilities, term facility and mortgages and/or holders of our senior</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notes. To the extent we use the net proceeds from this offering for the repayment of those</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borrowings, such Agents and their affiliates may receive a portion of such net proceeds.</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See “Plan of Distribution” in this prospectus supplement.</w:t>
            </w:r>
          </w:p>
        </w:tc>
      </w:tr>
      <w:tr>
        <w:trPr>
          <w:trHeight w:val="245"/>
        </w:trPr>
        <w:tc>
          <w:tcPr>
            <w:tcW w:w="2380" w:type="dxa"/>
            <w:vAlign w:val="bottom"/>
            <w:tcBorders>
              <w:left w:val="single" w:sz="8" w:color="auto"/>
            </w:tcBorders>
          </w:tcPr>
          <w:p>
            <w:pPr>
              <w:spacing w:after="0"/>
              <w:rPr>
                <w:sz w:val="21"/>
                <w:szCs w:val="21"/>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We will not initially receive any proceeds from any sale of borrowed shares of our common</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stock by a Forward Purchaser in connection with any forward sale agreement as a hedge of</w:t>
            </w:r>
          </w:p>
        </w:tc>
      </w:tr>
      <w:tr>
        <w:trPr>
          <w:trHeight w:val="166"/>
        </w:trPr>
        <w:tc>
          <w:tcPr>
            <w:tcW w:w="238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such forward sale agreement. For additional information, see “Plan of Distribution” in this</w:t>
            </w:r>
          </w:p>
        </w:tc>
      </w:tr>
      <w:tr>
        <w:trPr>
          <w:trHeight w:val="181"/>
        </w:trPr>
        <w:tc>
          <w:tcPr>
            <w:tcW w:w="238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prospectus supplement.</w:t>
            </w:r>
          </w:p>
        </w:tc>
      </w:tr>
      <w:tr>
        <w:trPr>
          <w:trHeight w:val="119"/>
        </w:trPr>
        <w:tc>
          <w:tcPr>
            <w:tcW w:w="2380" w:type="dxa"/>
            <w:vAlign w:val="bottom"/>
            <w:tcBorders>
              <w:left w:val="single" w:sz="8" w:color="auto"/>
              <w:bottom w:val="single" w:sz="8" w:color="auto"/>
            </w:tcBorders>
          </w:tcPr>
          <w:p>
            <w:pPr>
              <w:spacing w:after="0"/>
              <w:rPr>
                <w:sz w:val="10"/>
                <w:szCs w:val="10"/>
                <w:color w:val="auto"/>
              </w:rPr>
            </w:pPr>
          </w:p>
        </w:tc>
        <w:tc>
          <w:tcPr>
            <w:tcW w:w="6100" w:type="dxa"/>
            <w:vAlign w:val="bottom"/>
            <w:tcBorders>
              <w:bottom w:val="single" w:sz="8" w:color="auto"/>
              <w:right w:val="single" w:sz="8" w:color="auto"/>
            </w:tcBorders>
          </w:tcPr>
          <w:p>
            <w:pPr>
              <w:spacing w:after="0"/>
              <w:rPr>
                <w:sz w:val="10"/>
                <w:szCs w:val="10"/>
                <w:color w:val="auto"/>
              </w:rPr>
            </w:pPr>
          </w:p>
        </w:tc>
      </w:tr>
      <w:tr>
        <w:trPr>
          <w:trHeight w:val="276"/>
        </w:trPr>
        <w:tc>
          <w:tcPr>
            <w:tcW w:w="2380" w:type="dxa"/>
            <w:vAlign w:val="bottom"/>
          </w:tcPr>
          <w:p>
            <w:pPr>
              <w:spacing w:after="0"/>
              <w:rPr>
                <w:sz w:val="24"/>
                <w:szCs w:val="24"/>
                <w:color w:val="auto"/>
              </w:rPr>
            </w:pPr>
          </w:p>
        </w:tc>
        <w:tc>
          <w:tcPr>
            <w:tcW w:w="610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S-2</w:t>
            </w:r>
          </w:p>
        </w:tc>
      </w:tr>
    </w:tbl>
    <w:p>
      <w:pPr>
        <w:ind w:left="176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0" w:name="page11"/>
    <w:bookmarkEnd w:id="10"/>
    <w:tbl>
      <w:tblPr>
        <w:tblLayout w:type="fixed"/>
        <w:tblInd w:w="270" w:type="dxa"/>
        <w:tblCellMar>
          <w:top w:w="0" w:type="dxa"/>
          <w:left w:w="0" w:type="dxa"/>
          <w:bottom w:w="0" w:type="dxa"/>
          <w:right w:w="0" w:type="dxa"/>
        </w:tblCellMar>
      </w:tblPr>
      <w:tr>
        <w:trPr>
          <w:trHeight w:val="302"/>
        </w:trPr>
        <w:tc>
          <w:tcPr>
            <w:tcW w:w="29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 treatment of any forward sales</w:t>
            </w:r>
          </w:p>
        </w:tc>
        <w:tc>
          <w:tcPr>
            <w:tcW w:w="552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 the event that we enter into any forward sale agreements, before settlement of any such</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forward sale agreement, we expect that the shares issuable upon settlement of such forward</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sale agreement will be reflected in our diluted earnings per share and diluted funds from</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operations per share calculations using the treasury stock method. Under this method,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number of shares of our common stock used in calculating diluted earnings per share and</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diluted funds from operations per share is deemed to be increased by the excess, if any, of</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the number of shares of our common stock that would be issued upon full physical</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settlement of such forward sale agreement over the number of shares of our common stock</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that could be purchased by us in the market (based on the average market price during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relevant forward hedge selling period specified in such forward sale agreement) using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proceeds receivable upon full physical settlement (based on the adjusted forward sale price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at the end of the reporting period). Consequently, we anticipate there will be no dilutive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effect on our diluted earnings per share and diluted funds from operations per share prior to</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physical or net share settlement of the forward sale agreements and subject to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occurrence of certain events, except during periods when the average market price of our</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common stock is above the applicable forward sale price, which is subject to adjustment</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based on a floating interest rate factor equal to a specified daily rate less a spread to be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mutually agreed by us and the applicable Forward Purchaser, and subject to decrease by</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amounts related to expected dividends on our common stock during the term of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applicable forward sale agreement. However, if we decide to physically settle or net share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settle any forward sale agreement, delivery of our shares on any physical settlement or net</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share settlement of such forward sale agreement will result in dilution to our diluted</w:t>
            </w:r>
          </w:p>
        </w:tc>
      </w:tr>
      <w:tr>
        <w:trPr>
          <w:trHeight w:val="181"/>
        </w:trPr>
        <w:tc>
          <w:tcPr>
            <w:tcW w:w="2960" w:type="dxa"/>
            <w:vAlign w:val="bottom"/>
            <w:tcBorders>
              <w:lef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earnings per share and diluted funds from operations per share.</w:t>
            </w:r>
          </w:p>
        </w:tc>
      </w:tr>
      <w:tr>
        <w:trPr>
          <w:trHeight w:val="260"/>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NYSE symbol</w:t>
            </w: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“DLR”</w:t>
            </w:r>
          </w:p>
        </w:tc>
      </w:tr>
      <w:tr>
        <w:trPr>
          <w:trHeight w:val="255"/>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Our charter contains restrictions on the ownership and transfer of our stock that are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intended to assist us in complying with the requirements for qualification as a REIT.</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Among other things, our charter provides that, subject to certain exceptions, no person or</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entity may actually or beneficially own, or be deemed to own by virtue of the applicable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constructive ownership provisions of the Internal Revenue Code of 1986, as amended (the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“Code”), more than 9.8% (in value or in number of shares, whichever is more restrictive)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of the outstanding shares of our common stock or 9.8% in value of the aggregate</w:t>
            </w:r>
          </w:p>
        </w:tc>
      </w:tr>
      <w:tr>
        <w:trPr>
          <w:trHeight w:val="166"/>
        </w:trPr>
        <w:tc>
          <w:tcPr>
            <w:tcW w:w="2960" w:type="dxa"/>
            <w:vAlign w:val="bottom"/>
            <w:tcBorders>
              <w:left w:val="single" w:sz="8" w:color="auto"/>
            </w:tcBorders>
          </w:tcPr>
          <w:p>
            <w:pPr>
              <w:spacing w:after="0"/>
              <w:rPr>
                <w:sz w:val="14"/>
                <w:szCs w:val="14"/>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outstanding shares of all classes and series of our stock. See “Restrictions on Ownership</w:t>
            </w:r>
          </w:p>
        </w:tc>
      </w:tr>
      <w:tr>
        <w:trPr>
          <w:trHeight w:val="181"/>
        </w:trPr>
        <w:tc>
          <w:tcPr>
            <w:tcW w:w="2960" w:type="dxa"/>
            <w:vAlign w:val="bottom"/>
            <w:tcBorders>
              <w:lef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and Transfer” in the accompanying prospectus.</w:t>
            </w:r>
          </w:p>
        </w:tc>
      </w:tr>
      <w:tr>
        <w:trPr>
          <w:trHeight w:val="245"/>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Investing in our common stock involves a high degree of risk and the purchasers of our</w:t>
            </w:r>
          </w:p>
        </w:tc>
      </w:tr>
      <w:tr>
        <w:trPr>
          <w:trHeight w:val="181"/>
        </w:trPr>
        <w:tc>
          <w:tcPr>
            <w:tcW w:w="2960" w:type="dxa"/>
            <w:vAlign w:val="bottom"/>
            <w:tcBorders>
              <w:left w:val="single" w:sz="8" w:color="auto"/>
            </w:tcBorders>
          </w:tcPr>
          <w:p>
            <w:pPr>
              <w:spacing w:after="0"/>
              <w:rPr>
                <w:sz w:val="15"/>
                <w:szCs w:val="15"/>
                <w:color w:val="auto"/>
              </w:rPr>
            </w:pPr>
          </w:p>
        </w:tc>
        <w:tc>
          <w:tcPr>
            <w:tcW w:w="55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common stock may lose their entire investment.</w:t>
            </w:r>
          </w:p>
        </w:tc>
      </w:tr>
      <w:tr>
        <w:trPr>
          <w:trHeight w:val="119"/>
        </w:trPr>
        <w:tc>
          <w:tcPr>
            <w:tcW w:w="2960" w:type="dxa"/>
            <w:vAlign w:val="bottom"/>
            <w:tcBorders>
              <w:left w:val="single" w:sz="8" w:color="auto"/>
              <w:bottom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r>
      <w:tr>
        <w:trPr>
          <w:trHeight w:val="276"/>
        </w:trPr>
        <w:tc>
          <w:tcPr>
            <w:tcW w:w="2960" w:type="dxa"/>
            <w:vAlign w:val="bottom"/>
          </w:tcPr>
          <w:p>
            <w:pPr>
              <w:spacing w:after="0"/>
              <w:rPr>
                <w:sz w:val="24"/>
                <w:szCs w:val="24"/>
                <w:color w:val="auto"/>
              </w:rPr>
            </w:pPr>
          </w:p>
        </w:tc>
        <w:tc>
          <w:tcPr>
            <w:tcW w:w="552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S-3</w:t>
            </w:r>
          </w:p>
        </w:tc>
      </w:tr>
    </w:tbl>
    <w:p>
      <w:pPr>
        <w:ind w:left="118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1" w:name="page12"/>
    <w:bookmarkEnd w:id="11"/>
    <w:p>
      <w:pPr>
        <w:ind w:left="3520" w:right="4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682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682625"/>
                    </a:xfrm>
                    <a:prstGeom prst="rect">
                      <a:avLst/>
                    </a:prstGeom>
                    <a:noFill/>
                  </pic:spPr>
                </pic:pic>
              </a:graphicData>
            </a:graphic>
          </wp:anchor>
        </w:drawing>
        <w:t>Before deciding to invest in our common stock, please carefully read the section entitled “Risk Factors” beginning on page S-5 of this prospectus supplement, including the risks incorporated therein from our most recent Combined Annual Report on Form 10-K and our other periodic reports filed with the SEC and incorporated by reference herein.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384"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1"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i w:val="1"/>
          <w:iCs w:val="1"/>
          <w:color w:val="auto"/>
        </w:rPr>
        <w:t>In addition to other information contained or incorporated by reference in this prospectus supplement, the accompanying prospectus and any “free writing prospectus” we authorize to be delivered to you, you should carefully consider the risks described below and incorporated herein by reference to our most recent Combined Annual Report on Form 10-K and other subsequent filings of Digital Realty Trust, Inc. and Digital Realty Trust, L.P. under the Securities Exchange Act of 1934, as amended, or the Exchange Act, in evaluating our company, our properties and our business before making a decision to invest in our common stock. These risks are not the only ones faced by us. Additional risks not presently known to us or that we currently deem immaterial could also materially and adversely affect our financial condition, results of operations, business and prospects. The trading price of our common stock could decline due to any of these risks, and you may lose all or part of your investment. This prospectus supplement, the accompanying prospectus and the documents incorporated herein and therein by reference also contain forward-looking statements that involve risks and uncertainties. Actual results could differ materially from those anticipated in these forward-looking statements as a result of certain factors, including the risks faced by us described below and elsewhere in this prospectus supplement, the accompanying prospectus and the documents incorporated herein and therein by reference. Please refer to the section entitled “Forward-Looking Statements.”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8" w:lineRule="exact"/>
        <w:rPr>
          <w:sz w:val="20"/>
          <w:szCs w:val="20"/>
          <w:color w:val="auto"/>
        </w:rPr>
      </w:pPr>
    </w:p>
    <w:p>
      <w:pPr>
        <w:ind w:left="260" w:right="6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cash available for distribution to stockholders may not be sufficient to make distributions at expected levels, and we may need to borrow in order to make such distributions; consequently, we may not be able to make such distributions in full.</w:t>
      </w:r>
    </w:p>
    <w:p>
      <w:pPr>
        <w:spacing w:after="0" w:line="4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If cash available for distribution generated by our assets is less than our estimate or if such cash available for distribution decreases in future periods from expected levels, our inability to make the expected distributions could result in a decrease in the market price of our common stock.</w:t>
      </w:r>
    </w:p>
    <w:p>
      <w:pPr>
        <w:spacing w:after="0" w:line="126" w:lineRule="exact"/>
        <w:rPr>
          <w:sz w:val="20"/>
          <w:szCs w:val="20"/>
          <w:color w:val="auto"/>
        </w:rPr>
      </w:pPr>
    </w:p>
    <w:p>
      <w:pPr>
        <w:jc w:val="both"/>
        <w:ind w:left="260" w:right="499"/>
        <w:spacing w:after="0" w:line="262" w:lineRule="auto"/>
        <w:rPr>
          <w:sz w:val="20"/>
          <w:szCs w:val="20"/>
          <w:color w:val="auto"/>
        </w:rPr>
      </w:pPr>
      <w:r>
        <w:rPr>
          <w:rFonts w:ascii="Times New Roman" w:cs="Times New Roman" w:eastAsia="Times New Roman" w:hAnsi="Times New Roman"/>
          <w:sz w:val="14"/>
          <w:szCs w:val="14"/>
          <w:color w:val="auto"/>
        </w:rPr>
        <w:t>Distributions made by us will be authorized and determined by our board of directors in its sole discretion out of funds legally available therefor and will be dependent upon a number of factors, including restrictions under applicable law and our capital requirements. We may not be able to make or sustain distributions in the future.</w:t>
      </w:r>
    </w:p>
    <w:p>
      <w:pPr>
        <w:spacing w:after="0" w:line="138" w:lineRule="exact"/>
        <w:rPr>
          <w:sz w:val="20"/>
          <w:szCs w:val="20"/>
          <w:color w:val="auto"/>
        </w:rPr>
      </w:pPr>
    </w:p>
    <w:p>
      <w:pPr>
        <w:ind w:left="260" w:right="379"/>
        <w:spacing w:after="0" w:line="252" w:lineRule="auto"/>
        <w:rPr>
          <w:sz w:val="20"/>
          <w:szCs w:val="20"/>
          <w:color w:val="auto"/>
        </w:rPr>
      </w:pPr>
      <w:r>
        <w:rPr>
          <w:rFonts w:ascii="Times New Roman" w:cs="Times New Roman" w:eastAsia="Times New Roman" w:hAnsi="Times New Roman"/>
          <w:sz w:val="14"/>
          <w:szCs w:val="14"/>
          <w:color w:val="auto"/>
        </w:rPr>
        <w:t>Distributions we make out of our current or accumulated earnings and profits will be treated as dividends for U.S. federal income tax purposes. To the extent that we decide to make distributions in excess of our current and accumulated earnings and profits, such distributions would generally be considered a return of capital for U.S. federal income tax purposes to the extent of the holder’s adjusted tax basis in its shares. A return of capital is not taxable, but it has the effect of reducing the holder’s adjusted tax basis in its investment. To the extent that distributions exceed our current and accumulated earnings and profits, as well as the adjusted tax basis of a holder’s shares, such excess amount will be treated as a gain from the sale or exchange of such stock. See “United States Federal Income Tax Considerations-Taxation of Taxable U.S. Holders of Our Capital Stock” in the accompanying prospectus.</w:t>
      </w:r>
    </w:p>
    <w:p>
      <w:pPr>
        <w:spacing w:after="0" w:line="146" w:lineRule="exact"/>
        <w:rPr>
          <w:sz w:val="20"/>
          <w:szCs w:val="20"/>
          <w:color w:val="auto"/>
        </w:rPr>
      </w:pPr>
    </w:p>
    <w:p>
      <w:pPr>
        <w:ind w:left="260" w:right="379"/>
        <w:spacing w:after="0" w:line="278" w:lineRule="auto"/>
        <w:rPr>
          <w:sz w:val="20"/>
          <w:szCs w:val="20"/>
          <w:color w:val="auto"/>
        </w:rPr>
      </w:pPr>
      <w:r>
        <w:rPr>
          <w:rFonts w:ascii="Times New Roman" w:cs="Times New Roman" w:eastAsia="Times New Roman" w:hAnsi="Times New Roman"/>
          <w:sz w:val="14"/>
          <w:szCs w:val="14"/>
          <w:color w:val="auto"/>
        </w:rPr>
        <w:t>If we borrow to fund distributions, our future interest costs would increase, thereby reducing our earnings and cash available for distribution from what they otherwise would have been.</w:t>
      </w:r>
    </w:p>
    <w:p>
      <w:pPr>
        <w:spacing w:after="0" w:line="207" w:lineRule="exact"/>
        <w:rPr>
          <w:sz w:val="20"/>
          <w:szCs w:val="20"/>
          <w:color w:val="auto"/>
        </w:rPr>
      </w:pPr>
    </w:p>
    <w:p>
      <w:pPr>
        <w:ind w:left="26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significant outstanding indebtedness that involves significant debt service obligations, limits our operational and financial flexibility, exposes us to interest rate fluctuations and exposes us to the risk of default under our debt obligations.</w:t>
      </w:r>
    </w:p>
    <w:p>
      <w:pPr>
        <w:spacing w:after="0" w:line="41" w:lineRule="exact"/>
        <w:rPr>
          <w:sz w:val="20"/>
          <w:szCs w:val="20"/>
          <w:color w:val="auto"/>
        </w:rPr>
      </w:pPr>
    </w:p>
    <w:p>
      <w:pPr>
        <w:ind w:left="260" w:right="319"/>
        <w:spacing w:after="0" w:line="262" w:lineRule="auto"/>
        <w:rPr>
          <w:sz w:val="20"/>
          <w:szCs w:val="20"/>
          <w:color w:val="auto"/>
        </w:rPr>
      </w:pPr>
      <w:r>
        <w:rPr>
          <w:rFonts w:ascii="Times New Roman" w:cs="Times New Roman" w:eastAsia="Times New Roman" w:hAnsi="Times New Roman"/>
          <w:sz w:val="14"/>
          <w:szCs w:val="14"/>
          <w:color w:val="auto"/>
        </w:rPr>
        <w:t>As of March 31, 2026, we had a total combined indebtedness, including finance lease obligations, of approximately $18.3 billion. There are no limits on the amount of indebtedness we may incur other than limits contained in our existing debt financing agreements or future agreements that we may enter into or as may be set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7" w:right="1440" w:bottom="1440" w:gutter="0" w:footer="0" w:header="0"/>
        </w:sectPr>
      </w:pPr>
    </w:p>
    <w:bookmarkStart w:id="13" w:name="page14"/>
    <w:bookmarkEnd w:id="13"/>
    <w:p>
      <w:pPr>
        <w:ind w:left="260" w:right="3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forth in any policy limiting the amount of indebtedness we may incur adopted by our board of directors. A substantial level of indebtedness could have adverse consequences for our business, financial condition and results of operations because it could, among other things:</w:t>
      </w:r>
    </w:p>
    <w:p>
      <w:pPr>
        <w:spacing w:after="0" w:line="53" w:lineRule="exact"/>
        <w:rPr>
          <w:sz w:val="20"/>
          <w:szCs w:val="20"/>
          <w:color w:val="auto"/>
        </w:rPr>
      </w:pPr>
    </w:p>
    <w:p>
      <w:pPr>
        <w:ind w:left="1020" w:right="439" w:hanging="339"/>
        <w:spacing w:after="0" w:line="262"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make debt service payments, thereby reducing our cash flow available to fund working capital, capital expenditures and other general corporate purposes, including to make distributions on our common stock as currently contemplated or as necessary to maintain our qualification as a REIT;</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certain debt, coverage and other financial metrics at specified levels, thereby reducing our financial flexibility;</w:t>
      </w:r>
    </w:p>
    <w:p>
      <w:pPr>
        <w:spacing w:after="0" w:line="98" w:lineRule="exact"/>
        <w:rPr>
          <w:rFonts w:ascii="Times New Roman" w:cs="Times New Roman" w:eastAsia="Times New Roman" w:hAnsi="Times New Roman"/>
          <w:sz w:val="14"/>
          <w:szCs w:val="14"/>
          <w:color w:val="auto"/>
        </w:rPr>
      </w:pPr>
    </w:p>
    <w:p>
      <w:pPr>
        <w:ind w:left="1020" w:right="359" w:hanging="339"/>
        <w:spacing w:after="0" w:line="278"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satisfy our financial obligations, including repaying borrowings under our global revolving credit facilities and term facility;</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expose us to increases in interest rates for our variable rate debt;</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on favorable terms or at all to expand our business or ease liquidity constraints;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refinance all or a portion of our indebtedness on or before maturity on the same or more favorable terms or at all;</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our industry;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relative to competitors that have less indebtedness;</w:t>
      </w:r>
    </w:p>
    <w:p>
      <w:pPr>
        <w:spacing w:after="0" w:line="98" w:lineRule="exact"/>
        <w:rPr>
          <w:rFonts w:ascii="Times New Roman" w:cs="Times New Roman" w:eastAsia="Times New Roman" w:hAnsi="Times New Roman"/>
          <w:sz w:val="14"/>
          <w:szCs w:val="14"/>
          <w:color w:val="auto"/>
        </w:rPr>
      </w:pPr>
    </w:p>
    <w:p>
      <w:pPr>
        <w:ind w:left="1020" w:right="419" w:hanging="339"/>
        <w:spacing w:after="0" w:line="278"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risk of property losses as the result of foreclosure actions initiated by lenders in the event we should incur mortgage or other secured debt obligations and default under such obligations; and</w:t>
      </w:r>
    </w:p>
    <w:p>
      <w:pPr>
        <w:spacing w:after="0" w:line="52" w:lineRule="exact"/>
        <w:rPr>
          <w:rFonts w:ascii="Times New Roman" w:cs="Times New Roman" w:eastAsia="Times New Roman" w:hAnsi="Times New Roman"/>
          <w:sz w:val="14"/>
          <w:szCs w:val="14"/>
          <w:color w:val="auto"/>
        </w:rPr>
      </w:pPr>
    </w:p>
    <w:p>
      <w:pPr>
        <w:ind w:left="1020" w:right="279" w:hanging="339"/>
        <w:spacing w:after="0" w:line="278"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dispose of one or more of our properties at disadvantageous prices in order to service our indebtedness or to raise funds to pay such indebtedness at maturity.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Market interest rates and other factors may affect the value of our common stock.</w:t>
      </w:r>
    </w:p>
    <w:p>
      <w:pPr>
        <w:spacing w:after="0" w:line="90" w:lineRule="exact"/>
        <w:rPr>
          <w:sz w:val="20"/>
          <w:szCs w:val="20"/>
          <w:color w:val="auto"/>
        </w:rPr>
      </w:pPr>
    </w:p>
    <w:p>
      <w:pPr>
        <w:jc w:val="both"/>
        <w:ind w:left="260" w:right="479"/>
        <w:spacing w:after="0" w:line="262" w:lineRule="auto"/>
        <w:rPr>
          <w:sz w:val="20"/>
          <w:szCs w:val="20"/>
          <w:color w:val="auto"/>
        </w:rPr>
      </w:pPr>
      <w:r>
        <w:rPr>
          <w:rFonts w:ascii="Times New Roman" w:cs="Times New Roman" w:eastAsia="Times New Roman" w:hAnsi="Times New Roman"/>
          <w:sz w:val="14"/>
          <w:szCs w:val="14"/>
          <w:color w:val="auto"/>
        </w:rPr>
        <w:t>One of the factors that will influence the price of our common stock will be the dividend yield on our common stock relative to market interest rates. Increases in market interest rates could cause the market price of our common stock to decrease. The market price of the shares of our common stock will also depend on many other factors, which may change from time to time, including:</w:t>
      </w:r>
    </w:p>
    <w:p>
      <w:pPr>
        <w:spacing w:after="0" w:line="65" w:lineRule="exact"/>
        <w:rPr>
          <w:sz w:val="20"/>
          <w:szCs w:val="20"/>
          <w:color w:val="auto"/>
        </w:rPr>
      </w:pPr>
    </w:p>
    <w:p>
      <w:pPr>
        <w:ind w:left="1020" w:hanging="339"/>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w:t>
      </w:r>
    </w:p>
    <w:p>
      <w:pPr>
        <w:spacing w:after="0" w:line="98" w:lineRule="exact"/>
        <w:rPr>
          <w:rFonts w:ascii="Times New Roman" w:cs="Times New Roman" w:eastAsia="Times New Roman" w:hAnsi="Times New Roman"/>
          <w:sz w:val="14"/>
          <w:szCs w:val="14"/>
          <w:color w:val="auto"/>
        </w:rPr>
      </w:pPr>
    </w:p>
    <w:p>
      <w:pPr>
        <w:ind w:left="1020" w:right="279" w:hanging="339"/>
        <w:spacing w:after="0" w:line="278"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attractiveness of REIT securities in comparison to the securities of other companies, taking into account, among other things, the higher tax rates imposed on certain dividends paid by REITs;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action or regulation;</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conditions in the financial or real estate markets;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performance and prospects.</w:t>
      </w:r>
    </w:p>
    <w:p>
      <w:pPr>
        <w:spacing w:after="0" w:line="171"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In addition, over the last several years, prices of equity securities in the U.S. trading markets have been experiencing extreme price fluctuations, and the market prices of our common stock have also fluctuated significantly during this period. As a result of these and other factors, investors who purchase our common stock in this offering may experience a decrease, which could be substantial and rapid, in the market price of our common stock, including decreases unrelated to our operating performance or prospects.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9" w:right="1440"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Our global revolving credit facilities and term facility may limit our ability to pay distributions to our common stockholders.</w:t>
      </w:r>
    </w:p>
    <w:p>
      <w:pPr>
        <w:spacing w:after="0" w:line="90"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Our global revolving credit facilities and our term facility prohibit us from making distributions to our stockholders, or redeeming or otherwise repurchasing shares of our capital stock, including our common stock, after the occurrence and during the continuance of an event of default, except in limited circumstances including as necessary to enable us to maintain our qualification as a REIT and to avoid the payment of income or excise tax. Consequently, after the occurrence and during the continuance of an event of default under our global revolving credit facilities or term facility, we may not be able to pay all or a portion of the dividends payable to the holders of our common stock.</w:t>
      </w:r>
    </w:p>
    <w:p>
      <w:pPr>
        <w:spacing w:after="0" w:line="142"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In addition, in the event of a default under our global revolving credit facilities or term facility, we would be unable to borrow under such facilities and any amounts that we have borrowed thereunder could become immediately due and payable. The agreements governing our future debt instruments may also include restrictions on our ability to pay dividends to holders of our common stock.</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The number of shares available for future sale could adversely affect the market price of our common stock.</w:t>
      </w:r>
    </w:p>
    <w:p>
      <w:pPr>
        <w:spacing w:after="0" w:line="90"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We cannot predict whether future issuances of shares of our common stock or the availability of shares for resale in the open market will decrease the market price per share of our common stock. Sales of a substantial number of shares of our common stock in the public market, the issuance of substantial additional shares or the perception that such sales or issuances might occur could materially adversely affect the market price of the shares of our common stock. In addition, future issuances of shares of our common stock may be dilutive to existing stockholders. Some of the potential share issuances that may adversely affect the market price of the shares of our common stock could include: the exchange of our operating partnership’s units for our common stock, the granting, exercise or vesting of any options, restricted stock or restricted stock units or long-term incentive units in our operating partnership granted to certain directors, executive officers and other employees under our incentive award plans, the issuance of our common stock upon conversion of our outstanding preferred stock (in connection with specified change of control transactions), the issuance of our common stock or our operating partnership’s units in connection with property, portfolio or business acquisitions and other issuances of our common stock, our securities exchangeable for or convertible into our common stock, our operating partnership’s units or our operating partnership’s securities exchangeable for or convertible into our common stock.</w:t>
      </w:r>
    </w:p>
    <w:p>
      <w:pPr>
        <w:spacing w:after="0" w:line="150" w:lineRule="exact"/>
        <w:rPr>
          <w:sz w:val="20"/>
          <w:szCs w:val="20"/>
          <w:color w:val="auto"/>
        </w:rPr>
      </w:pPr>
    </w:p>
    <w:p>
      <w:pPr>
        <w:ind w:left="260" w:right="419"/>
        <w:spacing w:after="0" w:line="257" w:lineRule="auto"/>
        <w:rPr>
          <w:sz w:val="20"/>
          <w:szCs w:val="20"/>
          <w:color w:val="auto"/>
        </w:rPr>
      </w:pPr>
      <w:r>
        <w:rPr>
          <w:rFonts w:ascii="Times New Roman" w:cs="Times New Roman" w:eastAsia="Times New Roman" w:hAnsi="Times New Roman"/>
          <w:sz w:val="14"/>
          <w:szCs w:val="14"/>
          <w:color w:val="auto"/>
        </w:rPr>
        <w:t>We have granted those persons who received units in the formation transactions related to our initial public offering certain registration rights with respect to the shares of our common stock for which their units may be redeemed or exchanged pursuant to the partnership agreement of our operating partnership. These registration rights required us to file a “shelf” registration statement covering all such shares of common stock. A shelf registration statement and a related prospectus supplement covering these shares have been filed and are currently effective.</w:t>
      </w:r>
    </w:p>
    <w:p>
      <w:pPr>
        <w:spacing w:after="0" w:line="142" w:lineRule="exact"/>
        <w:rPr>
          <w:sz w:val="20"/>
          <w:szCs w:val="20"/>
          <w:color w:val="auto"/>
        </w:rPr>
      </w:pPr>
    </w:p>
    <w:p>
      <w:pPr>
        <w:ind w:left="260" w:right="319"/>
        <w:spacing w:after="0" w:line="262" w:lineRule="auto"/>
        <w:rPr>
          <w:sz w:val="20"/>
          <w:szCs w:val="20"/>
          <w:color w:val="auto"/>
        </w:rPr>
      </w:pPr>
      <w:r>
        <w:rPr>
          <w:rFonts w:ascii="Times New Roman" w:cs="Times New Roman" w:eastAsia="Times New Roman" w:hAnsi="Times New Roman"/>
          <w:sz w:val="14"/>
          <w:szCs w:val="14"/>
          <w:color w:val="auto"/>
        </w:rPr>
        <w:t>For a discussion of potential dilution resulting from any forward sale agreement entered into as discussed in this prospectus supplement, see “-Risks Related to Any Forward Sale Agreements-Provisions in the forward sale agreements could result in substantial dilution to our diluted earnings per share and diluted funds from operations per share or result in substantial cash payment obligations.”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may be volatile.</w:t>
      </w:r>
    </w:p>
    <w:p>
      <w:pPr>
        <w:spacing w:after="0" w:line="90" w:lineRule="exact"/>
        <w:rPr>
          <w:sz w:val="20"/>
          <w:szCs w:val="20"/>
          <w:color w:val="auto"/>
        </w:rPr>
      </w:pPr>
    </w:p>
    <w:p>
      <w:pPr>
        <w:ind w:left="260" w:right="419"/>
        <w:spacing w:after="0" w:line="262" w:lineRule="auto"/>
        <w:rPr>
          <w:sz w:val="20"/>
          <w:szCs w:val="20"/>
          <w:color w:val="auto"/>
        </w:rPr>
      </w:pPr>
      <w:r>
        <w:rPr>
          <w:rFonts w:ascii="Times New Roman" w:cs="Times New Roman" w:eastAsia="Times New Roman" w:hAnsi="Times New Roman"/>
          <w:sz w:val="14"/>
          <w:szCs w:val="14"/>
          <w:color w:val="auto"/>
        </w:rPr>
        <w:t>The market price of our common stock may be volatile. In addition, the trading volume in our common stock may fluctuate and cause significant price variations to occur. If the market price of our common stock declines significantly, you may be unable to resell your shares at or above the public offering price. We cannot assure you that the market price of our common stock will not fluctuate or decline significantly in the future.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7" w:right="1440" w:bottom="1440" w:gutter="0" w:footer="0" w:header="0"/>
        </w:sectPr>
      </w:pPr>
    </w:p>
    <w:bookmarkStart w:id="15" w:name="page16"/>
    <w:bookmarkEnd w:id="15"/>
    <w:p>
      <w:pPr>
        <w:ind w:left="260" w:right="3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Some of the factors that could negatively affect the market price of our common stock or result in fluctuations in the market price or trading volume of our common stock include:</w:t>
      </w:r>
    </w:p>
    <w:p>
      <w:pPr>
        <w:spacing w:after="0" w:line="53" w:lineRule="exact"/>
        <w:rPr>
          <w:sz w:val="20"/>
          <w:szCs w:val="20"/>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quarterly operating results or dividends;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funds from operations or earnings estimates;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the real estate industry or the technology industry;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market interest rates that lead purchasers of our shares to demand a higher yield;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any additional debt we incur or equity or equity-linked securities we issue in the future;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stockholders;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of the other risk factors presented or incorporated by reference in this prospectus supplement;</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in the future to pay a dividend partially in shares of our own stock;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and economic conditions.</w:t>
      </w:r>
    </w:p>
    <w:p>
      <w:pPr>
        <w:spacing w:after="0" w:line="253" w:lineRule="exact"/>
        <w:rPr>
          <w:sz w:val="20"/>
          <w:szCs w:val="20"/>
          <w:color w:val="auto"/>
        </w:rPr>
      </w:pPr>
    </w:p>
    <w:p>
      <w:pPr>
        <w:ind w:left="260" w:right="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Future offerings of debt, which would be senior to our common stock upon liquidation, and/or preferred equity securities, which may be senior to our common stock for purposes of distributions or upon liquidation, may adversely affect the market price of our common stock.</w:t>
      </w:r>
    </w:p>
    <w:p>
      <w:pPr>
        <w:spacing w:after="0" w:line="41" w:lineRule="exact"/>
        <w:rPr>
          <w:sz w:val="20"/>
          <w:szCs w:val="20"/>
          <w:color w:val="auto"/>
        </w:rPr>
      </w:pPr>
    </w:p>
    <w:p>
      <w:pPr>
        <w:ind w:left="260" w:right="279"/>
        <w:spacing w:after="0" w:line="271" w:lineRule="auto"/>
        <w:rPr>
          <w:sz w:val="20"/>
          <w:szCs w:val="20"/>
          <w:color w:val="auto"/>
        </w:rPr>
      </w:pPr>
      <w:r>
        <w:rPr>
          <w:rFonts w:ascii="Times New Roman" w:cs="Times New Roman" w:eastAsia="Times New Roman" w:hAnsi="Times New Roman"/>
          <w:sz w:val="13"/>
          <w:szCs w:val="13"/>
          <w:color w:val="auto"/>
        </w:rPr>
        <w:t>In the future, we may attempt to increase our capital resources by making offerings of debt or preferred equity securities, including medium-term notes, exchangeable notes, trust preferred securities, senior or subordinated notes and preferred stock, and entering into new loan agreements. Upon liquidation, holders of our debt securities and shares of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Holders of our common stock are not entitled to preemptive rights or other protections against dilution. Holders of our series J cumulative redeemable preferred stock, series K cumulative redeemable preferred stock and series L cumulative redeemable preferred stock have a preference on liquidating distributions and a preference on dividend payments that could limit our ability to pay a dividend or make another distribution to the holders of our common stock.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stock holdings in us.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earnings and cash distributions will affect the market price of shares of our common stock.</w:t>
      </w:r>
    </w:p>
    <w:p>
      <w:pPr>
        <w:spacing w:after="0" w:line="90" w:lineRule="exact"/>
        <w:rPr>
          <w:sz w:val="20"/>
          <w:szCs w:val="20"/>
          <w:color w:val="auto"/>
        </w:rPr>
      </w:pPr>
    </w:p>
    <w:p>
      <w:pPr>
        <w:ind w:left="260" w:right="279"/>
        <w:spacing w:after="0" w:line="277" w:lineRule="auto"/>
        <w:rPr>
          <w:sz w:val="20"/>
          <w:szCs w:val="20"/>
          <w:color w:val="auto"/>
        </w:rPr>
      </w:pPr>
      <w:r>
        <w:rPr>
          <w:rFonts w:ascii="Times New Roman" w:cs="Times New Roman" w:eastAsia="Times New Roman" w:hAnsi="Times New Roman"/>
          <w:sz w:val="13"/>
          <w:szCs w:val="13"/>
          <w:color w:val="auto"/>
        </w:rPr>
        <w:t>To the extent that the market value of a REIT’s equity securities is based primarily upon market perception of the REIT’s growth potential and its current and potential future cash distributions, whether from operations, sales, acquisitions, development or refinancing and is secondarily based upon the value of the underlying assets, shares of our common stock may trade at prices that are higher or lower than the net asset value per share. To the extent we retain operating cash flow for investment purposes, working capital reserves or other purposes rather than distributing the cash flow to stockholders, these retained funds, while increasing the value of our underlying assets, may negatively impact the market price of our common stock. Our failure to meet market expectations with regard to future earnings and cash distributions would likely adversely affect the market price of our common stock.</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9" w:right="1440"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Risks Related to Any Forward Sale Agreements</w:t>
      </w:r>
    </w:p>
    <w:p>
      <w:pPr>
        <w:spacing w:after="0" w:line="88" w:lineRule="exact"/>
        <w:rPr>
          <w:sz w:val="20"/>
          <w:szCs w:val="20"/>
          <w:color w:val="auto"/>
        </w:rPr>
      </w:pPr>
    </w:p>
    <w:p>
      <w:pPr>
        <w:ind w:left="26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Provisions in the forward sale agreements could result in substantial dilution to our diluted earnings per share and diluted funds from operations per share or result in substantial cash payment obligations.</w:t>
      </w:r>
    </w:p>
    <w:p>
      <w:pPr>
        <w:spacing w:after="0" w:line="41" w:lineRule="exact"/>
        <w:rPr>
          <w:sz w:val="20"/>
          <w:szCs w:val="20"/>
          <w:color w:val="auto"/>
        </w:rPr>
      </w:pPr>
    </w:p>
    <w:p>
      <w:pPr>
        <w:ind w:left="260" w:right="499"/>
        <w:spacing w:after="0" w:line="262" w:lineRule="auto"/>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(with respect to all or any portion of the transaction under such forward sale agreement that the Forward Purchaser determines is affected by an event described below) and require us to settle on a date specified by such Forward Purchaser if:</w:t>
      </w:r>
    </w:p>
    <w:p>
      <w:pPr>
        <w:spacing w:after="0" w:line="65" w:lineRule="exact"/>
        <w:rPr>
          <w:sz w:val="20"/>
          <w:szCs w:val="20"/>
          <w:color w:val="auto"/>
        </w:rPr>
      </w:pPr>
    </w:p>
    <w:p>
      <w:pPr>
        <w:ind w:left="1020" w:right="539" w:hanging="339"/>
        <w:spacing w:after="0" w:line="257"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loan cost in excess of a specified threshold to hedge in a commercially reasonable manner its exposure under such forward sale agreement;</w:t>
      </w:r>
    </w:p>
    <w:p>
      <w:pPr>
        <w:spacing w:after="0" w:line="68" w:lineRule="exact"/>
        <w:rPr>
          <w:rFonts w:ascii="Times New Roman" w:cs="Times New Roman" w:eastAsia="Times New Roman" w:hAnsi="Times New Roman"/>
          <w:sz w:val="14"/>
          <w:szCs w:val="14"/>
          <w:color w:val="auto"/>
        </w:rPr>
      </w:pPr>
    </w:p>
    <w:p>
      <w:pPr>
        <w:ind w:left="1020" w:right="439" w:hanging="339"/>
        <w:spacing w:after="0" w:line="257"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w:t>
      </w:r>
    </w:p>
    <w:p>
      <w:pPr>
        <w:spacing w:after="0" w:line="6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such Forward Purchaser and its affiliates are exceeded;</w:t>
      </w:r>
    </w:p>
    <w:p>
      <w:pPr>
        <w:spacing w:after="0" w:line="98" w:lineRule="exact"/>
        <w:rPr>
          <w:rFonts w:ascii="Times New Roman" w:cs="Times New Roman" w:eastAsia="Times New Roman" w:hAnsi="Times New Roman"/>
          <w:sz w:val="14"/>
          <w:szCs w:val="14"/>
          <w:color w:val="auto"/>
        </w:rPr>
      </w:pPr>
    </w:p>
    <w:p>
      <w:pPr>
        <w:ind w:left="1020" w:right="439" w:hanging="339"/>
        <w:spacing w:after="0" w:line="262"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certain mergers or tender offers, as well as certain events involving our nationalization, or insolvency, or a delisting of our common stock) or the occurrence of a change in law or disruption in the Forward Purchaser’s ability to hedge its exposure under the forward sale agreement; or</w:t>
      </w:r>
    </w:p>
    <w:p>
      <w:pPr>
        <w:spacing w:after="0" w:line="64" w:lineRule="exact"/>
        <w:rPr>
          <w:rFonts w:ascii="Times New Roman" w:cs="Times New Roman" w:eastAsia="Times New Roman" w:hAnsi="Times New Roman"/>
          <w:sz w:val="14"/>
          <w:szCs w:val="14"/>
          <w:color w:val="auto"/>
        </w:rPr>
      </w:pPr>
    </w:p>
    <w:p>
      <w:pPr>
        <w:ind w:left="1020" w:right="499" w:hanging="339"/>
        <w:spacing w:after="0" w:line="278"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or termination events occur, including, among others, any material misrepresentation made in connection with such forward sale agreement or our insolvency (each as more fully described in each forward sale agreement).</w:t>
      </w:r>
    </w:p>
    <w:p>
      <w:pPr>
        <w:spacing w:after="0" w:line="126" w:lineRule="exact"/>
        <w:rPr>
          <w:sz w:val="20"/>
          <w:szCs w:val="20"/>
          <w:color w:val="auto"/>
        </w:rPr>
      </w:pPr>
    </w:p>
    <w:p>
      <w:pPr>
        <w:jc w:val="both"/>
        <w:ind w:left="260" w:right="399"/>
        <w:spacing w:after="0" w:line="257"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the settlement of any forward sale agreement and to require us to physically settle the relevant shares will be made irrespective of our interests, including our need for capital. In such cases, we could be required to issue and deliver shares of our common stock under the physical settlement provisions of the applicable forward sale agreement irrespective of our capital needs, which would result in dilution to our diluted earnings per share and diluted funds from operations per share.</w:t>
      </w:r>
    </w:p>
    <w:p>
      <w:pPr>
        <w:spacing w:after="0" w:line="142"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We expect that any forward sale agreement will be physically settled by delivery of shares of our common stock, unless we elect to cash settle or net share settle the forward sale agreement, subject to the satisfaction of certain conditions. Upon physical settlement or, if we so elect, net share settlement of any forward sale agreement, delivery of shares of our common stock in connection with such physical settlement or, to the extent we are obligated to deliver shares of our common stock, net share settlement will result in dilution to our diluted earnings per share and diluted funds from operations per share.</w:t>
      </w:r>
    </w:p>
    <w:p>
      <w:pPr>
        <w:spacing w:after="0" w:line="142" w:lineRule="exact"/>
        <w:rPr>
          <w:sz w:val="20"/>
          <w:szCs w:val="20"/>
          <w:color w:val="auto"/>
        </w:rPr>
      </w:pPr>
    </w:p>
    <w:p>
      <w:pPr>
        <w:ind w:left="260" w:right="659"/>
        <w:spacing w:after="0" w:line="262" w:lineRule="auto"/>
        <w:rPr>
          <w:sz w:val="20"/>
          <w:szCs w:val="20"/>
          <w:color w:val="auto"/>
        </w:rPr>
      </w:pPr>
      <w:r>
        <w:rPr>
          <w:rFonts w:ascii="Times New Roman" w:cs="Times New Roman" w:eastAsia="Times New Roman" w:hAnsi="Times New Roman"/>
          <w:sz w:val="14"/>
          <w:szCs w:val="14"/>
          <w:color w:val="auto"/>
        </w:rPr>
        <w:t>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w:t>
      </w:r>
    </w:p>
    <w:p>
      <w:pPr>
        <w:spacing w:after="0" w:line="65" w:lineRule="exact"/>
        <w:rPr>
          <w:sz w:val="20"/>
          <w:szCs w:val="20"/>
          <w:color w:val="auto"/>
        </w:rPr>
      </w:pPr>
    </w:p>
    <w:p>
      <w:pPr>
        <w:ind w:left="1020" w:right="299" w:hanging="339"/>
        <w:spacing w:after="0" w:line="278"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spacing w:after="0" w:line="52" w:lineRule="exact"/>
        <w:rPr>
          <w:rFonts w:ascii="Times New Roman" w:cs="Times New Roman" w:eastAsia="Times New Roman" w:hAnsi="Times New Roman"/>
          <w:sz w:val="14"/>
          <w:szCs w:val="14"/>
          <w:color w:val="auto"/>
        </w:rPr>
      </w:pPr>
    </w:p>
    <w:p>
      <w:pPr>
        <w:ind w:left="1020" w:right="639" w:hanging="339"/>
        <w:spacing w:after="0" w:line="278"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shares of our common stock to us to the extent required in settlement of such forward sale agreement.</w:t>
      </w:r>
    </w:p>
    <w:p>
      <w:pPr>
        <w:spacing w:after="0" w:line="126" w:lineRule="exact"/>
        <w:rPr>
          <w:sz w:val="20"/>
          <w:szCs w:val="20"/>
          <w:color w:val="auto"/>
        </w:rPr>
      </w:pPr>
    </w:p>
    <w:p>
      <w:pPr>
        <w:ind w:left="260" w:right="579"/>
        <w:spacing w:after="0" w:line="278" w:lineRule="auto"/>
        <w:rPr>
          <w:sz w:val="20"/>
          <w:szCs w:val="20"/>
          <w:color w:val="auto"/>
        </w:rPr>
      </w:pPr>
      <w:r>
        <w:rPr>
          <w:rFonts w:ascii="Times New Roman" w:cs="Times New Roman" w:eastAsia="Times New Roman" w:hAnsi="Times New Roman"/>
          <w:sz w:val="14"/>
          <w:szCs w:val="14"/>
          <w:color w:val="auto"/>
        </w:rPr>
        <w:t>In addition, the purchase of shares of our common stock in connection with a Forward Purchaser or its affiliate unwinding its hedge positions could cause the price of shares of our common stock to increase over such time (or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7" w:right="1440" w:bottom="1440" w:gutter="0" w:footer="0" w:header="0"/>
        </w:sectPr>
      </w:pPr>
    </w:p>
    <w:bookmarkStart w:id="17" w:name="page18"/>
    <w:bookmarkEnd w:id="17"/>
    <w:p>
      <w:pPr>
        <w:ind w:left="260" w:right="39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prevent a decrease over such time), thereby increasing the amount of cash we would owe to such Forward Purchaser (or decreasing the amount of cash that the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w:t>
      </w:r>
    </w:p>
    <w:p>
      <w:pPr>
        <w:spacing w:after="0" w:line="142"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forward sale price we expect to receive upon physical settlement of any forward sale agreement will be subject to adjustment on a daily basis based on a floating interest rate factor equal to a specified daily rate less a spread to be mutually agreed by us and the applicable Forward Purchaser, and will be decreased on certain dates based on amounts related to expected dividends on shares of our common stock during the term of such forward sale agreement. If the specified daily rate is less than, or greater than, the spread under such forward sale agreement on any day, the interest factor will result in a daily reduction, or a daily increase, respectively, of the forward sale price. If the weighted average price at which a Forward Purchaser (or its affiliate) is able to purchase shares during the 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 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 See “Plan of Distribution” for information on the forward sale agreements.</w:t>
      </w:r>
    </w:p>
    <w:p>
      <w:pPr>
        <w:spacing w:after="0" w:line="228" w:lineRule="exact"/>
        <w:rPr>
          <w:sz w:val="20"/>
          <w:szCs w:val="20"/>
          <w:color w:val="auto"/>
        </w:rPr>
      </w:pPr>
    </w:p>
    <w:p>
      <w:pPr>
        <w:ind w:left="260" w:right="7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In case of our bankruptcy or insolvency, the forward sale agreements would automatically terminate, and we would not receive the expected proceeds from the sale of shares of our common stock.</w:t>
      </w:r>
    </w:p>
    <w:p>
      <w:pPr>
        <w:spacing w:after="0" w:line="41"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If we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the forward sale agreements will automatically terminate. If a forward sale agreement so terminates, we would not be obligated to deliver to the applicable Forward Purchaser any shares of our common stock not previously delivered, and such Forward Purchaser would be discharged from its obligation to pay the relevant forward sale price per share in respect of any shares of our common stock not previously settled. Therefore, to the extent that there are any shares of our common stock with respect to which such forward sale agreement has not been settled at the time of the commencement of any such bankruptcy or insolvency proceedings, we would not receive the relevant forward sale price per share in respect of those shares of our common stock.</w:t>
      </w:r>
    </w:p>
    <w:p>
      <w:pPr>
        <w:spacing w:after="0" w:line="225" w:lineRule="exact"/>
        <w:rPr>
          <w:sz w:val="20"/>
          <w:szCs w:val="20"/>
          <w:color w:val="auto"/>
        </w:rPr>
      </w:pPr>
    </w:p>
    <w:p>
      <w:pPr>
        <w:ind w:left="26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U.S. federal income tax treatment of the cash that we might receive from cash settlement of any forward sale agreement is unclear and could jeopardize our ability to meet the REIT qualification requirements.</w:t>
      </w:r>
    </w:p>
    <w:p>
      <w:pPr>
        <w:spacing w:after="0" w:line="41"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We have in the past entered, and may in the future enter, into forward sale transactions (such as forward sale agreements, including those under our ATM program) that subject us to certain risks. Any purchases of common stock in connection with the unwinding of the applicable forward purchaser’s hedge position could cause our stock price to increase (or prevent a decrease) over such time, thereby increasing the amount of cash we would owe (or decreasing the amount of cash owed to us) upon a cash settlement. Under Section 1032 of the Code, generally, no gains and losses are recognized by a corporation in dealing in its own shares, including pursuant to a “securities futures contract” as defined in the Code. However, because it is not clear whether a forward sale agreement qualifies as a “securities futures contract,” the U.S. federal income tax treatment of any cash settlement payment is uncertain. In the event that we recognize a significant gain from a forward sale agreement,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9" w:right="1440" w:bottom="1440" w:gutter="0" w:footer="0" w:header="0"/>
        </w:sectPr>
      </w:pPr>
    </w:p>
    <w:bookmarkStart w:id="18" w:name="page19"/>
    <w:bookmarkEnd w:id="18"/>
    <w:p>
      <w:pPr>
        <w:ind w:left="26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may not be able to satisfy the gross income requirements applicable to REITs under the Code, may not be able to rely upon certain relief provisions under the Code and could lose our REIT status. Even if such relief provisions apply, we would be subject to a tax based on the amount of non-qualifying income. In the event we are unable to determine that we can satisfy the gross income requirements for REITs if a cash settlement payment were treated as nonqualifying income, we may be precluded from electing to cash settle a forward sale agreement even if the cash settlement may be the optimal business decision.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3" w:lineRule="exact"/>
        <w:rPr>
          <w:sz w:val="20"/>
          <w:szCs w:val="20"/>
          <w:color w:val="auto"/>
        </w:rPr>
      </w:pPr>
    </w:p>
    <w:p>
      <w:pPr>
        <w:ind w:left="260" w:right="299"/>
        <w:spacing w:after="0" w:line="271" w:lineRule="auto"/>
        <w:rPr>
          <w:sz w:val="20"/>
          <w:szCs w:val="20"/>
          <w:color w:val="auto"/>
        </w:rPr>
      </w:pPr>
      <w:r>
        <w:rPr>
          <w:rFonts w:ascii="Times New Roman" w:cs="Times New Roman" w:eastAsia="Times New Roman" w:hAnsi="Times New Roman"/>
          <w:sz w:val="13"/>
          <w:szCs w:val="13"/>
          <w:color w:val="auto"/>
        </w:rPr>
        <w:t>The shares of our common stock that may be offered pursuant to this prospectus supplement and the accompanying prospectus include newly issued shares that may be offered and sold by us to or through the Agents, acting as our sales agents or as principals, and borrowed shares of our common stock that may be offered and sold by the Forward Purchasers through their respective Forward Sellers. We intend to contribute the net proceeds from any sales of shares of our common stock to or through the Agents and the net cash proceeds from the settlement of any forward sale agreement to our operating partnership, which will subsequently use the net proceeds received from us to temporarily repay borrowings outstanding under our global revolving credit facilities, acquire additional properties or businesses, fund development opportunities, and to provide for working capital and other general corporate purposes, including potentially for the repayment of other debt or the repurchase, redemption, or retirement of outstanding debt securities, or a combination of the foregoing. As of March 31, 2026, our global revolving credit facility had a total outstanding balance of approximately $569.7 million, excluding committed letters of credit of $92.2 million, leaving approximately $3.5 billion available for use. As of March 31, 2026, borrowings under the global revolving credit facility bore interest at an overall blended rate of 1.38%, comprised of 2.68% (Euro) and 0.74% (Swiss franc). As of March 31, 2026, our Yen revolving credit facility had a total outstanding balance of approximately $156.2 million, leaving approximately $111.6 million available for use. As of March 31, 2026, borrowings under the Yen revolving credit facility bore an interest rate of 1.41%.</w:t>
      </w:r>
    </w:p>
    <w:p>
      <w:pPr>
        <w:spacing w:after="0" w:line="135"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We will not initially receive any proceeds from any sale of borrowed shares of our common stock by a Forward Purchaser in connection with a forward sale agreement as a hedge of such forward sale agreement. In the event of full physical settlement of a forward sale agreement, which we expect to occur on or prior to the maturity date of the forward sale agreement, we expect to receive aggregate cash proceeds equal to the product of the forward sale price under the forward sale agreement and the number of shares of our common stock underlying the forward sale agreement, subject to the price adjustment and other provisions of the forward sale agreement. If, however, we elect to cash settle or net share settle any forward sale agreement, we would expect to receive an amount of proceeds that is significantly lower than the product set forth in the preceding sentence (in the case of any cash settlement) or will not receive any proceeds (in the case of any net share settlement), and we may owe cash (in the case of any cash settlement) or shares of our common stock (in the case of any net share settlement) to the relevant Forward Purchaser. See “Plan of Distribution.”</w:t>
      </w:r>
    </w:p>
    <w:p>
      <w:pPr>
        <w:spacing w:after="0" w:line="144"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Certain of the Agents and their affiliates are joint lead arrangers, bookrunners, lenders, syndication agents, issuing banks, swing line banks and an administrative agent under our global revolving credit facilities, term facility and mortgages and/or holders of our senior notes. To the extent we use the net proceeds from this offering for the repayment of those borrowings, such Agents and their affiliates may receive a portion of such net proceeds. See “Plan of Distribution.”</w:t>
      </w:r>
    </w:p>
    <w:p>
      <w:pPr>
        <w:spacing w:after="0" w:line="142"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such Forward Purchaser, acting in accordance with the mutually accepted instructions related to such forward sale agreement, will attempt to borrow and sell, through the relevant Forward Seller, shares of our common stock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(except for Nomura Global Financial Products, Inc.). As a result, we will not receive any net proceeds from any sale of borrowed shares of our common stock made in connection with any forward sale agreements.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37"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3"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We and the operating partnership have entered into a sales agreement with the Agents and, as applicable, the relevant Forward Sellers and Forward Purchasers, relating to the offer and sale of shares of our common stock having an aggregate sales price of up to $7,500,000,000 from time to time under this prospectus supplement and the accompanying prospectus to or through the Agents, acting as our sales agents, or, if applicable, through the Forward Sellers, acting as agents for the relevant Forward Purchasers, in connection with any forward sale agreements.</w:t>
      </w:r>
    </w:p>
    <w:p>
      <w:pPr>
        <w:spacing w:after="0" w:line="142" w:lineRule="exact"/>
        <w:rPr>
          <w:sz w:val="20"/>
          <w:szCs w:val="20"/>
          <w:color w:val="auto"/>
        </w:rPr>
      </w:pPr>
    </w:p>
    <w:p>
      <w:pPr>
        <w:ind w:left="260" w:right="339"/>
        <w:spacing w:after="0" w:line="279" w:lineRule="auto"/>
        <w:rPr>
          <w:sz w:val="20"/>
          <w:szCs w:val="20"/>
          <w:color w:val="auto"/>
        </w:rPr>
      </w:pPr>
      <w:r>
        <w:rPr>
          <w:rFonts w:ascii="Times New Roman" w:cs="Times New Roman" w:eastAsia="Times New Roman" w:hAnsi="Times New Roman"/>
          <w:sz w:val="13"/>
          <w:szCs w:val="13"/>
          <w:color w:val="auto"/>
        </w:rPr>
        <w:t>We may enter into separate forward sale agreements with any of the Forward Purchasers. If we enter into a forward sale agreement with any Forward Purchaser, we expect that such Forward Purchaser, acting in accordance with the mutually accepted instructions related to such forward sale agreement, will attempt to borrow and sell, through the relevant Forward Seller, shares of our common stock to hedge such Forward Purchaser’s exposure under such forward sale agreement. Only an Agent that is, or is affiliated with, a Forward Purchaser will act as a Forward Seller (except that with respect to Nomura Global Financial Products, Inc., the relevant Forward Seller is Nomura Securities International, Inc. (acting through BTIG, LLC as agent)).</w:t>
      </w:r>
    </w:p>
    <w:p>
      <w:pPr>
        <w:spacing w:after="0" w:line="128"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From time to time during the term of the sales agreement, we may deliver a placement notice to one of the Agents or Forward Sellers specifying the length of the selling period, the amount of common stock to be sold, any limitation on the number of shares that may be sold in any one trading day and the minimum price below which sales may not be made. Upon its acceptance of the placement notice from us, the applicable Agent or Forward Seller will use its commercially reasonable efforts consistent with its normal trading and sales practices to solicit offers to purchase our common stock, under the terms and subject to the conditions set forth in the sales agreement, by means of ordinary brokers’ transactions on the NYSE, in negotiated transactions or in transactions that are deemed to be “at-the-market” offerings as defined in Rule 415 under the Securities Act, including sales made to or through a market maker other than on an exchange, in block transactions or by any other method permitted by law, at prices related to the prevailing market prices or at negotiated prices subject to certain minimum prices. We may instruct the Agents or Forward Sellers not to sell our common stock if the sales cannot be effected at or above the price designated by us in any placement notice. We or any of the Agents or Forward Sellers, as applicable, may suspend the offering of shares of our common stock at any time upon proper notice and subject to other conditions.</w:t>
      </w:r>
    </w:p>
    <w:p>
      <w:pPr>
        <w:spacing w:after="0" w:line="145" w:lineRule="exact"/>
        <w:rPr>
          <w:sz w:val="20"/>
          <w:szCs w:val="20"/>
          <w:color w:val="auto"/>
        </w:rPr>
      </w:pPr>
    </w:p>
    <w:p>
      <w:pPr>
        <w:ind w:left="260" w:right="479"/>
        <w:spacing w:after="0" w:line="257" w:lineRule="auto"/>
        <w:rPr>
          <w:sz w:val="20"/>
          <w:szCs w:val="20"/>
          <w:color w:val="auto"/>
        </w:rPr>
      </w:pPr>
      <w:r>
        <w:rPr>
          <w:rFonts w:ascii="Times New Roman" w:cs="Times New Roman" w:eastAsia="Times New Roman" w:hAnsi="Times New Roman"/>
          <w:sz w:val="14"/>
          <w:szCs w:val="14"/>
          <w:color w:val="auto"/>
        </w:rPr>
        <w:t>The relevant Agent or Forward Seller, as applicable, will provide written confirmation to us no later than the opening of the trading day on the NYSE following the trading day in which our common stock is sold under the sales agreement. Each confirmation will include the number of shares of our common stock sold on the preceding day, and, if applicable, the net proceeds to us and the compensation payable by us to the applicable Agent in connection with such sales.</w:t>
      </w:r>
    </w:p>
    <w:p>
      <w:pPr>
        <w:spacing w:after="0" w:line="142"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We will pay each Agent a commission for its services in acting as agent in the sale of our common stock. Each Agent will be entitled to compensation in an amount up to 2.0% of the gross sales price of all of our shares of common stock sold through it acting as our sales agent under the sales agreement. We estimate that the total expenses for the offering, excluding compensation payable by us to the Agents and Forward Purchasers under the terms of the sales agreement, will not exceed $1.0 million.</w:t>
      </w:r>
    </w:p>
    <w:p>
      <w:pPr>
        <w:spacing w:after="0" w:line="142" w:lineRule="exact"/>
        <w:rPr>
          <w:sz w:val="20"/>
          <w:szCs w:val="20"/>
          <w:color w:val="auto"/>
        </w:rPr>
      </w:pPr>
    </w:p>
    <w:p>
      <w:pPr>
        <w:ind w:left="260" w:right="319"/>
        <w:spacing w:after="0" w:line="257" w:lineRule="auto"/>
        <w:rPr>
          <w:sz w:val="20"/>
          <w:szCs w:val="20"/>
          <w:color w:val="auto"/>
        </w:rPr>
      </w:pPr>
      <w:r>
        <w:rPr>
          <w:rFonts w:ascii="Times New Roman" w:cs="Times New Roman" w:eastAsia="Times New Roman" w:hAnsi="Times New Roman"/>
          <w:sz w:val="14"/>
          <w:szCs w:val="14"/>
          <w:color w:val="auto"/>
        </w:rPr>
        <w:t>Under the terms of the sales agreement, we also may sell shares of common stock to each of the Agents, as principal for its own account, at a price to be agreed upon at the time of sale. If we sell shares of our common stock to any of the Agents, as principal, we will enter into a separate terms agreement with such Agent, and, to the extent required by applicable law, we will describe the terms agreement in a separate prospectus supplement or pricing supplement.</w:t>
      </w:r>
    </w:p>
    <w:p>
      <w:pPr>
        <w:spacing w:after="0" w:line="142" w:lineRule="exact"/>
        <w:rPr>
          <w:sz w:val="20"/>
          <w:szCs w:val="20"/>
          <w:color w:val="auto"/>
        </w:rPr>
      </w:pPr>
    </w:p>
    <w:p>
      <w:pPr>
        <w:ind w:left="260" w:right="399"/>
        <w:spacing w:after="0" w:line="262" w:lineRule="auto"/>
        <w:rPr>
          <w:sz w:val="20"/>
          <w:szCs w:val="20"/>
          <w:color w:val="auto"/>
        </w:rPr>
      </w:pPr>
      <w:r>
        <w:rPr>
          <w:rFonts w:ascii="Times New Roman" w:cs="Times New Roman" w:eastAsia="Times New Roman" w:hAnsi="Times New Roman"/>
          <w:sz w:val="14"/>
          <w:szCs w:val="14"/>
          <w:color w:val="auto"/>
        </w:rPr>
        <w:t>Settlement for sales of our common stock to or through any Agent (acting as principal or as our sales agent, respectively) will occur on the first trading day following the date on which any sales are made, or on some other date that is agreed upon by us and the applicable Agent in connection with a particular transaction (other than a</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7" w:right="1440" w:bottom="1440" w:gutter="0" w:footer="0" w:header="0"/>
        </w:sectPr>
      </w:pPr>
    </w:p>
    <w:bookmarkStart w:id="21" w:name="page22"/>
    <w:bookmarkEnd w:id="21"/>
    <w:p>
      <w:pPr>
        <w:ind w:left="260" w:right="2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day on which the New York Stock Exchange is scheduled to close prior to its regular weekday closing time), in return for payment of the net proceeds to us. There is no arrangement for funds to be received in an escrow, trust or similar arrangement.</w:t>
      </w:r>
    </w:p>
    <w:p>
      <w:pPr>
        <w:spacing w:after="0" w:line="126"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Unless otherwise set forth in a prospectus supplement, we will report at least quarterly the number of shares of our common stock sold to or through the Agents or the Forward Sellers under the sales agreement during the relevant quarterly period and the aggregate net proceeds to us in connection with such sales, together with any other information we reasonably believe is required to comply with the Securities Act and Exchange Act with respect to such sales.</w:t>
      </w:r>
    </w:p>
    <w:p>
      <w:pPr>
        <w:spacing w:after="0" w:line="142"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In connection with the sale of common stock on our behalf, each Agent, Forward Seller and/or Forward Purchaser may be deemed to be an “underwriter” within the meaning of the Securities Act and compensation of the Agents, Forward Sellers and/or Forward Purchasers may be deemed to be underwriting discounts or commissions. We have agreed to indemnify the several Agents, Forward Sellers and Forward Purchasers against certain liabilities in connection with this offering, including liabilities under the Securities Act, or to contribute to payments such Agents, Forward Sellers and Forward Purchasers may be required to make because of any of those liabilities.</w:t>
      </w:r>
    </w:p>
    <w:p>
      <w:pPr>
        <w:spacing w:after="0" w:line="142"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The offering of shares of our common stock pursuant to the sales agreement will terminate upon the earlier of (1) the sale of all common stock subject to the sales agreement (including shares sold by us to or through the Agents and borrowed shares sold through the Forward Sellers) or (2) termination of the sales agreement. The sales agreement may be terminated by each of the respective Agents, with respect to such Agent, or by us at any time upon one (1) business day’s notice.</w:t>
      </w:r>
    </w:p>
    <w:p>
      <w:pPr>
        <w:spacing w:after="0" w:line="142"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such Forward Purchaser, acting in accordance with the mutually accepted instructions related to such forward sale agreement, will attempt to borrow and sell, through the relevant Forward Seller, shares of our common stock to hedge such Forward Purchaser’s exposure under such forward sale agreement. No Forward Purchaser is obligated to enter into a forward sale agreement with us unless it and the relevant Forward Seller each agrees to the terms we propose for such forward sale transaction in our instructions delivered in accordance with the sales agreement (as such instructions may be modified upon mutual consent of such Forward Purchaser, Forward Seller and us).</w:t>
      </w:r>
    </w:p>
    <w:p>
      <w:pPr>
        <w:spacing w:after="0" w:line="145"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In connection with any forward sale agreement and our instructions accepted by the relevant Forward Purchaser and Forward Seller (as such instructions may have been modified upon mutual consent of such Forward Purchaser, Forward Seller and us), such Forward Purchaser will use its commercially reasonable efforts to borrow or cause its affiliate to borrow, offer and sell through the relevant Forward Seller the applicable shares of our common stock to hedge the Forward Purchaser’s exposure under the relevant forward sale agreement, and such Forward Seller will use its commercially reasonable efforts, consistent with its normal trading and sales practices and applicable law and regulations, to sell such shares of our common stock, on the terms and subject to the conditions set forth in the sales agreement and forward sale agreement. Such instructions will specify the target number and maximum aggregate sales price of shares of our common stock to be sold by it and will also specify that such Forward Seller shall not sell such shares of common stock if the sales cannot be effected at or above a price designated by us. We or the applicable Forward Seller or Forward Purchaser may at any time immediately suspend the offering of shares of our common stock through such Forward Seller upon proper notice to the other party and subject to other conditions.</w:t>
      </w:r>
    </w:p>
    <w:p>
      <w:pPr>
        <w:spacing w:after="0" w:line="145"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Each Forward Purchaser will receive from us a mutually agreed commission in the form of a reduction to the initial forward price under the related forward sale agreement that will not exceed, but may be lower than, 2.0% of the gross sales price of the borrowed shares sold through the relevant Forward Seller during the applicable forward hedge selling period for such shares (which gross sales price will be adjusted for daily accruals based on a floating interest rate and specified amounts related to expected dividends on shares of our common stock if an “ex-dividend” date occurs during such forward hedge selling period). We sometimes refer to this commission as the “forward selling commission.”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9" w:right="1440" w:bottom="1440" w:gutter="0" w:footer="0" w:header="0"/>
        </w:sectPr>
      </w:pPr>
    </w:p>
    <w:bookmarkStart w:id="22" w:name="page23"/>
    <w:bookmarkEnd w:id="22"/>
    <w:p>
      <w:pPr>
        <w:ind w:left="26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expect that settlement between a Forward Purchaser and the relevant Forward Seller for sales of borrowed shares of our common stock, as well as settlement between such Forward Seller and buyers of such shares in the market, will occur on the first business day or on such other date as is the industry practice at that time for regular-way trading (other than a day on which the New York Stock Exchange is scheduled to close prior to its regular weekday closing time) following the respective dates on which any such sales are made, or such other date as may be agreed upon by the relevant parties. There is no arrangement for funds to be received in escrow, trust or similar arrangement. The obligations of a Forward Seller and the relevant Forward Purchaser under the sales agreement are subject to a number of conditions, which such Forward Seller and Forward Purchaser may waive in their sole discretion.</w:t>
      </w:r>
    </w:p>
    <w:p>
      <w:pPr>
        <w:spacing w:after="0" w:line="146" w:lineRule="exact"/>
        <w:rPr>
          <w:sz w:val="20"/>
          <w:szCs w:val="20"/>
          <w:color w:val="auto"/>
        </w:rPr>
      </w:pPr>
    </w:p>
    <w:p>
      <w:pPr>
        <w:ind w:left="260" w:right="279"/>
        <w:spacing w:after="0" w:line="249" w:lineRule="auto"/>
        <w:rPr>
          <w:sz w:val="20"/>
          <w:szCs w:val="20"/>
          <w:color w:val="auto"/>
        </w:rPr>
      </w:pPr>
      <w:r>
        <w:rPr>
          <w:rFonts w:ascii="Times New Roman" w:cs="Times New Roman" w:eastAsia="Times New Roman" w:hAnsi="Times New Roman"/>
          <w:sz w:val="14"/>
          <w:szCs w:val="14"/>
          <w:color w:val="auto"/>
        </w:rPr>
        <w:t>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shares we have agreed to sell under such forward sale agreement. If we elect or are deemed to have elected to physically settle all or any portion of any forward sale agreement by delivering shares of our common stock, we will receive aggregate cash proceeds from the relevant Forward Purchaser equal to the product of (1) the then-applicable forward price per share under such forward sale agreement and (2) the number of shares of our common stock as to which we have elected or are deemed to have elected physical settlement, subject to the price adjustment and other provisions of such forward sale agreement. The initial forward price per share under each forward sale agreement will equal the product of (x) an amount equal to 100% minus the applicable forward selling commission and (y) the volume weighted average price per share at which the borrowed shares of our common stock were sold pursuant to the sales agreement by the relevant Forward Seller during the applicable forward hedge selling period for such shares to hedge the relevant Forward Purchaser’s exposure under such forward sale agreement (subject to certain adjustments to such gross sales price for daily accruals based on a floating interest rate and specified amounts related to expected dividends on shares of our common stock having an “ex-dividend” date during such forward hedge selling period). Thereafter, each forward sale agreement will provide that the forward price will be subject to adjustment on a daily basis based on a floating interest rate factor equal to the federal funds rate less a spread to be mutually agreed by us and the applicable Forward Purchaser, and will be decreased based on specified amounts related to expected dividends on shares of our common stock during the term of the applicable forward sale agreement. If the federal funds rate is less than, or greater than, the spread on any day, the interest factor will result in a daily reduction, or a daily increase, respectively, of the applicable forward sale price. We will not initially receive any proceeds from any sale of shares of our common stock borrowed by a Forward Purchaser and sold through a Forward Seller, and all of such proceeds will be paid to the relevant Forward Purchaser (or one or more of its affiliates).</w:t>
      </w:r>
    </w:p>
    <w:p>
      <w:pPr>
        <w:spacing w:after="0" w:line="152" w:lineRule="exact"/>
        <w:rPr>
          <w:sz w:val="20"/>
          <w:szCs w:val="20"/>
          <w:color w:val="auto"/>
        </w:rPr>
      </w:pPr>
    </w:p>
    <w:p>
      <w:pPr>
        <w:ind w:left="260" w:right="319"/>
        <w:spacing w:after="0" w:line="271" w:lineRule="auto"/>
        <w:rPr>
          <w:sz w:val="20"/>
          <w:szCs w:val="20"/>
          <w:color w:val="auto"/>
        </w:rPr>
      </w:pPr>
      <w:r>
        <w:rPr>
          <w:rFonts w:ascii="Times New Roman" w:cs="Times New Roman" w:eastAsia="Times New Roman" w:hAnsi="Times New Roman"/>
          <w:sz w:val="13"/>
          <w:szCs w:val="13"/>
          <w:color w:val="auto"/>
        </w:rPr>
        <w:t>Before settlement of any forward sale agreement, we expect that the shares issuable upon settlement of the applicable forward sale agreement will be reflected in our diluted earnings per share and diluted funds from operations per share, as the number of shares of our common stock used in calculating diluted earnings per share and diluted funds from operations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relevant forward hedge selling period specified in such forward sale agreement) using the proceeds receivable upon full physical settlement (based on the adjusted forward sale price at the end of the reporting period). Consequently, we anticipate there will be no dilutive effect on our diluted earnings per share and diluted funds from operations per share prior to physical or net share settlement of such forward sale agreements and subject to the occurrence of certain events, except during periods when the average market price of shares of our common stock is above the applicable adjusted forward sale price. However, if we decide to physically settle or net share settle any forward sale agreement, delivery of shares of our common stock to the applicable Forward Purchaser on any such physical settlement or net share settlement date of such forward sale agreement will result in dilution to our diluted earnings per share and diluted funds from operations per share.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9" w:right="1440" w:bottom="1440" w:gutter="0" w:footer="0" w:header="0"/>
        </w:sectPr>
      </w:pPr>
    </w:p>
    <w:bookmarkStart w:id="23" w:name="page24"/>
    <w:bookmarkEnd w:id="23"/>
    <w:p>
      <w:pPr>
        <w:ind w:left="260" w:right="2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Except under the circumstances described below and set forth in any forward sale agreement, we have the right to elect physical, cash or net share settlement under any forward sale agreement. Although we expect to settle any forward sale agreement entirely by delivering shares of our common stock in connection with full physical settlement, we may, subject to certain conditions, elect cash settlement or net share settlement for all or a portion of our obligations if we conclude it is in our interest to cash settle or net share settle. For example, we may conclude it is in our interest to cash settle or net share settle if we have no then-current use for all or a portion of the proceeds we would receive upon physical settlement. In addition, subject to certain conditions, we may elect to accelerate the settlement of all or a portion of the number of shares of our common stock underlying any forward sale agreement. Delivery of shares of our common stock upon physical settlement (or, if we elect net share settlement, upon such settlement to the extent we are obligated to deliver shares of our common stock) will result in dilution to our diluted earnings per share and diluted funds from operations per share.</w:t>
      </w:r>
    </w:p>
    <w:p>
      <w:pPr>
        <w:spacing w:after="0" w:line="147" w:lineRule="exact"/>
        <w:rPr>
          <w:sz w:val="20"/>
          <w:szCs w:val="20"/>
          <w:color w:val="auto"/>
        </w:rPr>
      </w:pPr>
    </w:p>
    <w:p>
      <w:pPr>
        <w:ind w:left="260" w:right="659"/>
        <w:spacing w:after="0" w:line="262" w:lineRule="auto"/>
        <w:rPr>
          <w:sz w:val="20"/>
          <w:szCs w:val="20"/>
          <w:color w:val="auto"/>
        </w:rPr>
      </w:pPr>
      <w:r>
        <w:rPr>
          <w:rFonts w:ascii="Times New Roman" w:cs="Times New Roman" w:eastAsia="Times New Roman" w:hAnsi="Times New Roman"/>
          <w:sz w:val="14"/>
          <w:szCs w:val="14"/>
          <w:color w:val="auto"/>
        </w:rPr>
        <w:t>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w:t>
      </w:r>
    </w:p>
    <w:p>
      <w:pPr>
        <w:spacing w:after="0" w:line="65" w:lineRule="exact"/>
        <w:rPr>
          <w:sz w:val="20"/>
          <w:szCs w:val="20"/>
          <w:color w:val="auto"/>
        </w:rPr>
      </w:pPr>
    </w:p>
    <w:p>
      <w:pPr>
        <w:ind w:left="1020" w:right="299" w:hanging="339"/>
        <w:spacing w:after="0" w:line="278"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spacing w:after="0" w:line="52" w:lineRule="exact"/>
        <w:rPr>
          <w:rFonts w:ascii="Times New Roman" w:cs="Times New Roman" w:eastAsia="Times New Roman" w:hAnsi="Times New Roman"/>
          <w:sz w:val="14"/>
          <w:szCs w:val="14"/>
          <w:color w:val="auto"/>
        </w:rPr>
      </w:pPr>
    </w:p>
    <w:p>
      <w:pPr>
        <w:ind w:left="1020" w:right="639" w:hanging="339"/>
        <w:spacing w:after="0" w:line="278"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shares of our common stock to us to the extent required in settlement of such forward sale agreement.</w:t>
      </w:r>
    </w:p>
    <w:p>
      <w:pPr>
        <w:spacing w:after="0" w:line="126"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If the weighted average price at which a Forward Purchaser (or its affiliate) is able to purchase shares during the 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 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w:t>
      </w:r>
    </w:p>
    <w:p>
      <w:pPr>
        <w:spacing w:after="0" w:line="144"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In addition, the purchase of shares of our common stock in connection with a Forward Purchaser or its affiliate unwinding its hedge positions could cause the price of shares of our common stock to increase over time (or prevent a decrease over time), thereby increasing the amount of cash we owe to such Forward Purchaser (or decreasing the amount of cash such Forward Purchaser would owe us) upon cash settlement of the relevant forward sale agreement or increasing the number of shares of our common stock we are obligated to deliver to such Forward Purchaser (or decreasing the number of shares of our common stock such Forward Purchaser is obligated to deliver to us) upon net share settlement of the relevant forward sale agreement. See “Risk Factors-Risks Related to Any Forward Sale Agreements.”</w:t>
      </w:r>
    </w:p>
    <w:p>
      <w:pPr>
        <w:spacing w:after="0" w:line="145" w:lineRule="exact"/>
        <w:rPr>
          <w:sz w:val="20"/>
          <w:szCs w:val="20"/>
          <w:color w:val="auto"/>
        </w:rPr>
      </w:pPr>
    </w:p>
    <w:p>
      <w:pPr>
        <w:ind w:left="260" w:right="399"/>
        <w:spacing w:after="0" w:line="262" w:lineRule="auto"/>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(with respect to all or any portion of the transaction under such forward sale agreement that the relevant Forward Purchaser determines is affected by such event) and require us to physically settle on a date specified by such Forward Purchaser if:</w:t>
      </w:r>
    </w:p>
    <w:p>
      <w:pPr>
        <w:spacing w:after="0" w:line="55" w:lineRule="exact"/>
        <w:rPr>
          <w:sz w:val="20"/>
          <w:szCs w:val="20"/>
          <w:color w:val="auto"/>
        </w:rPr>
      </w:pPr>
    </w:p>
    <w:p>
      <w:pPr>
        <w:jc w:val="both"/>
        <w:ind w:left="260" w:right="539" w:firstLine="6"/>
        <w:spacing w:after="0" w:line="257"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loan cost in excess of a specified threshold to hedge in a commercially reasonable manner its exposure under such forward sale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9" w:right="1440" w:bottom="1440" w:gutter="0" w:footer="0" w:header="0"/>
        </w:sectPr>
      </w:pPr>
    </w:p>
    <w:bookmarkStart w:id="24" w:name="page25"/>
    <w:bookmarkEnd w:id="24"/>
    <w:p>
      <w:pPr>
        <w:jc w:val="both"/>
        <w:ind w:left="260" w:right="319" w:firstLine="6"/>
        <w:spacing w:after="0" w:line="292" w:lineRule="auto"/>
        <w:tabs>
          <w:tab w:leader="none" w:pos="45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declare any dividend, issue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w:t>
      </w:r>
    </w:p>
    <w:p>
      <w:pPr>
        <w:spacing w:after="0" w:line="119" w:lineRule="exact"/>
        <w:rPr>
          <w:rFonts w:ascii="Times New Roman" w:cs="Times New Roman" w:eastAsia="Times New Roman" w:hAnsi="Times New Roman"/>
          <w:sz w:val="13"/>
          <w:szCs w:val="13"/>
          <w:color w:val="auto"/>
        </w:rPr>
      </w:pPr>
    </w:p>
    <w:p>
      <w:pPr>
        <w:ind w:left="260" w:right="479" w:firstLine="6"/>
        <w:spacing w:after="0" w:line="278" w:lineRule="auto"/>
        <w:tabs>
          <w:tab w:leader="none" w:pos="4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or termination events occur, including, among others, any material misrepresentation made in connection with such forward sale agreement or our insolvency (each as more fully described in each forward sale agreement);</w:t>
      </w:r>
    </w:p>
    <w:p>
      <w:pPr>
        <w:spacing w:after="0" w:line="125" w:lineRule="exact"/>
        <w:rPr>
          <w:rFonts w:ascii="Times New Roman" w:cs="Times New Roman" w:eastAsia="Times New Roman" w:hAnsi="Times New Roman"/>
          <w:sz w:val="14"/>
          <w:szCs w:val="14"/>
          <w:color w:val="auto"/>
        </w:rPr>
      </w:pPr>
    </w:p>
    <w:p>
      <w:pPr>
        <w:ind w:left="260" w:right="399" w:firstLine="6"/>
        <w:spacing w:after="0" w:line="262" w:lineRule="auto"/>
        <w:tabs>
          <w:tab w:leader="none" w:pos="4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certain mergers or tender offers, as well as certain events involving our nationalization or insolvency or a delisting of our common stock) or the occurrence of a change in law or disruption in the Forward Purchaser’s ability to hedge its exposure under the forward sale agreement; or</w:t>
      </w:r>
    </w:p>
    <w:p>
      <w:pPr>
        <w:spacing w:after="0" w:line="137"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Forward Purchaser and its affiliates are exceeded.</w:t>
      </w:r>
    </w:p>
    <w:p>
      <w:pPr>
        <w:spacing w:after="0" w:line="171" w:lineRule="exact"/>
        <w:rPr>
          <w:sz w:val="20"/>
          <w:szCs w:val="20"/>
          <w:color w:val="auto"/>
        </w:rPr>
      </w:pPr>
    </w:p>
    <w:p>
      <w:pPr>
        <w:ind w:left="260" w:right="379"/>
        <w:spacing w:after="0" w:line="252" w:lineRule="auto"/>
        <w:rPr>
          <w:sz w:val="20"/>
          <w:szCs w:val="20"/>
          <w:color w:val="auto"/>
        </w:rPr>
      </w:pPr>
      <w:r>
        <w:rPr>
          <w:rFonts w:ascii="Times New Roman" w:cs="Times New Roman" w:eastAsia="Times New Roman" w:hAnsi="Times New Roman"/>
          <w:sz w:val="14"/>
          <w:szCs w:val="14"/>
          <w:color w:val="auto"/>
        </w:rPr>
        <w:t>Any Forward Purchaser’s decision to exercise its right to accelerate the settlement of the relevant forward sale agreement will be made irrespective of our interests, including our need for capital. In such cases, we could be required to issue and deliver shares of our common stock under the terms of the physical settlement provisions of the relevant forward sale agreement irrespective of our capital needs which would result in dilution to our diluted earnings per share and diluted funds from operations per share. In addition, upon certain events of bankruptcy or insolvency relating to us, any forward sale agreements will terminate without further liability of any party. Following any such termination, we would not issue any shares of our common stock and we would not receive any proceeds pursuant to any forward sale agreement. See “Risk Factors-Risks Related to Any Forward Sale Agreements”.</w:t>
      </w:r>
    </w:p>
    <w:p>
      <w:pPr>
        <w:spacing w:after="0" w:line="146" w:lineRule="exact"/>
        <w:rPr>
          <w:sz w:val="20"/>
          <w:szCs w:val="20"/>
          <w:color w:val="auto"/>
        </w:rPr>
      </w:pPr>
    </w:p>
    <w:p>
      <w:pPr>
        <w:ind w:left="260" w:right="579"/>
        <w:spacing w:after="0" w:line="262" w:lineRule="auto"/>
        <w:rPr>
          <w:sz w:val="20"/>
          <w:szCs w:val="20"/>
          <w:color w:val="auto"/>
        </w:rPr>
      </w:pPr>
      <w:r>
        <w:rPr>
          <w:rFonts w:ascii="Times New Roman" w:cs="Times New Roman" w:eastAsia="Times New Roman" w:hAnsi="Times New Roman"/>
          <w:sz w:val="14"/>
          <w:szCs w:val="14"/>
          <w:color w:val="auto"/>
        </w:rPr>
        <w:t>The descriptions of certain provisions of the sales agreement and the forward sale agreements appearing above and elsewhere in this prospectus supplement are not complete and are subject to, and qualified in their entirety by reference to, the terms and provisions of such sales agreement and forward sale agreements.</w:t>
      </w:r>
    </w:p>
    <w:p>
      <w:pPr>
        <w:spacing w:after="0" w:line="138"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In the ordinary course of business, the Agents and/or their affiliates have engaged, and each of the Agents and/or their affiliates may in the future engage, in commercial banking or investment banking transactions with us and our affiliates for which they have received, and will in the future receive, customary compensation.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 affiliate of Citigroup Global Markets Inc. is the administrative agent, affiliates of BofA Securities, Inc. and Citigroup Global Markets Inc. are</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co-sustainability structuring agents, affiliates of BofA Securities, Inc. and J.P. Morgan Securities LLC are syndication agents, and affiliates of BofA</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Securities, Inc., Citigroup Global Markets Inc. and J.P. Morgan Securities LLC are joint lead arrangers and joint bookrunners, affiliates of TD Securities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(USA) LLC, Scotia Capital (USA) Inc., and Deutsche Bank Securities Inc. are joint lead arrangers, affiliates of TD Securities (USA) LLC, Scotia</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Capital (USA) Inc., Deutsche Bank Securities Inc., Mizuho Securities USA LLC, Morgan Stanley &amp; Co. LLC, MUFG Securities Americas Inc., RBC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Capital Markets, LLC, Truist Securities, Inc., UBS Securities LLC and Wells Fargo Securities, LLC are Documentation Agents, affiliates of BofA</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Inc., Citigroup Global Markets Inc. and J.P. Morgan Securities LLC are issuing banks and swing line banks and affiliates of BNP Paribas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Corp., BofA Securities, Inc., Capital One Securities, Inc., Citigroup Global Markets Inc., Deutsche Bank Securities Inc., Huntington</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Inc., ING Financial Markets LLC, J.P. Morgan Securities LLC, Mizuho Securities USA LLC, Morgan Stanley &amp; Co. LLC, Raymond</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James &amp; Associates, Inc., MUFG Securities Americas Inc., RBC Capital Markets, LLC, Santander US Capital Markets LLC, Scotia Capital (USA) Inc.,</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TD Securities (USA) LLC, Truist Securities, Inc., UBS Securities LLC and Wells Fargo Securities, LLC are lenders under our global revolving credit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facility. Therefore, such Agents and/or affiliates of such Agents may receive more than 5% of the net proceeds from this offering through the repayment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of the borrowings under the global revolving credit facility.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5" w:name="page26"/>
    <w:bookmarkEnd w:id="25"/>
    <w:p>
      <w:pPr>
        <w:ind w:left="260" w:right="5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Affiliates of Mizuho Securities USA LLC and MUFG Securities Americas Inc. are joint lead arrangers, joint bookrunners and lenders under our Yen revolving credit facility. Therefore, such Agents and/or affiliates of such Agents may receive more than 5% of the net proceeds from this offering through the repayment of the borrowings under the Yen revolving credit facility.</w:t>
      </w:r>
    </w:p>
    <w:p>
      <w:pPr>
        <w:spacing w:after="0" w:line="138"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color w:val="auto"/>
        </w:rPr>
        <w:t>An affiliate of Citigroup Global Markets Inc. is the administrative agent, affiliates of BofA Securities, Inc. and J.P. Morgan Securities LLC are syndication agents, affiliates of BofA Securities, Inc., Citigroup Global Markets Inc., J.P. Morgan Securities LLC, Deutsche Bank Securities Inc., Scotia Capital (USA) Inc., Raymond James &amp; Associates, Inc. and TD Securities (USA) LLC are joint lead arrangers, affiliates of BofA Securities, Inc., Citigroup Global Markets Inc. and J.P. Morgan Securities LLC are joint bookrunners, affiliates of Deutsche Bank Securities Inc., Scotia Capital (USA) Inc., Raymond James &amp; Associates, Inc. and TD Securities (USA) LLC are co-documentation agents and affiliates of BNP Paribas Securities Corp., BofA Securities, Inc., Citigroup Global Markets Inc., Deutsche Bank Securities Inc., Huntington Securities, Inc., ING Financial Markets LLC, J.P. Morgan Securities LLC, Mizuho Securities USA LLC, Morgan Stanley &amp; Co. LLC, MUFG Securities Americas Inc., Raymond James &amp; Associates, Inc., RBC Capital Markets, LLC, Scotia Capital (USA) Inc., TD Securities (USA) LLC, Truist Securities, Inc. and UBS Securities LLC are lenders under our term facility. Therefore, such Agents and/or affiliates of such Agents may receive more than 5% of the net proceeds from this offering through the repayment of the borrowings under the term facility. Certain of the Agents or their affiliates may also act as lenders under our mortgages on certain of our properties or hold our senior notes. Accordingly, certain of the Agents or their affiliates may receive more than 5% of the net proceeds from this offering if such mortgages or senior notes are repaid with the proceeds of this offering.</w:t>
      </w:r>
    </w:p>
    <w:p>
      <w:pPr>
        <w:spacing w:after="0" w:line="148" w:lineRule="exact"/>
        <w:rPr>
          <w:sz w:val="20"/>
          <w:szCs w:val="20"/>
          <w:color w:val="auto"/>
        </w:rPr>
      </w:pPr>
    </w:p>
    <w:p>
      <w:pPr>
        <w:jc w:val="both"/>
        <w:ind w:left="260" w:right="379"/>
        <w:spacing w:after="0" w:line="262" w:lineRule="auto"/>
        <w:rPr>
          <w:sz w:val="20"/>
          <w:szCs w:val="20"/>
          <w:color w:val="auto"/>
        </w:rPr>
      </w:pPr>
      <w:r>
        <w:rPr>
          <w:rFonts w:ascii="Times New Roman" w:cs="Times New Roman" w:eastAsia="Times New Roman" w:hAnsi="Times New Roman"/>
          <w:sz w:val="14"/>
          <w:szCs w:val="14"/>
          <w:color w:val="auto"/>
        </w:rPr>
        <w:t>Affiliates of Deutsche Bank Securities Inc. are trustees under our 1.125% notes due 2028, our 3.300% notes due 2029, our 1.500% notes due 2030, our 3.750% notes due 2030, our 1.250% notes due 2031, our 0.625% notes due 2031, our 1.000% notes due 2032, our 1.375% notes due 2032, our 3.750% notes due 2033, our 3.875% notes due 2033, our 3.875% notes due 2034, our 3.875% notes due 2035 and our 4.250% notes due 2037.</w:t>
      </w:r>
    </w:p>
    <w:p>
      <w:pPr>
        <w:spacing w:after="0" w:line="138"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To the extent that we use the net proceeds from this offering to repay amounts we have borrowed, may borrow or re-borrow in the future under our global revolving credit facilities, term facility or any mortgages, those lenders will receive their pro rata portion of any of the proceeds from this offering that we use to repay any such amounts. See “Use of Proceeds.”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certain of the Agents or their respective affiliates in the past have leased, currently lease and in the future may lease space from us.</w:t>
      </w:r>
    </w:p>
    <w:p>
      <w:pPr>
        <w:spacing w:after="0" w:line="17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In the ordinary course of its business activities, the Agents, the Forward Purchasers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the Forward Purchasers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5" w:lineRule="exact"/>
        <w:rPr>
          <w:sz w:val="20"/>
          <w:szCs w:val="20"/>
          <w:color w:val="auto"/>
        </w:rPr>
      </w:pPr>
    </w:p>
    <w:p>
      <w:pPr>
        <w:ind w:left="260" w:right="419"/>
        <w:spacing w:after="0" w:line="255"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such Forward Purchaser, acting in accordance with the mutually accepted instructions related to such forward sale agreements, will attempt to borrow and sell, through the relevant Forward Seller, shares of our common stock to hedge such Forward Purchaser’s exposure under such forward sale agreement. All of the net proceeds from the sale of any such borrowed shares will be paid to the applicable Forward Purchaser (or one or more of its affiliates). As a result, we will not receive any proceeds from any sale of borrowed shares of our common stock made in connection with any forward sale agreements.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9" w:right="1440" w:bottom="1440" w:gutter="0" w:footer="0" w:header="0"/>
        </w:sectPr>
      </w:pPr>
    </w:p>
    <w:bookmarkStart w:id="26" w:name="page27"/>
    <w:bookmarkEnd w:id="26"/>
    <w:p>
      <w:pPr>
        <w:ind w:left="260" w:right="27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Other than in the United States, no action has been taken by us, the Agents or the Forward Purchasers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9"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3" w:lineRule="exact"/>
        <w:rPr>
          <w:sz w:val="20"/>
          <w:szCs w:val="20"/>
          <w:color w:val="auto"/>
        </w:rPr>
      </w:pPr>
    </w:p>
    <w:p>
      <w:pPr>
        <w:ind w:left="260" w:right="399" w:firstLine="339"/>
        <w:spacing w:after="0" w:line="262" w:lineRule="auto"/>
        <w:rPr>
          <w:sz w:val="20"/>
          <w:szCs w:val="20"/>
          <w:color w:val="auto"/>
        </w:rPr>
      </w:pPr>
      <w:r>
        <w:rPr>
          <w:rFonts w:ascii="Times New Roman" w:cs="Times New Roman" w:eastAsia="Times New Roman" w:hAnsi="Times New Roman"/>
          <w:sz w:val="14"/>
          <w:szCs w:val="14"/>
          <w:color w:val="auto"/>
        </w:rPr>
        <w:t>Certain legal matters will be passed upon for us by Latham &amp; Watkins LLP, Los Angeles, California and for the Agents, the Forward Sellers and the Forward Purchasers by Goodwin Procter LLP, Boston, Massachusetts. Venable LLP, Baltimore, Maryland, will issue an opinion to us regarding certain matters of Maryland law, including the validity of the common stock offered hereby.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37"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EXPERTS</w:t>
      </w:r>
    </w:p>
    <w:p>
      <w:pPr>
        <w:spacing w:after="0" w:line="173"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its subsidiaries as of December 31, 2025 and 2024 and for each of the years in the three-year period ended December 31, 2025 and management’s assessment of the effectiveness of internal control over financial reporting as of December 31, 2025 have all been incorporated by reference in this prospectus supplement in reliance upon the reports of KPMG LLP, independent registered public accounting firm, incorporated by reference herein, and upon the authority of said firm as experts in accounting and auditing.</w:t>
      </w:r>
    </w:p>
    <w:p>
      <w:pPr>
        <w:spacing w:after="0" w:line="142"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L.P. and its subsidiaries as of December 31, 2025 and 2024 and for each of the years in the three-year period ended December 31, 2025 have all been incorporated by reference in this prospectus supplement in reliance upon the report of KPMG LLP, independent registered public accounting firm, incorporated by reference herein, and upon the authority of said firm as experts in accounting and auditing.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7"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3"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We file annual, quarterly and special reports, proxy statements and other information with the SEC. The SEC maintains a web site that contains reports, proxy and information statements, and other information regarding registrants that file electronically with the SEC at www.sec.gov. In addition, we maintain a web site that contains information about us at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142"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(File Nos. 333-293494 and 333-293494-01), of which this prospectus supplement and the accompanying prospectus are a part, including exhibits, schedules and amendments filed with, or incorporated by reference in, such registration statement, under the Securities Act. This prospectus supplement and the accompanying prospectus do not contain all of the information set forth in the registration statement and exhibits and schedules to the registration statement. For further information with respect to our company,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The registration statement, including the exhibits and schedules to the registration statement, is available to you on the SEC’s web site at www.sec.gov.</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7"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INCORPORATION BY REFERENCE</w:t>
      </w:r>
    </w:p>
    <w:p>
      <w:pPr>
        <w:spacing w:after="0" w:line="173" w:lineRule="exact"/>
        <w:rPr>
          <w:sz w:val="20"/>
          <w:szCs w:val="20"/>
          <w:color w:val="auto"/>
        </w:rPr>
      </w:pPr>
    </w:p>
    <w:p>
      <w:pPr>
        <w:ind w:left="260" w:right="279"/>
        <w:spacing w:after="0" w:line="279" w:lineRule="auto"/>
        <w:rPr>
          <w:sz w:val="20"/>
          <w:szCs w:val="20"/>
          <w:color w:val="auto"/>
        </w:rPr>
      </w:pPr>
      <w:r>
        <w:rPr>
          <w:rFonts w:ascii="Times New Roman" w:cs="Times New Roman" w:eastAsia="Times New Roman" w:hAnsi="Times New Roman"/>
          <w:sz w:val="13"/>
          <w:szCs w:val="13"/>
          <w:color w:val="auto"/>
        </w:rPr>
        <w:t>The SEC allows us to “incorporate by reference” certain information we file with the SEC,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this information. We incorporate by reference into this prospectus supplement and the accompanying prospectus the following documents (except for any document or portion thereof deemed to be “furnished” and not filed in accordance with SEC rules and regulations):</w:t>
      </w:r>
    </w:p>
    <w:p>
      <w:pPr>
        <w:spacing w:after="0" w:line="56" w:lineRule="exact"/>
        <w:rPr>
          <w:sz w:val="20"/>
          <w:szCs w:val="20"/>
          <w:color w:val="auto"/>
        </w:rPr>
      </w:pPr>
    </w:p>
    <w:p>
      <w:pPr>
        <w:ind w:left="1020" w:right="479" w:hanging="339"/>
        <w:spacing w:after="0" w:line="278"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4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2" w:lineRule="exact"/>
        <w:rPr>
          <w:rFonts w:ascii="Times New Roman" w:cs="Times New Roman" w:eastAsia="Times New Roman" w:hAnsi="Times New Roman"/>
          <w:sz w:val="14"/>
          <w:szCs w:val="14"/>
          <w:color w:val="auto"/>
        </w:rPr>
      </w:pPr>
    </w:p>
    <w:p>
      <w:pPr>
        <w:ind w:left="1020" w:right="379" w:hanging="339"/>
        <w:spacing w:after="0" w:line="278"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Combined Annual Report on </w:t>
      </w:r>
      <w:hyperlink r:id="rId4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the Definitive Proxy Statement on </w:t>
      </w:r>
      <w:hyperlink r:id="rId4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filed with the SEC on April 17, 2026;</w:t>
      </w:r>
    </w:p>
    <w:p>
      <w:pPr>
        <w:spacing w:after="0" w:line="52" w:lineRule="exact"/>
        <w:rPr>
          <w:rFonts w:ascii="Times New Roman" w:cs="Times New Roman" w:eastAsia="Times New Roman" w:hAnsi="Times New Roman"/>
          <w:sz w:val="14"/>
          <w:szCs w:val="14"/>
          <w:color w:val="auto"/>
        </w:rPr>
      </w:pPr>
    </w:p>
    <w:p>
      <w:pPr>
        <w:ind w:left="1020" w:right="399" w:hanging="339"/>
        <w:spacing w:after="0" w:line="278"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Quarterly Report on Form 10-Q of Digital Realty Trust, Inc. and Digital Realty Trust, L.P. for the quarter ended March 31, 2026;</w:t>
      </w:r>
    </w:p>
    <w:p>
      <w:pPr>
        <w:spacing w:after="0" w:line="52" w:lineRule="exact"/>
        <w:rPr>
          <w:rFonts w:ascii="Times New Roman" w:cs="Times New Roman" w:eastAsia="Times New Roman" w:hAnsi="Times New Roman"/>
          <w:sz w:val="14"/>
          <w:szCs w:val="14"/>
          <w:color w:val="auto"/>
        </w:rPr>
      </w:pPr>
    </w:p>
    <w:p>
      <w:pPr>
        <w:ind w:left="1020" w:right="399" w:hanging="339"/>
        <w:spacing w:after="0" w:line="278" w:lineRule="auto"/>
        <w:tabs>
          <w:tab w:leader="none" w:pos="1020" w:val="left"/>
        </w:tabs>
        <w:numPr>
          <w:ilvl w:val="0"/>
          <w:numId w:val="11"/>
        </w:numPr>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auto"/>
          </w:rPr>
          <w:t xml:space="preserve">the Combined Current Report on Form 8-K of Digital Realty Trust, Inc. and Digital Realty Trust, L.P. filed with the SEC on </w:t>
        </w:r>
        <w:r>
          <w:rPr>
            <w:rFonts w:ascii="Times New Roman" w:cs="Times New Roman" w:eastAsia="Times New Roman" w:hAnsi="Times New Roman"/>
            <w:sz w:val="14"/>
            <w:szCs w:val="14"/>
            <w:u w:val="single" w:color="auto"/>
            <w:color w:val="0000EE"/>
          </w:rPr>
          <w:t>February 17,</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52" w:lineRule="exact"/>
        <w:rPr>
          <w:rFonts w:ascii="Times New Roman" w:cs="Times New Roman" w:eastAsia="Times New Roman" w:hAnsi="Times New Roman"/>
          <w:sz w:val="14"/>
          <w:szCs w:val="14"/>
          <w:color w:val="0000EE"/>
        </w:rPr>
      </w:pPr>
    </w:p>
    <w:p>
      <w:pPr>
        <w:ind w:left="1020" w:right="679" w:hanging="339"/>
        <w:spacing w:after="0" w:line="262"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4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October 28, 2004 (file number 001-32336), including any amendment or reports filed for the purpose of updating this description; and</w:t>
      </w:r>
    </w:p>
    <w:p>
      <w:pPr>
        <w:spacing w:after="0" w:line="64" w:lineRule="exact"/>
        <w:rPr>
          <w:rFonts w:ascii="Times New Roman" w:cs="Times New Roman" w:eastAsia="Times New Roman" w:hAnsi="Times New Roman"/>
          <w:sz w:val="14"/>
          <w:szCs w:val="14"/>
          <w:color w:val="auto"/>
        </w:rPr>
      </w:pPr>
    </w:p>
    <w:p>
      <w:pPr>
        <w:ind w:left="1020" w:right="299" w:hanging="339"/>
        <w:spacing w:after="0" w:line="262"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on or after the date of this prospectus supplement and prior to the termination of this offering (excluding any portions of such documents that are deemed “furnished” to the SEC pursuant to applicable rules and regulations).</w:t>
      </w:r>
    </w:p>
    <w:p>
      <w:pPr>
        <w:spacing w:after="0" w:line="138" w:lineRule="exact"/>
        <w:rPr>
          <w:rFonts w:ascii="Times New Roman" w:cs="Times New Roman" w:eastAsia="Times New Roman" w:hAnsi="Times New Roman"/>
          <w:sz w:val="14"/>
          <w:szCs w:val="14"/>
          <w:color w:val="auto"/>
        </w:rPr>
      </w:pPr>
    </w:p>
    <w:p>
      <w:pPr>
        <w:jc w:val="both"/>
        <w:ind w:left="260" w:right="339"/>
        <w:spacing w:after="0" w:line="262" w:lineRule="auto"/>
        <w:rPr>
          <w:sz w:val="20"/>
          <w:szCs w:val="20"/>
          <w:color w:val="auto"/>
        </w:rPr>
      </w:pPr>
      <w:r>
        <w:rPr>
          <w:rFonts w:ascii="Times New Roman" w:cs="Times New Roman" w:eastAsia="Times New Roman" w:hAnsi="Times New Roman"/>
          <w:sz w:val="14"/>
          <w:szCs w:val="14"/>
          <w:color w:val="auto"/>
        </w:rPr>
        <w:t>We will provide without charge to each person to whom a prospectus supplement is delivered, on written or oral request of that person, a copy of any or all of the documents we are incorporating by reference into this prospectus supplement, other than exhibits to those documents unless those exhibits are specifically incorporated by reference into those documents. A written request should be addressed to Investor Relations, Digital Realty Trust, Inc., 601 West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Floor 32, Austin, Texas 78701.</w:t>
      </w:r>
    </w:p>
    <w:p>
      <w:pPr>
        <w:spacing w:after="0" w:line="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7" w:right="1440"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PROSPECTUS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Digital Realty Trust, Inc.</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Common Stock, Preferred Stock, Depositary Shares, Warrants and Guarantees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Digital Realty Trust, L.P.</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189865</wp:posOffset>
            </wp:positionV>
            <wp:extent cx="113474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60" w:right="299"/>
        <w:spacing w:after="0" w:line="281" w:lineRule="auto"/>
        <w:rPr>
          <w:sz w:val="20"/>
          <w:szCs w:val="20"/>
          <w:color w:val="auto"/>
        </w:rPr>
      </w:pPr>
      <w:r>
        <w:rPr>
          <w:rFonts w:ascii="Times New Roman" w:cs="Times New Roman" w:eastAsia="Times New Roman" w:hAnsi="Times New Roman"/>
          <w:sz w:val="12"/>
          <w:szCs w:val="12"/>
          <w:color w:val="auto"/>
        </w:rPr>
        <w:t>We may from time to time offer, in one or more series or classes, separately or together, and in amounts, at prices and on terms to be set forth in one or more supplements to this prospectus, the following securities: (i) shares of Digital Realty Trust, Inc.’s common stock, par value $0.01 per share, (ii) shares of Digital Realty Trust, Inc.’s preferred stock, par value $0.01 per share, (iii) depositary shares representing entitlement to all rights and preferences of fractions of shares of Digital Realty Trust, Inc.’s preferred stock of a specified series and represented by depositary receipts, (iv) warrants to purchase shares of Digital Realty Trust, Inc.’s common stock or preferred stock or depositary shares and (v) debt securities of Digital Realty Trust, L.P., which may be fully and unconditionally guaranteed by Digital Realty Trust, Inc.</w:t>
      </w:r>
    </w:p>
    <w:p>
      <w:pPr>
        <w:spacing w:after="0" w:line="138" w:lineRule="exact"/>
        <w:rPr>
          <w:sz w:val="20"/>
          <w:szCs w:val="20"/>
          <w:color w:val="auto"/>
        </w:rPr>
      </w:pPr>
    </w:p>
    <w:p>
      <w:pPr>
        <w:ind w:left="260" w:right="339"/>
        <w:spacing w:after="0" w:line="281" w:lineRule="auto"/>
        <w:rPr>
          <w:sz w:val="20"/>
          <w:szCs w:val="20"/>
          <w:color w:val="auto"/>
        </w:rPr>
      </w:pPr>
      <w:r>
        <w:rPr>
          <w:rFonts w:ascii="Times New Roman" w:cs="Times New Roman" w:eastAsia="Times New Roman" w:hAnsi="Times New Roman"/>
          <w:sz w:val="12"/>
          <w:szCs w:val="12"/>
          <w:color w:val="auto"/>
        </w:rPr>
        <w:t>This prospectus also covers delayed delivery contracts that may be issued by Digital Realty Trust, Inc. or Digital Realty Trust, L.P. under which the counterparty may be required to purchase common stock, preferred stock, depositary shares or warrants to purchase common stock, preferred stock or depositary shares of Digital Realty Trust, Inc. or debt securities of Digital Realty Trust, L.P. (including guarantees of the debt securities by Digital Realty Trust, Inc.). Delayed delivery contracts may be issued together with the specific securities to which they relate. In addition, securities registered hereunder may be sold separately, together or as units with other securities registered hereunder.</w:t>
      </w:r>
    </w:p>
    <w:p>
      <w:pPr>
        <w:spacing w:after="0" w:line="138" w:lineRule="exact"/>
        <w:rPr>
          <w:sz w:val="20"/>
          <w:szCs w:val="20"/>
          <w:color w:val="auto"/>
        </w:rPr>
      </w:pPr>
    </w:p>
    <w:p>
      <w:pPr>
        <w:ind w:left="260" w:right="339"/>
        <w:spacing w:after="0" w:line="314" w:lineRule="auto"/>
        <w:rPr>
          <w:sz w:val="20"/>
          <w:szCs w:val="20"/>
          <w:color w:val="auto"/>
        </w:rPr>
      </w:pPr>
      <w:r>
        <w:rPr>
          <w:rFonts w:ascii="Times New Roman" w:cs="Times New Roman" w:eastAsia="Times New Roman" w:hAnsi="Times New Roman"/>
          <w:sz w:val="12"/>
          <w:szCs w:val="12"/>
          <w:color w:val="auto"/>
        </w:rPr>
        <w:t>We refer to the common stock, preferred stock, depositary shares, warrants and debt securities (together with any related guarantees) registered hereunder collectively as the “securities” in this prospectus. We will offer our securities in amounts, at prices and on terms determined at the time of the offering of any such security.</w:t>
      </w:r>
    </w:p>
    <w:p>
      <w:pPr>
        <w:spacing w:after="0" w:line="117" w:lineRule="exact"/>
        <w:rPr>
          <w:sz w:val="20"/>
          <w:szCs w:val="20"/>
          <w:color w:val="auto"/>
        </w:rPr>
      </w:pPr>
    </w:p>
    <w:p>
      <w:pPr>
        <w:ind w:left="260" w:right="299"/>
        <w:spacing w:after="0" w:line="278" w:lineRule="auto"/>
        <w:rPr>
          <w:sz w:val="20"/>
          <w:szCs w:val="20"/>
          <w:color w:val="auto"/>
        </w:rPr>
      </w:pPr>
      <w:r>
        <w:rPr>
          <w:rFonts w:ascii="Times New Roman" w:cs="Times New Roman" w:eastAsia="Times New Roman" w:hAnsi="Times New Roman"/>
          <w:sz w:val="12"/>
          <w:szCs w:val="12"/>
          <w:color w:val="auto"/>
        </w:rPr>
        <w:t>The specific terms of each series or class of the securities will be set forth in the applicable prospectus supplement and will include, as applicable: (i) in the case of common stock, any public offering price; (ii) in the case of preferred stock, the specific title and any dividend, liquidation, redemption, conversion, voting and other rights and any public offering price; (iii) in the case of depositary shares, the fractional share of preferred stock represented by each such depositary share; (iv) in the case of warrants, the duration, offering price, exercise price and detachability; and (v) in the case of debt securities and, as applicable, related guarantees, the specific terms of such debt securities and related guarantees. In addition, because Digital Realty Trust, Inc. is organized and conducts its operations so as to qualify as a real estate investment trust, or REIT, for U.S. federal income tax purposes, the specific terms of any securities may include limitations on actual or constructive ownership and restrictions on transfer of the securities, in each case as may be appropriate to preserve Digital Realty Trust, Inc.’s status as a REIT.</w:t>
      </w:r>
    </w:p>
    <w:p>
      <w:pPr>
        <w:spacing w:after="0" w:line="138" w:lineRule="exact"/>
        <w:rPr>
          <w:sz w:val="20"/>
          <w:szCs w:val="20"/>
          <w:color w:val="auto"/>
        </w:rPr>
      </w:pPr>
    </w:p>
    <w:p>
      <w:pPr>
        <w:ind w:left="260" w:right="319"/>
        <w:spacing w:after="0" w:line="279" w:lineRule="auto"/>
        <w:rPr>
          <w:sz w:val="20"/>
          <w:szCs w:val="20"/>
          <w:color w:val="auto"/>
        </w:rPr>
      </w:pPr>
      <w:r>
        <w:rPr>
          <w:rFonts w:ascii="Times New Roman" w:cs="Times New Roman" w:eastAsia="Times New Roman" w:hAnsi="Times New Roman"/>
          <w:sz w:val="12"/>
          <w:szCs w:val="12"/>
          <w:color w:val="auto"/>
        </w:rPr>
        <w:t>The securities may be offered directly by us, through agents designated from time to time by us, or to or through underwriters or dealers. These securities also may be offered by securityholders, if so provided in a prospectus supplement hereto. We will provide specific information about any selling securityholders in one or more supplements to this prospectus.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entitled “Plan of Distribution” and “About this Prospectus” for more information. No securities may be sold without delivery of this prospectus and the applicable prospectus supplement describing the method and terms of the offering of such series of securities.</w:t>
      </w:r>
    </w:p>
    <w:p>
      <w:pPr>
        <w:spacing w:after="0" w:line="139" w:lineRule="exact"/>
        <w:rPr>
          <w:sz w:val="20"/>
          <w:szCs w:val="20"/>
          <w:color w:val="auto"/>
        </w:rPr>
      </w:pPr>
    </w:p>
    <w:p>
      <w:pPr>
        <w:ind w:left="260" w:right="279"/>
        <w:spacing w:after="0" w:line="314" w:lineRule="auto"/>
        <w:rPr>
          <w:sz w:val="20"/>
          <w:szCs w:val="20"/>
          <w:color w:val="auto"/>
        </w:rPr>
      </w:pPr>
      <w:r>
        <w:rPr>
          <w:rFonts w:ascii="Times New Roman" w:cs="Times New Roman" w:eastAsia="Times New Roman" w:hAnsi="Times New Roman"/>
          <w:sz w:val="12"/>
          <w:szCs w:val="12"/>
          <w:color w:val="auto"/>
        </w:rPr>
        <w:t>Digital Realty Trust, Inc.’s common stock, series J preferred stock, series K preferred stock and series L preferred stock currently trade on the New York Stock Exchange, or NYSE, under the symbols “DLR”, “ “DLR Pr J”, “DLR Pr K”, or “DLR Pr L”, respectively.</w:t>
      </w:r>
    </w:p>
    <w:p>
      <w:pPr>
        <w:spacing w:after="0" w:line="107" w:lineRule="exact"/>
        <w:rPr>
          <w:sz w:val="20"/>
          <w:szCs w:val="20"/>
          <w:color w:val="auto"/>
        </w:rPr>
      </w:pPr>
    </w:p>
    <w:p>
      <w:pPr>
        <w:ind w:left="260" w:right="459"/>
        <w:spacing w:after="0" w:line="286" w:lineRule="auto"/>
        <w:rPr>
          <w:sz w:val="20"/>
          <w:szCs w:val="20"/>
          <w:color w:val="auto"/>
        </w:rPr>
      </w:pPr>
      <w:r>
        <w:rPr>
          <w:rFonts w:ascii="Times New Roman" w:cs="Times New Roman" w:eastAsia="Times New Roman" w:hAnsi="Times New Roman"/>
          <w:sz w:val="15"/>
          <w:szCs w:val="15"/>
          <w:b w:val="1"/>
          <w:bCs w:val="1"/>
          <w:color w:val="auto"/>
        </w:rPr>
        <w:t>Investing in our securities involves risks.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3 of this prospectus and any similar section contained in the applicable prospectus supplement for certain risk factors you should consider before investing in our securities.</w:t>
      </w:r>
    </w:p>
    <w:p>
      <w:pPr>
        <w:spacing w:after="0" w:line="116" w:lineRule="exact"/>
        <w:rPr>
          <w:sz w:val="20"/>
          <w:szCs w:val="20"/>
          <w:color w:val="auto"/>
        </w:rPr>
      </w:pPr>
    </w:p>
    <w:p>
      <w:pPr>
        <w:ind w:left="260" w:right="399"/>
        <w:spacing w:after="0" w:line="318" w:lineRule="auto"/>
        <w:rPr>
          <w:sz w:val="20"/>
          <w:szCs w:val="20"/>
          <w:color w:val="auto"/>
        </w:rPr>
      </w:pPr>
      <w:r>
        <w:rPr>
          <w:rFonts w:ascii="Times New Roman" w:cs="Times New Roman" w:eastAsia="Times New Roman" w:hAnsi="Times New Roman"/>
          <w:sz w:val="12"/>
          <w:szCs w:val="12"/>
          <w:b w:val="1"/>
          <w:bCs w:val="1"/>
          <w:color w:val="auto"/>
        </w:rPr>
        <w:t>Neither the United States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151765</wp:posOffset>
            </wp:positionV>
            <wp:extent cx="113474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date of this prospectus is February 17, 2026.</w:t>
      </w:r>
    </w:p>
    <w:p>
      <w:pPr>
        <w:sectPr>
          <w:pgSz w:w="11900" w:h="16838" w:orient="portrait"/>
          <w:cols w:equalWidth="0" w:num="1">
            <w:col w:w="9019"/>
          </w:cols>
          <w:pgMar w:left="1440" w:top="235" w:right="1440" w:bottom="1440" w:gutter="0" w:footer="0" w:header="0"/>
        </w:sectPr>
      </w:pPr>
    </w:p>
    <w:bookmarkStart w:id="32" w:name="page33"/>
    <w:bookmarkEnd w:id="32"/>
    <w:p>
      <w:pPr>
        <w:ind w:left="260" w:right="299"/>
        <w:spacing w:after="0" w:line="250"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ectPr>
          <w:pgSz w:w="11900" w:h="16838" w:orient="portrait"/>
          <w:cols w:equalWidth="0" w:num="1">
            <w:col w:w="9019"/>
          </w:cols>
          <w:pgMar w:left="1440" w:top="237" w:right="1440" w:bottom="1440" w:gutter="0" w:footer="0" w:header="0"/>
        </w:sectPr>
      </w:pPr>
    </w:p>
    <w:bookmarkStart w:id="33" w:name="page34"/>
    <w:bookmarkEnd w:id="33"/>
    <w:tbl>
      <w:tblPr>
        <w:tblLayout w:type="fixed"/>
        <w:tblInd w:w="26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2"/>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About This Prospectus</w:t>
            </w:r>
          </w:p>
        </w:tc>
        <w:tc>
          <w:tcPr>
            <w:tcW w:w="1400" w:type="dxa"/>
            <w:vAlign w:val="bottom"/>
          </w:tcPr>
          <w:p>
            <w:pPr>
              <w:spacing w:after="0"/>
              <w:rPr>
                <w:sz w:val="12"/>
                <w:szCs w:val="12"/>
                <w:color w:val="auto"/>
              </w:rPr>
            </w:pPr>
          </w:p>
        </w:tc>
        <w:tc>
          <w:tcPr>
            <w:tcW w:w="2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800" w:type="dxa"/>
            <w:vAlign w:val="bottom"/>
            <w:tcBorders>
              <w:top w:val="single" w:sz="8" w:color="0000EE"/>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7"/>
              </w:rPr>
              <w:t>Our Company</w:t>
            </w:r>
          </w:p>
        </w:tc>
        <w:tc>
          <w:tcPr>
            <w:tcW w:w="460" w:type="dxa"/>
            <w:vAlign w:val="bottom"/>
            <w:tcBorders>
              <w:top w:val="single" w:sz="8" w:color="0000EE"/>
            </w:tcBorders>
            <w:gridSpan w:val="3"/>
          </w:tcPr>
          <w:p>
            <w:pPr>
              <w:spacing w:after="0"/>
              <w:rPr>
                <w:sz w:val="12"/>
                <w:szCs w:val="12"/>
                <w:color w:val="auto"/>
              </w:rPr>
            </w:pPr>
          </w:p>
        </w:tc>
        <w:tc>
          <w:tcPr>
            <w:tcW w:w="5520" w:type="dxa"/>
            <w:vAlign w:val="bottom"/>
            <w:gridSpan w:val="12"/>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222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6"/>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4</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r>
      <w:tr>
        <w:trPr>
          <w:trHeight w:val="146"/>
        </w:trPr>
        <w:tc>
          <w:tcPr>
            <w:tcW w:w="278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000" w:type="dxa"/>
            <w:vAlign w:val="bottom"/>
            <w:gridSpan w:val="4"/>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17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Common Stock</w:t>
            </w:r>
          </w:p>
        </w:tc>
        <w:tc>
          <w:tcPr>
            <w:tcW w:w="5060" w:type="dxa"/>
            <w:vAlign w:val="bottom"/>
            <w:gridSpan w:val="8"/>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7</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1340" w:type="dxa"/>
            <w:vAlign w:val="bottom"/>
            <w:tcBorders>
              <w:top w:val="single" w:sz="8" w:color="0000EE"/>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500" w:type="dxa"/>
            <w:vAlign w:val="bottom"/>
            <w:tcBorders>
              <w:top w:val="single" w:sz="8" w:color="0000EE"/>
            </w:tcBorders>
            <w:gridSpan w:val="3"/>
          </w:tcPr>
          <w:p>
            <w:pPr>
              <w:spacing w:after="0"/>
              <w:rPr>
                <w:sz w:val="12"/>
                <w:szCs w:val="12"/>
                <w:color w:val="auto"/>
              </w:rPr>
            </w:pPr>
          </w:p>
        </w:tc>
        <w:tc>
          <w:tcPr>
            <w:tcW w:w="4940" w:type="dxa"/>
            <w:vAlign w:val="bottom"/>
            <w:gridSpan w:val="7"/>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40" w:type="dxa"/>
            <w:vAlign w:val="bottom"/>
            <w:tcBorders>
              <w:bottom w:val="single" w:sz="8" w:color="0000EE"/>
            </w:tcBorders>
            <w:gridSpan w:val="16"/>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Debt Securities and Related Guarantees</w:t>
            </w:r>
          </w:p>
        </w:tc>
        <w:tc>
          <w:tcPr>
            <w:tcW w:w="3740" w:type="dxa"/>
            <w:vAlign w:val="bottom"/>
            <w:gridSpan w:val="3"/>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222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Restrictions on Ownership and Transfer</w:t>
            </w:r>
          </w:p>
        </w:tc>
        <w:tc>
          <w:tcPr>
            <w:tcW w:w="4560" w:type="dxa"/>
            <w:vAlign w:val="bottom"/>
            <w:gridSpan w:val="6"/>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35</w:t>
            </w:r>
          </w:p>
        </w:tc>
      </w:tr>
      <w:tr>
        <w:trPr>
          <w:trHeight w:val="146"/>
        </w:trPr>
        <w:tc>
          <w:tcPr>
            <w:tcW w:w="390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the Partnership Agreement of Digital Realty Trust, L.P.</w:t>
            </w:r>
          </w:p>
        </w:tc>
        <w:tc>
          <w:tcPr>
            <w:tcW w:w="2880" w:type="dxa"/>
            <w:vAlign w:val="bottom"/>
            <w:gridSpan w:val="2"/>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39</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46</w:t>
            </w:r>
          </w:p>
        </w:tc>
      </w:tr>
      <w:tr>
        <w:trPr>
          <w:trHeight w:val="146"/>
        </w:trPr>
        <w:tc>
          <w:tcPr>
            <w:tcW w:w="2760" w:type="dxa"/>
            <w:vAlign w:val="bottom"/>
            <w:tcBorders>
              <w:top w:val="single" w:sz="8" w:color="0000EE"/>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8"/>
              </w:rPr>
              <w:t>United States Federal Income Tax Considerations</w:t>
            </w:r>
          </w:p>
        </w:tc>
        <w:tc>
          <w:tcPr>
            <w:tcW w:w="2620" w:type="dxa"/>
            <w:vAlign w:val="bottom"/>
            <w:tcBorders>
              <w:top w:val="single" w:sz="8" w:color="0000EE"/>
            </w:tcBorders>
            <w:gridSpan w:val="4"/>
          </w:tcPr>
          <w:p>
            <w:pPr>
              <w:spacing w:after="0"/>
              <w:rPr>
                <w:sz w:val="12"/>
                <w:szCs w:val="12"/>
                <w:color w:val="auto"/>
              </w:rPr>
            </w:pPr>
          </w:p>
        </w:tc>
        <w:tc>
          <w:tcPr>
            <w:tcW w:w="1400" w:type="dxa"/>
            <w:vAlign w:val="bottom"/>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53</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Selling Securityholders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80</w:t>
            </w:r>
          </w:p>
        </w:tc>
      </w:tr>
      <w:tr>
        <w:trPr>
          <w:trHeight w:val="146"/>
        </w:trPr>
        <w:tc>
          <w:tcPr>
            <w:tcW w:w="1300" w:type="dxa"/>
            <w:vAlign w:val="bottom"/>
            <w:tcBorders>
              <w:top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5480" w:type="dxa"/>
            <w:vAlign w:val="bottom"/>
            <w:gridSpan w:val="11"/>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81</w:t>
            </w:r>
          </w:p>
        </w:tc>
      </w:tr>
      <w:tr>
        <w:trPr>
          <w:trHeight w:val="146"/>
        </w:trPr>
        <w:tc>
          <w:tcPr>
            <w:tcW w:w="780" w:type="dxa"/>
            <w:vAlign w:val="bottom"/>
            <w:tcBorders>
              <w:top w:val="single" w:sz="8" w:color="0000EE"/>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5680" w:type="dxa"/>
            <w:vAlign w:val="bottom"/>
            <w:gridSpan w:val="13"/>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83</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84</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w:t>
      </w:r>
    </w:p>
    <w:p>
      <w:pPr>
        <w:spacing w:after="0" w:line="173" w:lineRule="exact"/>
        <w:rPr>
          <w:sz w:val="20"/>
          <w:szCs w:val="20"/>
          <w:color w:val="auto"/>
        </w:rPr>
      </w:pPr>
    </w:p>
    <w:p>
      <w:pPr>
        <w:ind w:left="260" w:right="299"/>
        <w:spacing w:after="0" w:line="271"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Documents by Reference.”</w:t>
      </w:r>
    </w:p>
    <w:p>
      <w:pPr>
        <w:spacing w:after="0" w:line="135" w:lineRule="exact"/>
        <w:rPr>
          <w:sz w:val="20"/>
          <w:szCs w:val="20"/>
          <w:color w:val="auto"/>
        </w:rPr>
      </w:pPr>
    </w:p>
    <w:p>
      <w:pPr>
        <w:ind w:left="260" w:right="299"/>
        <w:spacing w:after="0" w:line="249" w:lineRule="auto"/>
        <w:rPr>
          <w:sz w:val="20"/>
          <w:szCs w:val="20"/>
          <w:color w:val="auto"/>
        </w:rPr>
      </w:pPr>
      <w:r>
        <w:rPr>
          <w:rFonts w:ascii="Times New Roman" w:cs="Times New Roman" w:eastAsia="Times New Roman" w:hAnsi="Times New Roman"/>
          <w:sz w:val="14"/>
          <w:szCs w:val="14"/>
          <w:color w:val="auto"/>
        </w:rPr>
        <w:t>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3"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Unless otherwise indicated or unless the context requires otherwise, all references in this prospectus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to “our operating partnership” or “the operating partnership” refer to Digital Realty Trust, L.P. together with its consolidated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OUR COMPANY</w:t>
      </w:r>
    </w:p>
    <w:p>
      <w:pPr>
        <w:spacing w:after="0" w:line="173" w:lineRule="exact"/>
        <w:rPr>
          <w:sz w:val="20"/>
          <w:szCs w:val="20"/>
          <w:color w:val="auto"/>
        </w:rPr>
      </w:pPr>
    </w:p>
    <w:p>
      <w:pPr>
        <w:ind w:left="260" w:right="419"/>
        <w:spacing w:after="0" w:line="292" w:lineRule="auto"/>
        <w:rPr>
          <w:sz w:val="20"/>
          <w:szCs w:val="20"/>
          <w:color w:val="auto"/>
        </w:rPr>
      </w:pPr>
      <w:r>
        <w:rPr>
          <w:rFonts w:ascii="Times New Roman" w:cs="Times New Roman" w:eastAsia="Times New Roman" w:hAnsi="Times New Roman"/>
          <w:sz w:val="13"/>
          <w:szCs w:val="13"/>
          <w:color w:val="auto"/>
        </w:rPr>
        <w:t>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w:t>
      </w:r>
    </w:p>
    <w:p>
      <w:pPr>
        <w:spacing w:after="0" w:line="119" w:lineRule="exact"/>
        <w:rPr>
          <w:sz w:val="20"/>
          <w:szCs w:val="20"/>
          <w:color w:val="auto"/>
        </w:rPr>
      </w:pPr>
    </w:p>
    <w:p>
      <w:pPr>
        <w:ind w:left="260" w:right="379"/>
        <w:spacing w:after="0" w:line="279" w:lineRule="auto"/>
        <w:rPr>
          <w:sz w:val="20"/>
          <w:szCs w:val="20"/>
          <w:color w:val="auto"/>
        </w:rPr>
      </w:pPr>
      <w:r>
        <w:rPr>
          <w:rFonts w:ascii="Times New Roman" w:cs="Times New Roman" w:eastAsia="Times New Roman" w:hAnsi="Times New Roman"/>
          <w:sz w:val="13"/>
          <w:szCs w:val="13"/>
          <w:color w:val="auto"/>
        </w:rPr>
        <w:t>Digital Realty Trust, Inc. was incorporated in the state of Maryland on March 9, 2004. Digital Realty Trust, L.P. was organized in the state of Maryland on July 21, 2004. Our principal executive offices are located at 2323 Bryan Street, Suite 1800, Dallas, Texas 75201. Our telephone number is (214)</w:t>
      </w:r>
    </w:p>
    <w:p>
      <w:pPr>
        <w:ind w:left="260" w:right="439"/>
        <w:spacing w:after="0" w:line="255" w:lineRule="auto"/>
        <w:rPr>
          <w:sz w:val="20"/>
          <w:szCs w:val="20"/>
          <w:color w:val="auto"/>
        </w:rPr>
      </w:pPr>
      <w:r>
        <w:rPr>
          <w:rFonts w:ascii="Times New Roman" w:cs="Times New Roman" w:eastAsia="Times New Roman" w:hAnsi="Times New Roman"/>
          <w:sz w:val="14"/>
          <w:szCs w:val="14"/>
          <w:color w:val="auto"/>
        </w:rPr>
        <w:t>231-1350. Our website is www.digitalrealty.com. The information found on, or otherwise accessible through, our website is not incorporated into, and does not form a part of, this prospectus or any other report or document we file with or furnish to the SEC.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3"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acquiring any offered securities pursuant to this prospectus, you should carefully consider the information contained or incorporated by reference in this prospectus or in any accompanying prospectus supplement, including, without limitation, the risk factors incorporated by reference to the company’s and the operating partnership’s most recent combined Annual Report on Form 10-K and any subsequent Quarterly Reports on Form 10-Q or Current Reports on Form 8-K we file after the date of this prospectus, and the other information contained or incorporated by reference in this prospectus, as updated by our subsequent filings under the Securities Exchange Act of 1934, as amended, or the Exchange Act, and the risk factors and other information contained in the applicable prospectus supplement before acquiring any of such securities. The occurrence of any of these risks might cause you to lose all or a part of your investment in the offered securities.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3" w:lineRule="exact"/>
        <w:rPr>
          <w:sz w:val="20"/>
          <w:szCs w:val="20"/>
          <w:color w:val="auto"/>
        </w:rPr>
      </w:pPr>
    </w:p>
    <w:p>
      <w:pPr>
        <w:jc w:val="both"/>
        <w:ind w:left="260" w:right="359"/>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special reports, proxy statements and other information with the SEC. The SEC maintains a web site that contains reports, proxy and information statements and other information about issuers, such as us, who file electronically with the SEC at www.sec.gov.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260" w:right="399"/>
        <w:spacing w:after="0" w:line="262" w:lineRule="auto"/>
        <w:rPr>
          <w:sz w:val="20"/>
          <w:szCs w:val="20"/>
          <w:color w:val="auto"/>
        </w:rPr>
      </w:pPr>
      <w:r>
        <w:rPr>
          <w:rFonts w:ascii="Times New Roman" w:cs="Times New Roman" w:eastAsia="Times New Roman" w:hAnsi="Times New Roman"/>
          <w:sz w:val="14"/>
          <w:szCs w:val="14"/>
          <w:color w:val="auto"/>
        </w:rPr>
        <w:t>In addition, we maintain a website that contains information about us at www.digitalrealty.com. The information found on, or otherwise accessible through, this website is not incorporated into, and does not form a part of, this prospectus or any other report or document we file with or furnish to the SEC.</w:t>
      </w:r>
    </w:p>
    <w:p>
      <w:pPr>
        <w:spacing w:after="0" w:line="138" w:lineRule="exact"/>
        <w:rPr>
          <w:sz w:val="20"/>
          <w:szCs w:val="20"/>
          <w:color w:val="auto"/>
        </w:rPr>
      </w:pPr>
    </w:p>
    <w:p>
      <w:pPr>
        <w:ind w:left="260" w:right="359"/>
        <w:spacing w:after="0" w:line="277" w:lineRule="auto"/>
        <w:rPr>
          <w:sz w:val="20"/>
          <w:szCs w:val="20"/>
          <w:color w:val="auto"/>
        </w:rPr>
      </w:pPr>
      <w:r>
        <w:rPr>
          <w:rFonts w:ascii="Times New Roman" w:cs="Times New Roman" w:eastAsia="Times New Roman" w:hAnsi="Times New Roman"/>
          <w:sz w:val="13"/>
          <w:szCs w:val="13"/>
          <w:color w:val="auto"/>
        </w:rPr>
        <w:t>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INCORPORATION OF CERTAIN DOCUMENTS BY REFERENCE</w:t>
      </w:r>
    </w:p>
    <w:p>
      <w:pPr>
        <w:spacing w:after="0" w:line="173" w:lineRule="exact"/>
        <w:rPr>
          <w:sz w:val="20"/>
          <w:szCs w:val="20"/>
          <w:color w:val="auto"/>
        </w:rPr>
      </w:pPr>
    </w:p>
    <w:p>
      <w:pPr>
        <w:ind w:left="260" w:right="319"/>
        <w:spacing w:after="0" w:line="279" w:lineRule="auto"/>
        <w:rPr>
          <w:sz w:val="20"/>
          <w:szCs w:val="20"/>
          <w:color w:val="auto"/>
        </w:rPr>
      </w:pPr>
      <w:r>
        <w:rPr>
          <w:rFonts w:ascii="Times New Roman" w:cs="Times New Roman" w:eastAsia="Times New Roman" w:hAnsi="Times New Roman"/>
          <w:sz w:val="13"/>
          <w:szCs w:val="13"/>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8" w:lineRule="exact"/>
        <w:rPr>
          <w:sz w:val="20"/>
          <w:szCs w:val="20"/>
          <w:color w:val="auto"/>
        </w:rPr>
      </w:pPr>
    </w:p>
    <w:p>
      <w:pPr>
        <w:ind w:left="260" w:right="439"/>
        <w:spacing w:after="0" w:line="27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53" w:lineRule="exact"/>
        <w:rPr>
          <w:sz w:val="20"/>
          <w:szCs w:val="20"/>
          <w:color w:val="auto"/>
        </w:rPr>
      </w:pPr>
    </w:p>
    <w:p>
      <w:pPr>
        <w:ind w:left="1020" w:right="499" w:hanging="339"/>
        <w:spacing w:after="0" w:line="278"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5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2" w:lineRule="exact"/>
        <w:rPr>
          <w:rFonts w:ascii="Times New Roman" w:cs="Times New Roman" w:eastAsia="Times New Roman" w:hAnsi="Times New Roman"/>
          <w:sz w:val="14"/>
          <w:szCs w:val="14"/>
          <w:color w:val="auto"/>
        </w:rPr>
      </w:pPr>
    </w:p>
    <w:p>
      <w:pPr>
        <w:ind w:left="1020" w:right="47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Definitive Proxy Statement on </w:t>
      </w:r>
      <w:hyperlink r:id="rId56">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Digital Realty Trust, Inc. filed with the SEC on April 25, 2025 (solely to the extent specifically incorporated by reference into the combined Annual Report on </w:t>
      </w:r>
      <w:hyperlink r:id="rId5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2024);</w:t>
      </w:r>
    </w:p>
    <w:p>
      <w:pPr>
        <w:spacing w:after="0" w:line="64"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4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28, 2004 (file number 001-32336), including any amendment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1020" w:right="55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J Cumulative Redeemable Preferred Stock, par value $0.01 per share, contained in Digital Realty Trust, Inc.’s Registration Statement on </w:t>
      </w:r>
      <w:hyperlink r:id="rId58">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August 4, 2017 (file number 001-32336), including any amendments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1020" w:right="49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K Cumulative Redeemable Preferred Stock, par value $0.01 per share, contained in Digital Realty Trust, Inc.’s Registration Statement on </w:t>
      </w:r>
      <w:hyperlink r:id="rId59">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12, 2019 (file number 001-32336), including any amendments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1020" w:right="51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L Cumulative Redeemable Preferred Stock, par value $0.01 per share, contained in Digital Realty Trust, Inc.’s Registration Statement on </w:t>
      </w:r>
      <w:hyperlink r:id="rId6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9, 2019 (file number 001-32336), including any amendments or reports filed for the purpose of updating this description; and</w:t>
      </w:r>
    </w:p>
    <w:p>
      <w:pPr>
        <w:spacing w:after="0" w:line="64"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after the date of this prospectus and prior to the termination of the offering of the underlying securities (excluding any portions of such documents that are deemed “furnished” to the SEC pursuant to applicable rules and regulations).</w:t>
      </w:r>
    </w:p>
    <w:p>
      <w:pPr>
        <w:spacing w:after="0" w:line="138" w:lineRule="exact"/>
        <w:rPr>
          <w:rFonts w:ascii="Times New Roman" w:cs="Times New Roman" w:eastAsia="Times New Roman" w:hAnsi="Times New Roman"/>
          <w:sz w:val="14"/>
          <w:szCs w:val="14"/>
          <w:color w:val="auto"/>
        </w:rPr>
      </w:pPr>
    </w:p>
    <w:p>
      <w:pPr>
        <w:ind w:left="260" w:right="319"/>
        <w:spacing w:after="0" w:line="257"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those exhibits are specifically incorporated by reference into those documents. A written request should be addressed to Investor Relations, Digital Realty Trust, Inc., 2323 Bryan Street, Suite 1800, Dallas, Texas 75201.</w:t>
      </w:r>
    </w:p>
    <w:p>
      <w:pPr>
        <w:spacing w:after="0" w:line="9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3"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We will disclose the intended use of proceeds from the sale of any securities under this prospectus in the applicable prospectus supplement. We will not receive any proceeds from sales of securities by selling securityholders.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7"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COMMON STOCK</w:t>
      </w:r>
    </w:p>
    <w:p>
      <w:pPr>
        <w:spacing w:after="0" w:line="173" w:lineRule="exact"/>
        <w:rPr>
          <w:sz w:val="20"/>
          <w:szCs w:val="20"/>
          <w:color w:val="auto"/>
        </w:rPr>
      </w:pPr>
    </w:p>
    <w:p>
      <w:pPr>
        <w:ind w:left="260" w:right="339"/>
        <w:spacing w:after="0" w:line="283" w:lineRule="auto"/>
        <w:rPr>
          <w:sz w:val="20"/>
          <w:szCs w:val="20"/>
          <w:color w:val="auto"/>
        </w:rPr>
      </w:pPr>
      <w:r>
        <w:rPr>
          <w:rFonts w:ascii="Times New Roman" w:cs="Times New Roman" w:eastAsia="Times New Roman" w:hAnsi="Times New Roman"/>
          <w:sz w:val="13"/>
          <w:szCs w:val="13"/>
          <w:color w:val="auto"/>
        </w:rPr>
        <w:t>The following description of Digital Realty Trust, Inc.’s common stock sets forth certain general terms and provisions of the common stock to which any prospectus supplement may relate and will apply to the common stock offered by this prospectus unless we provide otherwise in the applicable prospectus supplement. The description of Digital Realty Trust, Inc.’s common stock set forth below and in any prospectus supplement does not purport to be complete and is subject to and qualified in its entirety by reference to the applicable provisions of Digital Realty Trust, Inc.’s charter and bylaws.</w:t>
      </w:r>
    </w:p>
    <w:p>
      <w:pPr>
        <w:spacing w:after="0" w:line="124" w:lineRule="exact"/>
        <w:rPr>
          <w:sz w:val="20"/>
          <w:szCs w:val="20"/>
          <w:color w:val="auto"/>
        </w:rPr>
      </w:pPr>
    </w:p>
    <w:p>
      <w:pPr>
        <w:ind w:left="260" w:right="559"/>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charter provides that it may issue up to 502,000,000 shares of its common stock, par value $0.01 per share, or the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As of February 9, 2026, 343,615,444 shares of the common stock were issued and outstanding, excluding:</w:t>
      </w:r>
    </w:p>
    <w:p>
      <w:pPr>
        <w:spacing w:after="0" w:line="51" w:lineRule="exact"/>
        <w:rPr>
          <w:sz w:val="20"/>
          <w:szCs w:val="20"/>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2.9 million shares available for future issuance under our incentive award plans;</w:t>
      </w:r>
    </w:p>
    <w:p>
      <w:pPr>
        <w:spacing w:after="0" w:line="98" w:lineRule="exact"/>
        <w:rPr>
          <w:rFonts w:ascii="Times New Roman" w:cs="Times New Roman" w:eastAsia="Times New Roman" w:hAnsi="Times New Roman"/>
          <w:sz w:val="14"/>
          <w:szCs w:val="14"/>
          <w:color w:val="auto"/>
        </w:rPr>
      </w:pPr>
    </w:p>
    <w:p>
      <w:pPr>
        <w:ind w:left="1020" w:right="419" w:hanging="339"/>
        <w:spacing w:after="0" w:line="262"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1,791,403 shares issuable upon redemption of outstanding vested long-term incentive units (including class C profits interest units of our operating partnership, or class C units, and class D profits interest units of our operating partnership, or class D units) issued under our incentive award plans;</w:t>
      </w:r>
    </w:p>
    <w:p>
      <w:pPr>
        <w:spacing w:after="0" w:line="64" w:lineRule="exact"/>
        <w:rPr>
          <w:rFonts w:ascii="Times New Roman" w:cs="Times New Roman" w:eastAsia="Times New Roman" w:hAnsi="Times New Roman"/>
          <w:sz w:val="14"/>
          <w:szCs w:val="14"/>
          <w:color w:val="auto"/>
        </w:rPr>
      </w:pPr>
    </w:p>
    <w:p>
      <w:pPr>
        <w:ind w:left="1020" w:right="619" w:hanging="339"/>
        <w:spacing w:after="0" w:line="278"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427,561 shares issuable upon redemption of outstanding unvested long-term incentive units (excluding unvested class D units) issued under our incentive award plans;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4,044,535 shares issuable upon redemption of outstanding common units;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648,044 shares issuable upon vesting of restricted stock units;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182,572 shares potentially issuable upon redemption of outstanding unvested class D units;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37,128 shares potentially issuable upon redemption of unvested market performance-based restricted stock units;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465,609 shares potentially issuable upon achievement of a market or financial performance condition for unvested class D units;</w:t>
      </w:r>
    </w:p>
    <w:p>
      <w:pPr>
        <w:spacing w:after="0" w:line="98" w:lineRule="exact"/>
        <w:rPr>
          <w:rFonts w:ascii="Times New Roman" w:cs="Times New Roman" w:eastAsia="Times New Roman" w:hAnsi="Times New Roman"/>
          <w:sz w:val="14"/>
          <w:szCs w:val="14"/>
          <w:color w:val="auto"/>
        </w:rPr>
      </w:pPr>
    </w:p>
    <w:p>
      <w:pPr>
        <w:ind w:left="1020" w:right="639" w:hanging="339"/>
        <w:spacing w:after="0" w:line="278"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69,903 shares potentially issuable upon achievement of a market or financial performance condition for unvested performance-based restricted stock units; and</w:t>
      </w:r>
    </w:p>
    <w:p>
      <w:pPr>
        <w:spacing w:after="0" w:line="52" w:lineRule="exact"/>
        <w:rPr>
          <w:rFonts w:ascii="Times New Roman" w:cs="Times New Roman" w:eastAsia="Times New Roman" w:hAnsi="Times New Roman"/>
          <w:sz w:val="14"/>
          <w:szCs w:val="14"/>
          <w:color w:val="auto"/>
        </w:rPr>
      </w:pPr>
    </w:p>
    <w:p>
      <w:pPr>
        <w:jc w:val="both"/>
        <w:ind w:left="1020" w:right="279" w:hanging="339"/>
        <w:spacing w:after="0" w:line="262"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maximum of 3,401,680, 3,663,324, and 5,315,484 shares of common stock potentially issuable upon conversion of the company’s series J preferred stock, series K preferred stock and series L preferred stock respectively, in each case upon the occurrence of specified change in control transactions as described in “Description of Preferred Stock” below.</w:t>
      </w:r>
    </w:p>
    <w:p>
      <w:pPr>
        <w:spacing w:after="0" w:line="138"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All outstanding shares of the common stock are duly authorized, fully paid and nonassessable. Subject to the preferential rights of any other class or series of 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w:t>
      </w:r>
    </w:p>
    <w:p>
      <w:pPr>
        <w:spacing w:after="0" w:line="142" w:lineRule="exact"/>
        <w:rPr>
          <w:sz w:val="20"/>
          <w:szCs w:val="20"/>
          <w:color w:val="auto"/>
        </w:rPr>
      </w:pPr>
    </w:p>
    <w:p>
      <w:pPr>
        <w:ind w:left="260" w:right="379"/>
        <w:spacing w:after="0" w:line="253" w:lineRule="auto"/>
        <w:rPr>
          <w:sz w:val="20"/>
          <w:szCs w:val="20"/>
          <w:color w:val="auto"/>
        </w:rPr>
      </w:pPr>
      <w:r>
        <w:rPr>
          <w:rFonts w:ascii="Times New Roman" w:cs="Times New Roman" w:eastAsia="Times New Roman" w:hAnsi="Times New Roman"/>
          <w:sz w:val="14"/>
          <w:szCs w:val="14"/>
          <w:color w:val="auto"/>
        </w:rPr>
        <w:t>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41" w:name="page42"/>
    <w:bookmarkEnd w:id="41"/>
    <w:p>
      <w:pPr>
        <w:ind w:left="260" w:right="3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w:t>
      </w:r>
    </w:p>
    <w:p>
      <w:pPr>
        <w:spacing w:after="0" w:line="138"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w:t>
      </w:r>
    </w:p>
    <w:p>
      <w:pPr>
        <w:spacing w:after="0" w:line="142"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w:t>
      </w:r>
    </w:p>
    <w:p>
      <w:pPr>
        <w:spacing w:after="0" w:line="145" w:lineRule="exact"/>
        <w:rPr>
          <w:sz w:val="20"/>
          <w:szCs w:val="20"/>
          <w:color w:val="auto"/>
        </w:rPr>
      </w:pPr>
    </w:p>
    <w:p>
      <w:pPr>
        <w:jc w:val="both"/>
        <w:ind w:left="260" w:right="319"/>
        <w:spacing w:after="0" w:line="262" w:lineRule="auto"/>
        <w:rPr>
          <w:sz w:val="20"/>
          <w:szCs w:val="20"/>
          <w:color w:val="auto"/>
        </w:rPr>
      </w:pPr>
      <w:r>
        <w:rPr>
          <w:rFonts w:ascii="Times New Roman" w:cs="Times New Roman" w:eastAsia="Times New Roman" w:hAnsi="Times New Roman"/>
          <w:sz w:val="14"/>
          <w:szCs w:val="14"/>
          <w:color w:val="auto"/>
        </w:rPr>
        <w:t>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Authorized Stock and Issue Additional Shares of the Common Stock</w:t>
      </w:r>
    </w:p>
    <w:p>
      <w:pPr>
        <w:spacing w:after="0" w:line="90" w:lineRule="exact"/>
        <w:rPr>
          <w:sz w:val="20"/>
          <w:szCs w:val="20"/>
          <w:color w:val="auto"/>
        </w:rPr>
      </w:pPr>
    </w:p>
    <w:p>
      <w:pPr>
        <w:ind w:left="260" w:right="319"/>
        <w:spacing w:after="0" w:line="271" w:lineRule="auto"/>
        <w:rPr>
          <w:sz w:val="20"/>
          <w:szCs w:val="20"/>
          <w:color w:val="auto"/>
        </w:rPr>
      </w:pPr>
      <w:r>
        <w:rPr>
          <w:rFonts w:ascii="Times New Roman" w:cs="Times New Roman" w:eastAsia="Times New Roman" w:hAnsi="Times New Roman"/>
          <w:sz w:val="13"/>
          <w:szCs w:val="13"/>
          <w:color w:val="auto"/>
        </w:rPr>
        <w:t>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Restrictions on Ownership and Transfer</w:t>
      </w:r>
    </w:p>
    <w:p>
      <w:pPr>
        <w:spacing w:after="0" w:line="90" w:lineRule="exact"/>
        <w:rPr>
          <w:sz w:val="20"/>
          <w:szCs w:val="20"/>
          <w:color w:val="auto"/>
        </w:rPr>
      </w:pPr>
    </w:p>
    <w:p>
      <w:pPr>
        <w:ind w:left="260" w:right="279"/>
        <w:spacing w:after="0" w:line="278" w:lineRule="auto"/>
        <w:rPr>
          <w:sz w:val="20"/>
          <w:szCs w:val="20"/>
          <w:color w:val="auto"/>
        </w:rPr>
      </w:pPr>
      <w:r>
        <w:rPr>
          <w:rFonts w:ascii="Times New Roman" w:cs="Times New Roman" w:eastAsia="Times New Roman" w:hAnsi="Times New Roman"/>
          <w:sz w:val="14"/>
          <w:szCs w:val="14"/>
          <w:color w:val="auto"/>
        </w:rPr>
        <w:t>To assist us in complying with certain U.S. federal income tax requirements applicable to REITs, the company has adopted certain restrictions relating to the ownership and transfer of the common stock. See “Restrictions on Ownership and Transfer.”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 LLC.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PREFERRED STOCK</w:t>
      </w:r>
    </w:p>
    <w:p>
      <w:pPr>
        <w:spacing w:after="0" w:line="173" w:lineRule="exact"/>
        <w:rPr>
          <w:sz w:val="20"/>
          <w:szCs w:val="20"/>
          <w:color w:val="auto"/>
        </w:rPr>
      </w:pPr>
    </w:p>
    <w:p>
      <w:pPr>
        <w:ind w:left="260" w:right="379"/>
        <w:spacing w:after="0" w:line="283" w:lineRule="auto"/>
        <w:rPr>
          <w:sz w:val="20"/>
          <w:szCs w:val="20"/>
          <w:color w:val="auto"/>
        </w:rPr>
      </w:pPr>
      <w:r>
        <w:rPr>
          <w:rFonts w:ascii="Times New Roman" w:cs="Times New Roman" w:eastAsia="Times New Roman" w:hAnsi="Times New Roman"/>
          <w:sz w:val="13"/>
          <w:szCs w:val="13"/>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the company issues.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relating to that class or series.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9, 2026, 8,000,000 shares of the company’s series J preferred stock, 8,400,000 shares of the company’s series K preferred stock and 13,800,000 shares of the company’s series L preferred stock were issued and outstanding. No other shares of the company’s preferred stock are currently outstanding.</w:t>
      </w:r>
    </w:p>
    <w:p>
      <w:pPr>
        <w:spacing w:after="0" w:line="142" w:lineRule="exact"/>
        <w:rPr>
          <w:sz w:val="20"/>
          <w:szCs w:val="20"/>
          <w:color w:val="auto"/>
        </w:rPr>
      </w:pPr>
    </w:p>
    <w:p>
      <w:pPr>
        <w:ind w:left="260" w:right="339"/>
        <w:spacing w:after="0" w:line="252" w:lineRule="auto"/>
        <w:rPr>
          <w:sz w:val="20"/>
          <w:szCs w:val="20"/>
          <w:color w:val="auto"/>
        </w:rPr>
      </w:pPr>
      <w:r>
        <w:rPr>
          <w:rFonts w:ascii="Times New Roman" w:cs="Times New Roman" w:eastAsia="Times New Roman" w:hAnsi="Times New Roman"/>
          <w:sz w:val="14"/>
          <w:szCs w:val="14"/>
          <w:color w:val="auto"/>
        </w:rPr>
        <w:t>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 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preferences and other terms of the preferred stock of each class or series will be fixed by the articles supplementary relating to such class or series.</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prospectus supplement, relating to each class or series, will describe the terms of the preferred stock, including, where applicable, the following:</w:t>
      </w:r>
    </w:p>
    <w:p>
      <w:pPr>
        <w:spacing w:after="0" w:line="84" w:lineRule="exact"/>
        <w:rPr>
          <w:sz w:val="20"/>
          <w:szCs w:val="20"/>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such preferred stock;</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such preferred stock offered, the liquidation preference per share and the offering price of such preferred stock;</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and/or payment date(s) or method(s) of calculation thereof applicable to such preferred stock;</w:t>
      </w:r>
    </w:p>
    <w:p>
      <w:pPr>
        <w:spacing w:after="0" w:line="98" w:lineRule="exact"/>
        <w:rPr>
          <w:rFonts w:ascii="Times New Roman" w:cs="Times New Roman" w:eastAsia="Times New Roman" w:hAnsi="Times New Roman"/>
          <w:sz w:val="14"/>
          <w:szCs w:val="14"/>
          <w:color w:val="auto"/>
        </w:rPr>
      </w:pPr>
    </w:p>
    <w:p>
      <w:pPr>
        <w:ind w:left="1020" w:right="839" w:hanging="339"/>
        <w:spacing w:after="0" w:line="278"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preferred stock is cumulative or not and, if cumulative, the date from which dividends on such preferred stock shall accumulate;</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 sinking fund, if any, for such preferred stock;</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redemption, if applicable, of such preferred stock;</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such preferred stock on any securities exchange;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8" w:lineRule="exact"/>
        <w:rPr>
          <w:rFonts w:ascii="Times New Roman" w:cs="Times New Roman" w:eastAsia="Times New Roman" w:hAnsi="Times New Roman"/>
          <w:sz w:val="14"/>
          <w:szCs w:val="14"/>
          <w:color w:val="auto"/>
        </w:rPr>
      </w:pPr>
    </w:p>
    <w:p>
      <w:pPr>
        <w:ind w:left="1020" w:right="279" w:hanging="339"/>
        <w:spacing w:after="0" w:line="278"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such preferred stock will be converted into the common stock, including the conversion price (or manner of calculation thereof);</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preferred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44" w:name="page45"/>
    <w:bookmarkEnd w:id="44"/>
    <w:p>
      <w:pPr>
        <w:ind w:left="1020" w:hanging="33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any limitations on actual and constructive ownership and restrictions on transfer;</w:t>
      </w:r>
    </w:p>
    <w:p>
      <w:pPr>
        <w:spacing w:after="0" w:line="20" w:lineRule="exact"/>
        <w:rPr>
          <w:rFonts w:ascii="Times New Roman" w:cs="Times New Roman" w:eastAsia="Times New Roman" w:hAnsi="Times New Roman"/>
          <w:sz w:val="14"/>
          <w:szCs w:val="14"/>
          <w:color w:val="auto"/>
        </w:rPr>
      </w:pPr>
    </w:p>
    <w:p>
      <w:pPr>
        <w:ind w:left="1020" w:right="379" w:hanging="339"/>
        <w:spacing w:after="0" w:line="255"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such preferred stock as to dividend rights and rights upon liquidation, dissolution or winding up of the affairs of the company;</w:t>
      </w:r>
    </w:p>
    <w:p>
      <w:pPr>
        <w:spacing w:after="0" w:line="68" w:lineRule="exact"/>
        <w:rPr>
          <w:rFonts w:ascii="Times New Roman" w:cs="Times New Roman" w:eastAsia="Times New Roman" w:hAnsi="Times New Roman"/>
          <w:sz w:val="14"/>
          <w:szCs w:val="14"/>
          <w:color w:val="auto"/>
        </w:rPr>
      </w:pPr>
    </w:p>
    <w:p>
      <w:pPr>
        <w:ind w:left="1020" w:right="479" w:hanging="339"/>
        <w:spacing w:after="0" w:line="278"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such class or series of preferred stock as to dividend rights and rights upon liquidation, dissolution or winding up of the affairs of the company;</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of such preferred stock;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such preferred stock.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90"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preferred stock will, with respect to dividend rights and rights upon liquidation, dissolution or winding up of the company, rank: (i) 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w:t>
      </w:r>
    </w:p>
    <w:p>
      <w:pPr>
        <w:spacing w:after="0" w:line="90"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The terms and conditions, if any, upon which any shares of any class or series of preferred stock are convertible into common stock will be described in the applicable prospectus supplement relating thereto. Such terms will include the number of shares of the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or Decrease Authorized Stock and Issue Additional Shares of Preferred Stock</w:t>
      </w:r>
    </w:p>
    <w:p>
      <w:pPr>
        <w:spacing w:after="0" w:line="90" w:lineRule="exact"/>
        <w:rPr>
          <w:sz w:val="20"/>
          <w:szCs w:val="20"/>
          <w:color w:val="auto"/>
        </w:rPr>
      </w:pPr>
    </w:p>
    <w:p>
      <w:pPr>
        <w:ind w:left="260" w:right="319"/>
        <w:spacing w:after="0" w:line="251" w:lineRule="auto"/>
        <w:rPr>
          <w:sz w:val="20"/>
          <w:szCs w:val="20"/>
          <w:color w:val="auto"/>
        </w:rPr>
      </w:pPr>
      <w:r>
        <w:rPr>
          <w:rFonts w:ascii="Times New Roman" w:cs="Times New Roman" w:eastAsia="Times New Roman" w:hAnsi="Times New Roman"/>
          <w:sz w:val="14"/>
          <w:szCs w:val="14"/>
          <w:color w:val="auto"/>
        </w:rPr>
        <w:t>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w:t>
      </w:r>
    </w:p>
    <w:p>
      <w:pPr>
        <w:spacing w:after="0" w:line="90"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To assist the company in complying with certain U.S. federal income tax requirements applicable to REITs, the company has adopted certain restrictions relating to the ownership and transfer of the company’s series J preferred stock, series K preferred stock and series L preferred stock. The company expects to adopt similar</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45" w:name="page46"/>
    <w:bookmarkEnd w:id="45"/>
    <w:p>
      <w:pPr>
        <w:ind w:left="260" w:right="4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restrictions with respect to any class or series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5.250% Series J Cumulative Redeemable Preferred Stock</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260" w:right="39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J preferred stock as a series of the company’s preferred stock, designated as the 5.250% Series J Cumulative Redeemable Preferred Stock. The series J preferred stock is validly issued, fully paid and nonassessable.</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J preferred stock is currently listed on the NYSE as “DLR Pr J”.</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J preferred stock ranks, with respect to dividend rights and rights upon the company’s liquidation, dissolution or winding-up:</w:t>
      </w:r>
    </w:p>
    <w:p>
      <w:pPr>
        <w:spacing w:after="0" w:line="99" w:lineRule="exact"/>
        <w:rPr>
          <w:sz w:val="20"/>
          <w:szCs w:val="20"/>
          <w:color w:val="auto"/>
        </w:rPr>
      </w:pPr>
    </w:p>
    <w:p>
      <w:pPr>
        <w:ind w:left="1020" w:right="399" w:hanging="339"/>
        <w:spacing w:after="0" w:line="278"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the company’s stock expressly designated as ranking junior to the series J preferred stock;</w:t>
      </w:r>
    </w:p>
    <w:p>
      <w:pPr>
        <w:spacing w:after="0" w:line="52" w:lineRule="exact"/>
        <w:rPr>
          <w:rFonts w:ascii="Times New Roman" w:cs="Times New Roman" w:eastAsia="Times New Roman" w:hAnsi="Times New Roman"/>
          <w:sz w:val="14"/>
          <w:szCs w:val="14"/>
          <w:color w:val="auto"/>
        </w:rPr>
      </w:pPr>
    </w:p>
    <w:p>
      <w:pPr>
        <w:ind w:left="1020" w:right="719" w:hanging="339"/>
        <w:spacing w:after="0" w:line="278"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the company’s stock expressly designated as ranking on parity with the series J preferred stock, including the company’s series K preferred stock and series L preferred stock; and</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the company’s stock expressly designated as ranking senior to the series J preferred stock.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Holders of series J preferred stock are entitled to receive cumulative cash dividends on the series J preferred stock from and including the date of original 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J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The series J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46" w:name="page47"/>
    <w:bookmarkEnd w:id="46"/>
    <w:p>
      <w:pPr>
        <w:jc w:val="both"/>
        <w:ind w:left="260" w:right="5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cash sufficient for the payment thereof is set apart, no shares of series J preferred stock may be redeemed unless all outstanding shares of series J preferred stock are simultaneously redeemed; provided, that the foregoing restriction does not prevent the company from taking action necessary to preserve the company’s status as a REIT. Any partial redemption will be on a pro rata basis.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J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J preferred stock (whether its optional redemption right or its special optional redemption right), the holders of series J preferred stock will not have the conversion right described below.</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J preferred stock, the following have occurred and are continuing:</w:t>
      </w:r>
    </w:p>
    <w:p>
      <w:pPr>
        <w:spacing w:after="0" w:line="99" w:lineRule="exact"/>
        <w:rPr>
          <w:sz w:val="20"/>
          <w:szCs w:val="20"/>
          <w:color w:val="auto"/>
        </w:rPr>
      </w:pPr>
    </w:p>
    <w:p>
      <w:pPr>
        <w:ind w:left="1020" w:right="299" w:hanging="339"/>
        <w:spacing w:after="0" w:line="253"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2"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260" w:right="359"/>
        <w:spacing w:after="0" w:line="257" w:lineRule="auto"/>
        <w:rPr>
          <w:sz w:val="20"/>
          <w:szCs w:val="20"/>
          <w:color w:val="auto"/>
        </w:rPr>
      </w:pPr>
      <w:r>
        <w:rPr>
          <w:rFonts w:ascii="Times New Roman" w:cs="Times New Roman" w:eastAsia="Times New Roman" w:hAnsi="Times New Roman"/>
          <w:sz w:val="14"/>
          <w:szCs w:val="14"/>
          <w:color w:val="auto"/>
        </w:rPr>
        <w:t>The series J preferred stock has no stated maturity date and the company is not required to redeem the series J preferred stock at any time. Accordingly, the series J preferred stock will remain outstanding indefinitely, unless the company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260" w:right="319"/>
        <w:spacing w:after="0" w:line="273" w:lineRule="auto"/>
        <w:rPr>
          <w:sz w:val="20"/>
          <w:szCs w:val="20"/>
          <w:color w:val="auto"/>
        </w:rPr>
      </w:pPr>
      <w:r>
        <w:rPr>
          <w:rFonts w:ascii="Times New Roman" w:cs="Times New Roman" w:eastAsia="Times New Roman" w:hAnsi="Times New Roman"/>
          <w:sz w:val="13"/>
          <w:szCs w:val="13"/>
          <w:color w:val="auto"/>
        </w:rPr>
        <w:t>Holders of series J preferred stock generally have no voting rights. However, if the company is in arrears on dividends on the series J preferred stock for six 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company’s next annual meeting of stockholders and each subsequent annual meeting of stockholders for the election of two additional directors to serve on the company’s board of directors until all unpaid dividends with respect to the series J preferred stock and any other class or series of parity preferred stock have been paid or declared and a sum sufficient for the payment thereof set aside for payment. In addition, the company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Conversion</w:t>
      </w:r>
    </w:p>
    <w:p>
      <w:pPr>
        <w:spacing w:after="0" w:line="90"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J preferred stock will have the right (unless, prior to the Change of Control Conversion Date, the company has provided or provides notice of its election to redeem the series J preferred stock) to convert some or all of the series J preferred stock held by such holder on the date the series J preferred stock is to be converted, which we refer to as the Change of Control Conversion Date, into a number of shares of common stock per share of series J preferred stock to be converted equal to the lesser of:</w:t>
      </w:r>
    </w:p>
    <w:p>
      <w:pPr>
        <w:spacing w:after="0" w:line="69" w:lineRule="exact"/>
        <w:rPr>
          <w:sz w:val="20"/>
          <w:szCs w:val="20"/>
          <w:color w:val="auto"/>
        </w:rPr>
      </w:pPr>
    </w:p>
    <w:p>
      <w:pPr>
        <w:ind w:left="1020" w:right="319" w:hanging="339"/>
        <w:spacing w:after="0" w:line="255"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dividends will be included in this sum) by (ii) the Common Stock Price (as defined below); and</w:t>
      </w:r>
    </w:p>
    <w:p>
      <w:pPr>
        <w:spacing w:after="0" w:line="69"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0.42521 (i.e., the Share Cap), subject to certain adjustments;</w:t>
      </w:r>
    </w:p>
    <w:p>
      <w:pPr>
        <w:spacing w:after="0" w:line="171" w:lineRule="exact"/>
        <w:rPr>
          <w:sz w:val="20"/>
          <w:szCs w:val="20"/>
          <w:color w:val="auto"/>
        </w:rPr>
      </w:pPr>
    </w:p>
    <w:p>
      <w:pPr>
        <w:ind w:left="260" w:right="31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J preferred stock.</w:t>
      </w:r>
    </w:p>
    <w:p>
      <w:pPr>
        <w:spacing w:after="0" w:line="126"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1"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the common stock in connection with the Change of Control and any shares of series J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260" w:right="61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J preferred stock is not convertible into or exchangeable for any other securities or property.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series J preferred stock is Equiniti Trust Company, LLC.</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5.850% Series K Cumulative Redeemable Preferred Stock</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260" w:right="399"/>
        <w:spacing w:after="0" w:line="278"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48" w:name="page49"/>
    <w:bookmarkEnd w:id="48"/>
    <w:p>
      <w:pPr>
        <w:ind w:left="260" w:right="5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registration statement of which this prospectus is a part, creating the series K preferred stock as a series of DLR’s preferred stock, designated as the 5.850% Series K Cumulative Redeemable Preferred Stock. The series K preferred stock is validly issued, fully paid and nonassessable.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K preferred stock is currently listed on the NYSE as “DLR Pr 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K preferred stock ranks, with respect to dividend rights and rights upon the company’s liquidation, dissolution or winding-up:</w:t>
      </w:r>
    </w:p>
    <w:p>
      <w:pPr>
        <w:spacing w:after="0" w:line="99" w:lineRule="exact"/>
        <w:rPr>
          <w:sz w:val="20"/>
          <w:szCs w:val="20"/>
          <w:color w:val="auto"/>
        </w:rPr>
      </w:pPr>
    </w:p>
    <w:p>
      <w:pPr>
        <w:ind w:left="1020" w:right="519" w:hanging="339"/>
        <w:spacing w:after="0" w:line="278"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stock expressly designated as ranking junior to the series K preferred stock;</w:t>
      </w:r>
    </w:p>
    <w:p>
      <w:pPr>
        <w:spacing w:after="0" w:line="52" w:lineRule="exact"/>
        <w:rPr>
          <w:rFonts w:ascii="Times New Roman" w:cs="Times New Roman" w:eastAsia="Times New Roman" w:hAnsi="Times New Roman"/>
          <w:sz w:val="14"/>
          <w:szCs w:val="14"/>
          <w:color w:val="auto"/>
        </w:rPr>
      </w:pPr>
    </w:p>
    <w:p>
      <w:pPr>
        <w:ind w:left="1020" w:right="759" w:hanging="339"/>
        <w:spacing w:after="0" w:line="278"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K preferred stock, including the company’s series J preferred stock and series L preferred stock; and</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K preferred stock.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Holders of series K preferred stock are entitled to receive cumulative cash dividends on the series K preferred stock from and including the date of original issue, payable quarterly in arrears on or about the last calendar day of March, June, September and December of each year, at the rate of 5.850% per annum of the $25.00 liquidation preference per share (equivalent to an annual amount of $1.4625 per share). Dividends on the series K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K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260" w:right="319"/>
        <w:spacing w:after="0" w:line="253" w:lineRule="auto"/>
        <w:rPr>
          <w:sz w:val="20"/>
          <w:szCs w:val="20"/>
          <w:color w:val="auto"/>
        </w:rPr>
      </w:pPr>
      <w:r>
        <w:rPr>
          <w:rFonts w:ascii="Times New Roman" w:cs="Times New Roman" w:eastAsia="Times New Roman" w:hAnsi="Times New Roman"/>
          <w:sz w:val="14"/>
          <w:szCs w:val="14"/>
          <w:color w:val="auto"/>
        </w:rPr>
        <w:t>The series K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the company from taking action necessary to preserve its status as a REIT. Any partial redemption will be on a pro rata basis.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260" w:right="339"/>
        <w:spacing w:after="0" w:line="262"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K preferred stock, in whole or in part within 120 days after the first date on which such Change of Control occurred, by paying $25.00 per share, plus any accrued and unpaid dividends to, but not including, the date of</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49" w:name="page50"/>
    <w:bookmarkEnd w:id="49"/>
    <w:p>
      <w:pPr>
        <w:jc w:val="both"/>
        <w:ind w:left="260" w:right="4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redemption. If, prior to the Change of Control Conversion Date (as defined below), the company exercises any of its redemption rights relating to the series K preferred stock (whether its optional redemption right or its special optional redemption right), the holders of series K preferred stock will not have the conversion right described below.</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K preferred stock, the following have occurred and are continuing:</w:t>
      </w:r>
    </w:p>
    <w:p>
      <w:pPr>
        <w:spacing w:after="0" w:line="99" w:lineRule="exact"/>
        <w:rPr>
          <w:sz w:val="20"/>
          <w:szCs w:val="20"/>
          <w:color w:val="auto"/>
        </w:rPr>
      </w:pPr>
    </w:p>
    <w:p>
      <w:pPr>
        <w:ind w:left="1020" w:right="299" w:hanging="339"/>
        <w:spacing w:after="0" w:line="253"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2"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The series K preferred stock has no stated maturity date and the company is not required to redeem the series K preferred stock at any time. Accordingly, the series K preferred stock will remain outstanding indefinitely, unless the company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Holders of series K preferred stock generally have no voting rights. However, if the company is in arrears on dividends on the series K preferred stock for six 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until all unpaid dividends with respect to the series K preferred stock and any other class or series of parity preferred stock have been paid or declared and a sum sufficient for the payment thereof set aside for payment. In addition, the company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0" w:lineRule="exact"/>
        <w:rPr>
          <w:sz w:val="20"/>
          <w:szCs w:val="20"/>
          <w:color w:val="auto"/>
        </w:rPr>
      </w:pPr>
    </w:p>
    <w:p>
      <w:pPr>
        <w:ind w:left="260" w:right="31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K preferred stock will have the right (unless, prior to the Change of Control Conversion Date, the company has provided or provides notice of its election to redeem the series K preferred stock) to convert some or all of the series K preferred stock held by such holder on the date the series K preferred stock is to be converted, which we refer to as the Change of Control Conversion Date, into a number of shares of common stock per share of series K preferred stock to be converted equal to the lesser 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50" w:name="page51"/>
    <w:bookmarkEnd w:id="50"/>
    <w:p>
      <w:pPr>
        <w:ind w:left="1020" w:right="319" w:hanging="339"/>
        <w:spacing w:after="0" w:line="255"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w:t>
      </w:r>
    </w:p>
    <w:p>
      <w:pPr>
        <w:spacing w:after="0" w:line="69"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0.43611 (i.e., the Share Cap), subject to certain adjustments;</w:t>
      </w:r>
    </w:p>
    <w:p>
      <w:pPr>
        <w:spacing w:after="0" w:line="171" w:lineRule="exact"/>
        <w:rPr>
          <w:sz w:val="20"/>
          <w:szCs w:val="20"/>
          <w:color w:val="auto"/>
        </w:rPr>
      </w:pPr>
    </w:p>
    <w:p>
      <w:pPr>
        <w:ind w:left="260" w:right="81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K preferred stock.</w:t>
      </w:r>
    </w:p>
    <w:p>
      <w:pPr>
        <w:spacing w:after="0" w:line="126" w:lineRule="exact"/>
        <w:rPr>
          <w:sz w:val="20"/>
          <w:szCs w:val="20"/>
          <w:color w:val="auto"/>
        </w:rPr>
      </w:pPr>
    </w:p>
    <w:p>
      <w:pPr>
        <w:ind w:left="260" w:right="299"/>
        <w:spacing w:after="0" w:line="270"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3" w:lineRule="exact"/>
        <w:rPr>
          <w:sz w:val="20"/>
          <w:szCs w:val="20"/>
          <w:color w:val="auto"/>
        </w:rPr>
      </w:pPr>
    </w:p>
    <w:p>
      <w:pPr>
        <w:ind w:left="260" w:right="319"/>
        <w:spacing w:after="0" w:line="266" w:lineRule="auto"/>
        <w:rPr>
          <w:sz w:val="20"/>
          <w:szCs w:val="20"/>
          <w:color w:val="auto"/>
        </w:rPr>
      </w:pPr>
      <w:r>
        <w:rPr>
          <w:rFonts w:ascii="Times New Roman" w:cs="Times New Roman" w:eastAsia="Times New Roman" w:hAnsi="Times New Roman"/>
          <w:sz w:val="13"/>
          <w:szCs w:val="13"/>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 w:lineRule="exact"/>
        <w:rPr>
          <w:sz w:val="20"/>
          <w:szCs w:val="20"/>
          <w:color w:val="auto"/>
        </w:rPr>
      </w:pPr>
    </w:p>
    <w:p>
      <w:pPr>
        <w:ind w:left="260" w:right="379"/>
        <w:spacing w:after="0" w:line="249"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the common stock in connection with the Change of Control and any shares of series K preferred stock selected for redemption that have been tendered for conversion will be redeemed on the related date of redemption instead of converted on the Change of Control Conversion Date.</w:t>
      </w:r>
    </w:p>
    <w:p>
      <w:pPr>
        <w:spacing w:after="0" w:line="147" w:lineRule="exact"/>
        <w:rPr>
          <w:sz w:val="20"/>
          <w:szCs w:val="20"/>
          <w:color w:val="auto"/>
        </w:rPr>
      </w:pPr>
    </w:p>
    <w:p>
      <w:pPr>
        <w:ind w:left="260" w:right="57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K preferred stock is not convertible into or exchangeable for any other securities or property.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series K preferred stock is Equiniti Trust Company, LLC.</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5.200% Series L Cumulative Redeemable Preferred Stock</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jc w:val="both"/>
        <w:ind w:left="260" w:right="39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L preferred stock as a series of the company’s preferred stock, designated as the 5.200% Series L Cumulative Redeemable Preferred Stock. The series L preferred stock is validly issued, fully paid and nonassessable.</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L preferred stock is currently listed on the NYSE as “DLR Pr L”.</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series L preferred stock ranks, with respect to dividend rights and rights upon the company’s liquidation, dissolution or winding-up: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51" w:name="page52"/>
    <w:bookmarkEnd w:id="51"/>
    <w:p>
      <w:pPr>
        <w:ind w:left="1020" w:right="519" w:hanging="339"/>
        <w:spacing w:after="0" w:line="278"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senior to all classes or series of the common stock and to any other class or series of stock expressly designated as ranking junior to the series L preferred stock;</w:t>
      </w:r>
    </w:p>
    <w:p>
      <w:pPr>
        <w:spacing w:after="0" w:line="52" w:lineRule="exact"/>
        <w:rPr>
          <w:rFonts w:ascii="Times New Roman" w:cs="Times New Roman" w:eastAsia="Times New Roman" w:hAnsi="Times New Roman"/>
          <w:sz w:val="14"/>
          <w:szCs w:val="14"/>
          <w:color w:val="auto"/>
        </w:rPr>
      </w:pPr>
    </w:p>
    <w:p>
      <w:pPr>
        <w:ind w:left="1020" w:right="779" w:hanging="339"/>
        <w:spacing w:after="0" w:line="278"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L preferred stock, including the company’s series J preferred stock and series K preferred stock; and</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L preferred stock.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Holders of series L preferred stock are entitled to receive cumulative cash dividends on the series L preferred stock from and including the date of original 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L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The series L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the company from taking action necessary to preserve its status as a REIT. Any partial redemption will be on a pro rata basis.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L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L preferred stock (whether its optional redemption right or its special optional redemption right), the holders of series L preferred stock will not have the conversion right described below.</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L preferred stock, the following have occurred and are continuing:</w:t>
      </w:r>
    </w:p>
    <w:p>
      <w:pPr>
        <w:spacing w:after="0" w:line="99" w:lineRule="exact"/>
        <w:rPr>
          <w:sz w:val="20"/>
          <w:szCs w:val="20"/>
          <w:color w:val="auto"/>
        </w:rPr>
      </w:pPr>
    </w:p>
    <w:p>
      <w:pPr>
        <w:ind w:left="1020" w:right="439" w:hanging="339"/>
        <w:spacing w:after="0" w:line="278"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52" w:name="page53"/>
    <w:bookmarkEnd w:id="52"/>
    <w:p>
      <w:pPr>
        <w:ind w:left="10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9" w:lineRule="exact"/>
        <w:rPr>
          <w:sz w:val="20"/>
          <w:szCs w:val="20"/>
          <w:color w:val="auto"/>
        </w:rPr>
      </w:pPr>
    </w:p>
    <w:p>
      <w:pPr>
        <w:ind w:left="1020" w:right="359" w:hanging="339"/>
        <w:spacing w:after="0" w:line="262"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The series L preferred stock has no stated maturity date and the company is not required to redeem the series L preferred stock at any time. Accordingly, the series L preferred stock will remain outstanding indefinitely, unless the company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Holders of series L preferred stock generally have no voting rights. However, if the company is in arrears on dividends on the series L preferred stock for six 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of directors until all unpaid dividends with respect to the series L preferred stock and any other class or series of parity preferred stock have been paid or declared and a sum sufficient for the payment thereof set aside for payment. In addition, the company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0"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L preferred stock will have the right (unless, prior to the Change of Control Conversion Date, the company has provided or provides notice of its election to redeem the series L preferred stock) to convert some or all of the series L preferred stock held by such holder on the date the series L preferred stock is to be converted, which we refer to as the Change of Control Conversion Date, into a number of shares of common stock per share of series L preferred stock to be converted equal to the lesser of:</w:t>
      </w:r>
    </w:p>
    <w:p>
      <w:pPr>
        <w:spacing w:after="0" w:line="162" w:lineRule="exact"/>
        <w:rPr>
          <w:sz w:val="20"/>
          <w:szCs w:val="20"/>
          <w:color w:val="auto"/>
        </w:rPr>
      </w:pPr>
    </w:p>
    <w:p>
      <w:pPr>
        <w:jc w:val="both"/>
        <w:ind w:left="1020" w:right="319" w:hanging="339"/>
        <w:spacing w:after="0" w:line="262"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53" w:name="page54"/>
    <w:bookmarkEnd w:id="53"/>
    <w:p>
      <w:pPr>
        <w:ind w:left="1020" w:right="65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payment and prior to the corresponding series L preferred stock dividend payment date, in which case no additional amount for such accrued and unpaid dividends will be included in this sum) by (ii) the Common Stock Price (as defined below); and</w:t>
      </w:r>
    </w:p>
    <w:p>
      <w:pPr>
        <w:spacing w:after="0" w:line="146" w:lineRule="exact"/>
        <w:rPr>
          <w:sz w:val="20"/>
          <w:szCs w:val="20"/>
          <w:color w:val="auto"/>
        </w:rPr>
      </w:pPr>
    </w:p>
    <w:p>
      <w:pPr>
        <w:ind w:left="1020" w:hanging="339"/>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0.38518 (i.e., the Share Cap), subject to certain adjustments;</w:t>
      </w:r>
    </w:p>
    <w:p>
      <w:pPr>
        <w:spacing w:after="0" w:line="171" w:lineRule="exact"/>
        <w:rPr>
          <w:sz w:val="20"/>
          <w:szCs w:val="20"/>
          <w:color w:val="auto"/>
        </w:rPr>
      </w:pPr>
    </w:p>
    <w:p>
      <w:pPr>
        <w:ind w:left="260" w:right="29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L preferred stock.</w:t>
      </w:r>
    </w:p>
    <w:p>
      <w:pPr>
        <w:spacing w:after="0" w:line="126" w:lineRule="exact"/>
        <w:rPr>
          <w:sz w:val="20"/>
          <w:szCs w:val="20"/>
          <w:color w:val="auto"/>
        </w:rPr>
      </w:pPr>
    </w:p>
    <w:p>
      <w:pPr>
        <w:ind w:left="260" w:right="299"/>
        <w:spacing w:after="0" w:line="270"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3" w:lineRule="exact"/>
        <w:rPr>
          <w:sz w:val="20"/>
          <w:szCs w:val="20"/>
          <w:color w:val="auto"/>
        </w:rPr>
      </w:pPr>
    </w:p>
    <w:p>
      <w:pPr>
        <w:ind w:left="260" w:right="319"/>
        <w:spacing w:after="0" w:line="293" w:lineRule="auto"/>
        <w:rPr>
          <w:sz w:val="20"/>
          <w:szCs w:val="20"/>
          <w:color w:val="auto"/>
        </w:rPr>
      </w:pPr>
      <w:r>
        <w:rPr>
          <w:rFonts w:ascii="Times New Roman" w:cs="Times New Roman" w:eastAsia="Times New Roman" w:hAnsi="Times New Roman"/>
          <w:sz w:val="13"/>
          <w:szCs w:val="13"/>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18"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the common stock in connection with the Change of Control and any shares of series L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260" w:right="59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L preferred stock is not convertible into or exchangeable for any other securities or property.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series L preferred stock is Equiniti Trust Company, LLC.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DEPOSITARY SHARES</w:t>
      </w:r>
    </w:p>
    <w:p>
      <w:pPr>
        <w:spacing w:after="0" w:line="173"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The company may, at its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the company,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44" w:lineRule="exact"/>
        <w:rPr>
          <w:sz w:val="20"/>
          <w:szCs w:val="20"/>
          <w:color w:val="auto"/>
        </w:rPr>
      </w:pPr>
    </w:p>
    <w:p>
      <w:pPr>
        <w:ind w:left="260" w:right="399"/>
        <w:spacing w:after="0" w:line="257" w:lineRule="auto"/>
        <w:rPr>
          <w:sz w:val="20"/>
          <w:szCs w:val="20"/>
          <w:color w:val="auto"/>
        </w:rPr>
      </w:pPr>
      <w:r>
        <w:rPr>
          <w:rFonts w:ascii="Times New Roman" w:cs="Times New Roman" w:eastAsia="Times New Roman" w:hAnsi="Times New Roman"/>
          <w:sz w:val="14"/>
          <w:szCs w:val="14"/>
          <w:color w:val="auto"/>
        </w:rPr>
        <w:t>The summary of the terms of the depositary shares contained in this prospectus shall apply unless otherwise specified on a supplement to this prospectus. This summary, as modified by any supplement to this prospectus, does not purport to be complete and is subject to, and qualified in its entirety by, the provisions of the deposit agreement, the company’s charter and the form of articles supplementary for the applicable series of preferred stock.</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0" w:lineRule="exact"/>
        <w:rPr>
          <w:sz w:val="20"/>
          <w:szCs w:val="20"/>
          <w:color w:val="auto"/>
        </w:rPr>
      </w:pPr>
    </w:p>
    <w:p>
      <w:pPr>
        <w:ind w:left="260" w:right="439"/>
        <w:spacing w:after="0" w:line="253"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the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45" w:lineRule="exact"/>
        <w:rPr>
          <w:sz w:val="20"/>
          <w:szCs w:val="20"/>
          <w:color w:val="auto"/>
        </w:rPr>
      </w:pPr>
    </w:p>
    <w:p>
      <w:pPr>
        <w:ind w:left="260" w:right="359"/>
        <w:spacing w:after="0" w:line="279" w:lineRule="auto"/>
        <w:rPr>
          <w:sz w:val="20"/>
          <w:szCs w:val="20"/>
          <w:color w:val="auto"/>
        </w:rPr>
      </w:pPr>
      <w:r>
        <w:rPr>
          <w:rFonts w:ascii="Times New Roman" w:cs="Times New Roman" w:eastAsia="Times New Roman" w:hAnsi="Times New Roman"/>
          <w:sz w:val="13"/>
          <w:szCs w:val="13"/>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the company) that it is not feasible to make such distribution, in which case the depositary may (with the company’s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260" w:right="379"/>
        <w:spacing w:after="0" w:line="262" w:lineRule="auto"/>
        <w:rPr>
          <w:sz w:val="20"/>
          <w:szCs w:val="20"/>
          <w:color w:val="auto"/>
        </w:rPr>
      </w:pPr>
      <w:r>
        <w:rPr>
          <w:rFonts w:ascii="Times New Roman" w:cs="Times New Roman" w:eastAsia="Times New Roman" w:hAnsi="Times New Roman"/>
          <w:sz w:val="14"/>
          <w:szCs w:val="14"/>
          <w:color w:val="auto"/>
        </w:rPr>
        <w:t>In the event of the liquidation, dissolution or winding up of the affairs of the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0"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the company redeems any preferred stock held by the depositary, the depositary will redeem as of the same redemption date the number of depositary shares representing the preferred stock so redeemed. The depositary will mail the notice of redemption promptly upon receipt of such notice from the company and not less than 30 nor more than 60 days prior to the date fixed for redemption of the preferred stock and the depositary shares to the record holders of the depositary receipts.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7" w:right="1440"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Voting</w:t>
      </w:r>
    </w:p>
    <w:p>
      <w:pPr>
        <w:spacing w:after="0" w:line="90"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the company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Withdrawal of Preferred Stock</w:t>
      </w:r>
    </w:p>
    <w:p>
      <w:pPr>
        <w:spacing w:after="0" w:line="90"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Amendment and Termination of Deposit Agreement</w:t>
      </w:r>
    </w:p>
    <w:p>
      <w:pPr>
        <w:spacing w:after="0" w:line="90"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at any time and from time to time be amended by agreement between the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the preferred stock and all money and other property, if any, represented thereby, except in order to comply with mandatory provisions of applicable law.</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deposit agreement will be permitted to be terminated by the company upon not less than 30 days prior written notice to the applicable depositary if</w:t>
      </w:r>
    </w:p>
    <w:p>
      <w:pPr>
        <w:spacing w:after="0" w:line="20" w:lineRule="exact"/>
        <w:rPr>
          <w:sz w:val="20"/>
          <w:szCs w:val="20"/>
          <w:color w:val="auto"/>
        </w:rPr>
      </w:pPr>
    </w:p>
    <w:p>
      <w:pPr>
        <w:ind w:left="260" w:right="279" w:firstLine="6"/>
        <w:spacing w:after="0" w:line="248" w:lineRule="auto"/>
        <w:tabs>
          <w:tab w:leader="none" w:pos="42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termination is necessary to preserve the company’s status as a REIT or (ii)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The company will agree that if the deposit agreement is terminated to preserve the company’s status as a REIT, then it will use its best efforts to list the preferred stock issued upon surrender of the related depositary shares on a national securities exchange. In addition, the deposit agreement will automatically terminate if (i) all outstanding depositary shares thereunder shall have been redeemed, (ii) there shall have been a final distribution in respect of the related preferred stock in connection with any liquidation, dissolution or winding-up of the company and such distribution shall have been distributed to the holders of depositary receipts evidencing the depositary shares representing such preferred stock or (iii) each share of the related preferred stock shall have been converted into stock of the company not so represented by depositary shares.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7" w:right="1440"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Charges of Depositary</w:t>
      </w:r>
    </w:p>
    <w:p>
      <w:pPr>
        <w:spacing w:after="0" w:line="90"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The company will pay all transfer and other taxes and governmental charges arising solely from the existence of the depositary arrangements. The company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Miscellaneous</w:t>
      </w:r>
    </w:p>
    <w:p>
      <w:pPr>
        <w:spacing w:after="0" w:line="90"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The depositary will forward to the holders of depositary receipts all notices, reports and proxy soliciting material from the company which are delivered to the depositary and which the company is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the company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45" w:lineRule="exact"/>
        <w:rPr>
          <w:sz w:val="20"/>
          <w:szCs w:val="20"/>
          <w:color w:val="auto"/>
        </w:rPr>
      </w:pPr>
    </w:p>
    <w:p>
      <w:pPr>
        <w:ind w:left="260" w:right="319"/>
        <w:spacing w:after="0" w:line="275" w:lineRule="auto"/>
        <w:rPr>
          <w:sz w:val="20"/>
          <w:szCs w:val="20"/>
          <w:color w:val="auto"/>
        </w:rPr>
      </w:pPr>
      <w:r>
        <w:rPr>
          <w:rFonts w:ascii="Times New Roman" w:cs="Times New Roman" w:eastAsia="Times New Roman" w:hAnsi="Times New Roman"/>
          <w:sz w:val="13"/>
          <w:szCs w:val="13"/>
          <w:color w:val="auto"/>
        </w:rPr>
        <w:t>Neither the depositary nor the company assumes any obligation or will be subject to any liability under the deposit agreement to holders of depositary receipts other than for its negligence or willful misconduct. Neither the depositary nor the company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The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3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In the event the depositary shall receive conflicting claims, requests or instructions from any holders of depositary receipts, on the one hand, and the company, on the other hand, the depositary shall be entitled to act on such claims, requests or instructions received from the company.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Resignation and Removal of Depositary</w:t>
      </w:r>
    </w:p>
    <w:p>
      <w:pPr>
        <w:spacing w:after="0" w:line="90" w:lineRule="exact"/>
        <w:rPr>
          <w:sz w:val="20"/>
          <w:szCs w:val="20"/>
          <w:color w:val="auto"/>
        </w:rPr>
      </w:pPr>
    </w:p>
    <w:p>
      <w:pPr>
        <w:ind w:left="260" w:right="459"/>
        <w:spacing w:after="0" w:line="257"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the company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7"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WARRANTS</w:t>
      </w:r>
    </w:p>
    <w:p>
      <w:pPr>
        <w:spacing w:after="0" w:line="173"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The company may issue warrants for the purchase of the common stock, preferred stock or depositary shares of Digital Realty Trust, Inc., and may issue warrants independently or together with common stock, preferred stock, depositary shares or debt securities or attached to or separate from such securities. The company will issue each series of warrants under a separate warrant agreement, and may appoint a bank or trust company as warrant agent, all as specified in the applicable prospectus supplement. Any warrant agent will act solely as the company’s agent in connection with the warrants and will not act for or on behalf of warrant holders.</w:t>
      </w:r>
    </w:p>
    <w:p>
      <w:pPr>
        <w:spacing w:after="0" w:line="142"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The following sets forth certain general terms and provisions of the warrants that may be offered under this registration statement. Further terms of the warrants and applicable warrant agreements will be set forth in the applicable prospectus supplement.</w:t>
      </w:r>
    </w:p>
    <w:p>
      <w:pPr>
        <w:spacing w:after="0" w:line="126" w:lineRule="exact"/>
        <w:rPr>
          <w:sz w:val="20"/>
          <w:szCs w:val="20"/>
          <w:color w:val="auto"/>
        </w:rPr>
      </w:pPr>
    </w:p>
    <w:p>
      <w:pPr>
        <w:ind w:left="260" w:right="499"/>
        <w:spacing w:after="0" w:line="278"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warrants in respect of which this prospectus is being delivered, including, where applicable, the following:</w:t>
      </w:r>
    </w:p>
    <w:p>
      <w:pPr>
        <w:spacing w:after="0" w:line="53" w:lineRule="exact"/>
        <w:rPr>
          <w:sz w:val="20"/>
          <w:szCs w:val="20"/>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 outstanding;</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securities purchasable upon exercise of such warrants;</w:t>
      </w:r>
    </w:p>
    <w:p>
      <w:pPr>
        <w:spacing w:after="0" w:line="98" w:lineRule="exact"/>
        <w:rPr>
          <w:rFonts w:ascii="Times New Roman" w:cs="Times New Roman" w:eastAsia="Times New Roman" w:hAnsi="Times New Roman"/>
          <w:sz w:val="14"/>
          <w:szCs w:val="14"/>
          <w:color w:val="auto"/>
        </w:rPr>
      </w:pPr>
    </w:p>
    <w:p>
      <w:pPr>
        <w:ind w:left="1020" w:right="399" w:hanging="339"/>
        <w:spacing w:after="0" w:line="278"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securities, if any, with which such warrants are issued and the number of such warrants issued with each such offered security;</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upon exercise of such warrants may be purchased;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for changes to or adjustments in the exercise price;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of such warrants that may be exercised at any one time;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protection;</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material U.S. federal income tax considerations; and</w:t>
      </w:r>
    </w:p>
    <w:p>
      <w:pPr>
        <w:spacing w:after="0" w:line="98" w:lineRule="exact"/>
        <w:rPr>
          <w:rFonts w:ascii="Times New Roman" w:cs="Times New Roman" w:eastAsia="Times New Roman" w:hAnsi="Times New Roman"/>
          <w:sz w:val="14"/>
          <w:szCs w:val="14"/>
          <w:color w:val="auto"/>
        </w:rPr>
      </w:pPr>
    </w:p>
    <w:p>
      <w:pPr>
        <w:ind w:left="1020" w:right="359" w:hanging="339"/>
        <w:spacing w:after="0" w:line="278"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transferability, exercise and exchange of such warrants.</w:t>
      </w:r>
    </w:p>
    <w:p>
      <w:pPr>
        <w:spacing w:after="0" w:line="126" w:lineRule="exact"/>
        <w:rPr>
          <w:sz w:val="20"/>
          <w:szCs w:val="20"/>
          <w:color w:val="auto"/>
        </w:rPr>
      </w:pPr>
    </w:p>
    <w:p>
      <w:pPr>
        <w:ind w:left="260" w:right="479"/>
        <w:spacing w:after="0" w:line="283" w:lineRule="auto"/>
        <w:rPr>
          <w:sz w:val="20"/>
          <w:szCs w:val="20"/>
          <w:color w:val="auto"/>
        </w:rPr>
      </w:pPr>
      <w:r>
        <w:rPr>
          <w:rFonts w:ascii="Times New Roman" w:cs="Times New Roman" w:eastAsia="Times New Roman" w:hAnsi="Times New Roman"/>
          <w:sz w:val="13"/>
          <w:szCs w:val="13"/>
          <w:color w:val="auto"/>
        </w:rPr>
        <w:t>Warrant certificates will be exchangeable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securities purchasable upon such exercise or to any dividend payments or voting rights, as applicable, as to which holders of the shares of the common stock or preferred stock purchasable upon such exercise may be entitled.</w:t>
      </w:r>
    </w:p>
    <w:p>
      <w:pPr>
        <w:spacing w:after="0" w:line="126"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for cash such number of shares of common stock, shares of preferred stock, or depository shares, at such exercise price as shall, in each case, be set forth, or be determinable as set forth, in the applicable prospectus supplement relating to the warrants offered thereby. Unless otherwise specified in the applicable prospectus supplement, warrants may be exercised at any time up to 5:00 p.m. New York City time on the expiration date set forth in applicable prospectus supplement. After 5:00 p.m. New York City time on the expiration date, unexercised warrants will be void.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7" w:right="1440" w:bottom="1440" w:gutter="0" w:footer="0" w:header="0"/>
        </w:sectPr>
      </w:pPr>
    </w:p>
    <w:bookmarkStart w:id="58" w:name="page59"/>
    <w:bookmarkEnd w:id="58"/>
    <w:p>
      <w:pPr>
        <w:ind w:left="260" w:right="4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Warrants may be exercised as set forth in the applicable prospectus supplement relating to the warrants. Upon receipt of payment and the warrant certificate properly completed and duly executed at the corporate trust office of the warrant agent or any other office indicated in the applicable prospectus supplement, the company will, as soon as practicable, forward the securities purchasable upon such exercise. If less than all of the warrants are presented by such warrant certificate of exercise, a new warrant certificate will be issued for the remaining amount of warrants.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DEBT SECURITIES AND RELATED GUARANTEES</w:t>
      </w:r>
    </w:p>
    <w:p>
      <w:pPr>
        <w:spacing w:after="0" w:line="173"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The following is a description of the general terms and provisions of our operating partnership’s debt securities and related guarantees by Digital Realty Trust, Inc., if applicable. When our operating partnership offers to sell a particular series of debt securities, we will describe the specific terms of the series in a supplement to this prospectus, including the terms of any related guarantees by Digital Realty Trust, Inc. and the terms, if any,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45" w:lineRule="exact"/>
        <w:rPr>
          <w:sz w:val="20"/>
          <w:szCs w:val="20"/>
          <w:color w:val="auto"/>
        </w:rPr>
      </w:pPr>
    </w:p>
    <w:p>
      <w:pPr>
        <w:ind w:left="260" w:right="279"/>
        <w:spacing w:after="0" w:line="257" w:lineRule="auto"/>
        <w:rPr>
          <w:sz w:val="20"/>
          <w:szCs w:val="20"/>
          <w:color w:val="auto"/>
        </w:rPr>
      </w:pPr>
      <w:r>
        <w:rPr>
          <w:rFonts w:ascii="Times New Roman" w:cs="Times New Roman" w:eastAsia="Times New Roman" w:hAnsi="Times New Roman"/>
          <w:sz w:val="14"/>
          <w:szCs w:val="14"/>
          <w:color w:val="auto"/>
        </w:rPr>
        <w:t>The debt securities may be offered in the form of either senior debt securities or subordinated debt securities. Unless otherwise specified in a prospectus supplement, the debt securities will be the direct, unsecured obligations of Digital Realty Trust, L.P., and will rank equally in right of payment with all of Digital Realty Trust, L.P.’s other unsecured and unsubordinated indebtedness. The debt securities that are sold may be exchangeable for and/or convertible into common stock or any of the other securities that may be sold under this prospectus.</w:t>
      </w:r>
    </w:p>
    <w:p>
      <w:pPr>
        <w:spacing w:after="0" w:line="142" w:lineRule="exact"/>
        <w:rPr>
          <w:sz w:val="20"/>
          <w:szCs w:val="20"/>
          <w:color w:val="auto"/>
        </w:rPr>
      </w:pPr>
    </w:p>
    <w:p>
      <w:pPr>
        <w:ind w:left="260" w:right="419"/>
        <w:spacing w:after="0" w:line="255" w:lineRule="auto"/>
        <w:rPr>
          <w:sz w:val="20"/>
          <w:szCs w:val="20"/>
          <w:color w:val="auto"/>
        </w:rPr>
      </w:pPr>
      <w:r>
        <w:rPr>
          <w:rFonts w:ascii="Times New Roman" w:cs="Times New Roman" w:eastAsia="Times New Roman" w:hAnsi="Times New Roman"/>
          <w:sz w:val="14"/>
          <w:szCs w:val="14"/>
          <w:color w:val="auto"/>
        </w:rPr>
        <w:t>Unless otherwise specified in a prospectus supplement, the debt securities will be issued under an indenture between us and Computershare Trust Company, N.A., successor to Wells Fargo Bank, National Association, as trustee, or the trustee. We have summarized select portions of the indenture below. The summary is not complete. We have filed the indenture as an exhibit to the registration statement of which this prospectus is a part, and you should read the indenture and our debt securities carefully for provisions that may be important to you. Capitalized terms used in the summary and not defined in this prospectus have the meaning specified in the indenture.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60" w:right="279"/>
        <w:spacing w:after="0" w:line="262"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the company’s board of directors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38"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Unless otherwise specified in a prospectus supplement, the indenture will designate Computershare Trust Company, N.A. as the trustee for the indenture with respect to one or more series of our operating partnership’s debt securities and related guarantees of our company, if applicable. Computershare Trust Company, N.A., or any other specified trustee, may resign or be removed with respect to one or more series of our debt securities, and a successor trustee may be appointed to act with respect to that series.</w:t>
      </w:r>
    </w:p>
    <w:p>
      <w:pPr>
        <w:spacing w:after="0" w:line="1" w:lineRule="exact"/>
        <w:rPr>
          <w:sz w:val="20"/>
          <w:szCs w:val="20"/>
          <w:color w:val="auto"/>
        </w:rPr>
      </w:pPr>
    </w:p>
    <w:p>
      <w:pPr>
        <w:ind w:left="260" w:right="319"/>
        <w:spacing w:after="0" w:line="273" w:lineRule="auto"/>
        <w:rPr>
          <w:sz w:val="20"/>
          <w:szCs w:val="20"/>
          <w:color w:val="auto"/>
        </w:rPr>
      </w:pPr>
      <w:r>
        <w:rPr>
          <w:rFonts w:ascii="Times New Roman" w:cs="Times New Roman" w:eastAsia="Times New Roman" w:hAnsi="Times New Roman"/>
          <w:sz w:val="13"/>
          <w:szCs w:val="13"/>
          <w:color w:val="auto"/>
        </w:rPr>
        <w:t>Unless otherwise specified in a supplement to this prospectus, the debt securities will be our operating partnership’s direct, unsecured obligations and will rank equally with all of its other unsecured and unsubordinated indebtedness, and may be fully and unconditionally guaranteed by the company. We can issue an unlimited amount of our operating partnership’s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such series of debt securities, to the extent applicable:</w:t>
      </w:r>
    </w:p>
    <w:p>
      <w:pPr>
        <w:spacing w:after="0" w:line="59" w:lineRule="exact"/>
        <w:rPr>
          <w:sz w:val="20"/>
          <w:szCs w:val="20"/>
          <w:color w:val="auto"/>
        </w:rPr>
      </w:pPr>
    </w:p>
    <w:p>
      <w:pPr>
        <w:ind w:left="1020" w:hanging="339"/>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debt securities of that particular series from the debt securities of any other series);</w:t>
      </w:r>
    </w:p>
    <w:p>
      <w:pPr>
        <w:spacing w:after="0" w:line="98" w:lineRule="exact"/>
        <w:rPr>
          <w:rFonts w:ascii="Times New Roman" w:cs="Times New Roman" w:eastAsia="Times New Roman" w:hAnsi="Times New Roman"/>
          <w:sz w:val="14"/>
          <w:szCs w:val="14"/>
          <w:color w:val="auto"/>
        </w:rPr>
      </w:pPr>
    </w:p>
    <w:p>
      <w:pPr>
        <w:ind w:left="4440" w:right="619" w:hanging="3759"/>
        <w:spacing w:after="0" w:line="448" w:lineRule="auto"/>
        <w:tabs>
          <w:tab w:leader="none" w:pos="101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thereof) at which the debt securities of the series will be issued; 26</w:t>
      </w:r>
    </w:p>
    <w:p>
      <w:pPr>
        <w:sectPr>
          <w:pgSz w:w="11900" w:h="16838" w:orient="portrait"/>
          <w:cols w:equalWidth="0" w:num="1">
            <w:col w:w="9019"/>
          </w:cols>
          <w:pgMar w:left="1440" w:top="237" w:right="1440" w:bottom="1440" w:gutter="0" w:footer="0" w:header="0"/>
        </w:sectPr>
      </w:pPr>
    </w:p>
    <w:bookmarkStart w:id="60" w:name="page61"/>
    <w:bookmarkEnd w:id="60"/>
    <w:p>
      <w:pPr>
        <w:jc w:val="both"/>
        <w:ind w:left="1020" w:right="299" w:hanging="339"/>
        <w:spacing w:after="0" w:line="262"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98" w:lineRule="exact"/>
        <w:rPr>
          <w:rFonts w:ascii="Times New Roman" w:cs="Times New Roman" w:eastAsia="Times New Roman" w:hAnsi="Times New Roman"/>
          <w:sz w:val="14"/>
          <w:szCs w:val="14"/>
          <w:color w:val="auto"/>
        </w:rPr>
      </w:pPr>
    </w:p>
    <w:p>
      <w:pPr>
        <w:ind w:left="1020" w:right="439" w:hanging="339"/>
        <w:spacing w:after="0" w:line="25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w:t>
      </w:r>
    </w:p>
    <w:p>
      <w:pPr>
        <w:spacing w:after="0" w:line="68" w:lineRule="exact"/>
        <w:rPr>
          <w:rFonts w:ascii="Times New Roman" w:cs="Times New Roman" w:eastAsia="Times New Roman" w:hAnsi="Times New Roman"/>
          <w:sz w:val="14"/>
          <w:szCs w:val="14"/>
          <w:color w:val="auto"/>
        </w:rPr>
      </w:pPr>
    </w:p>
    <w:p>
      <w:pPr>
        <w:ind w:left="1020" w:right="339" w:hanging="339"/>
        <w:spacing w:after="0" w:line="292" w:lineRule="auto"/>
        <w:tabs>
          <w:tab w:leader="none" w:pos="10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w:t>
      </w:r>
    </w:p>
    <w:p>
      <w:pPr>
        <w:spacing w:after="0" w:line="46" w:lineRule="exact"/>
        <w:rPr>
          <w:rFonts w:ascii="Times New Roman" w:cs="Times New Roman" w:eastAsia="Times New Roman" w:hAnsi="Times New Roman"/>
          <w:sz w:val="13"/>
          <w:szCs w:val="13"/>
          <w:color w:val="auto"/>
        </w:rPr>
      </w:pPr>
    </w:p>
    <w:p>
      <w:pPr>
        <w:ind w:left="1020" w:right="419" w:hanging="339"/>
        <w:spacing w:after="0" w:line="278"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period or periods within which, the price or prices at which and the terms and conditions upon which the debt securities of the series may be redeemed, in whole or in part, at our option;</w:t>
      </w:r>
    </w:p>
    <w:p>
      <w:pPr>
        <w:spacing w:after="0" w:line="52" w:lineRule="exact"/>
        <w:rPr>
          <w:rFonts w:ascii="Times New Roman" w:cs="Times New Roman" w:eastAsia="Times New Roman" w:hAnsi="Times New Roman"/>
          <w:sz w:val="14"/>
          <w:szCs w:val="14"/>
          <w:color w:val="auto"/>
        </w:rPr>
      </w:pPr>
    </w:p>
    <w:p>
      <w:pPr>
        <w:ind w:left="1020" w:right="319" w:hanging="339"/>
        <w:spacing w:after="0" w:line="25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w:t>
      </w:r>
    </w:p>
    <w:p>
      <w:pPr>
        <w:spacing w:after="0" w:line="68" w:lineRule="exact"/>
        <w:rPr>
          <w:rFonts w:ascii="Times New Roman" w:cs="Times New Roman" w:eastAsia="Times New Roman" w:hAnsi="Times New Roman"/>
          <w:sz w:val="14"/>
          <w:szCs w:val="14"/>
          <w:color w:val="auto"/>
        </w:rPr>
      </w:pPr>
    </w:p>
    <w:p>
      <w:pPr>
        <w:ind w:left="1020" w:right="519" w:hanging="339"/>
        <w:spacing w:after="0" w:line="278"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if any, on which and the price or prices at which the debt securities of the series will be repurchased by us at the option of the holders thereof and other detailed terms and provisions of such repurchase obligations;</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the denominations in which the debt securities shall be issuable;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debt securities of the series and whether the debt securities will be issuable as global securities;</w:t>
      </w:r>
    </w:p>
    <w:p>
      <w:pPr>
        <w:spacing w:after="0" w:line="98" w:lineRule="exact"/>
        <w:rPr>
          <w:rFonts w:ascii="Times New Roman" w:cs="Times New Roman" w:eastAsia="Times New Roman" w:hAnsi="Times New Roman"/>
          <w:sz w:val="14"/>
          <w:szCs w:val="14"/>
          <w:color w:val="auto"/>
        </w:rPr>
      </w:pPr>
    </w:p>
    <w:p>
      <w:pPr>
        <w:ind w:left="1020" w:right="359" w:hanging="339"/>
        <w:spacing w:after="0" w:line="278"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the debt securities of the series that shall be payable upon declaration of acceleration of the maturity thereof pursuant to the indenture;</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of the series, which may be in U.S. dollars or any foreign currency;</w:t>
      </w:r>
    </w:p>
    <w:p>
      <w:pPr>
        <w:spacing w:after="0" w:line="98" w:lineRule="exact"/>
        <w:rPr>
          <w:rFonts w:ascii="Times New Roman" w:cs="Times New Roman" w:eastAsia="Times New Roman" w:hAnsi="Times New Roman"/>
          <w:sz w:val="14"/>
          <w:szCs w:val="14"/>
          <w:color w:val="auto"/>
        </w:rPr>
      </w:pPr>
    </w:p>
    <w:p>
      <w:pPr>
        <w:ind w:left="1020" w:right="319" w:hanging="339"/>
        <w:spacing w:after="0" w:line="278"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the principal of, and premium, if any, and interest, if any, on, the debt securities of the series will be made;</w:t>
      </w:r>
    </w:p>
    <w:p>
      <w:pPr>
        <w:spacing w:after="0" w:line="52"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and premium, if any, and interest, if any, on, the debt securities of the series are to be made in one or more currencies or currency units other than that or those in which such debt securities are denominated, the manner in which the exchange rate with respect to such payments will be determined;</w:t>
      </w:r>
    </w:p>
    <w:p>
      <w:pPr>
        <w:spacing w:after="0" w:line="64"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if any, on the debt securities of the series will be determined, if such amounts may be determined by reference to an index based on a currency or currencies or by reference to a commodity, commodity index, stock exchange index or financial index;</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61" w:name="page62"/>
    <w:bookmarkEnd w:id="61"/>
    <w:p>
      <w:pPr>
        <w:ind w:left="1020" w:hanging="339"/>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provisions, if any, relating to any security provided for the debt securities of the series or the guarantees, if any, thereof;</w:t>
      </w:r>
    </w:p>
    <w:p>
      <w:pPr>
        <w:spacing w:after="0" w:line="98" w:lineRule="exact"/>
        <w:rPr>
          <w:rFonts w:ascii="Times New Roman" w:cs="Times New Roman" w:eastAsia="Times New Roman" w:hAnsi="Times New Roman"/>
          <w:sz w:val="14"/>
          <w:szCs w:val="14"/>
          <w:color w:val="auto"/>
        </w:rPr>
      </w:pPr>
    </w:p>
    <w:p>
      <w:pPr>
        <w:jc w:val="both"/>
        <w:ind w:left="1020" w:right="279" w:hanging="339"/>
        <w:spacing w:after="0" w:line="318" w:lineRule="auto"/>
        <w:tabs>
          <w:tab w:leader="none" w:pos="1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w:t>
      </w:r>
    </w:p>
    <w:p>
      <w:pPr>
        <w:spacing w:after="0" w:line="29" w:lineRule="exact"/>
        <w:rPr>
          <w:rFonts w:ascii="Times New Roman" w:cs="Times New Roman" w:eastAsia="Times New Roman" w:hAnsi="Times New Roman"/>
          <w:sz w:val="13"/>
          <w:szCs w:val="13"/>
          <w:color w:val="auto"/>
        </w:rPr>
      </w:pPr>
    </w:p>
    <w:p>
      <w:pPr>
        <w:ind w:left="1020" w:hanging="339"/>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indenture with respect to the debt securities of the series;</w:t>
      </w:r>
    </w:p>
    <w:p>
      <w:pPr>
        <w:spacing w:after="0" w:line="20" w:lineRule="exact"/>
        <w:rPr>
          <w:rFonts w:ascii="Times New Roman" w:cs="Times New Roman" w:eastAsia="Times New Roman" w:hAnsi="Times New Roman"/>
          <w:sz w:val="14"/>
          <w:szCs w:val="14"/>
          <w:color w:val="auto"/>
        </w:rPr>
      </w:pPr>
    </w:p>
    <w:p>
      <w:pPr>
        <w:ind w:left="1020" w:right="379" w:hanging="339"/>
        <w:spacing w:after="0" w:line="255"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depositaries, interest rate calculation agents, exchange rate calculation agents or other agents, if any, with respect to the debt securities of the series, if other than as described in this prospectus or the indenture;</w:t>
      </w:r>
    </w:p>
    <w:p>
      <w:pPr>
        <w:spacing w:after="0" w:line="68" w:lineRule="exact"/>
        <w:rPr>
          <w:rFonts w:ascii="Times New Roman" w:cs="Times New Roman" w:eastAsia="Times New Roman" w:hAnsi="Times New Roman"/>
          <w:sz w:val="14"/>
          <w:szCs w:val="14"/>
          <w:color w:val="auto"/>
        </w:rPr>
      </w:pPr>
    </w:p>
    <w:p>
      <w:pPr>
        <w:ind w:left="1020" w:right="359" w:hanging="339"/>
        <w:spacing w:after="0" w:line="257"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of any debt securities of the series, including if applicable, the conversion price, the conversion period, the securities or other property into which such debt securities will be convertible, provisions as to whether conversion will be mandatory, at the option of the holders thereof or at our option, the events requiring an adjustment of the conversion price and provisions affecting conversion if such debt securities are redeemed;</w:t>
      </w:r>
    </w:p>
    <w:p>
      <w:pPr>
        <w:spacing w:after="0" w:line="68" w:lineRule="exact"/>
        <w:rPr>
          <w:rFonts w:ascii="Times New Roman" w:cs="Times New Roman" w:eastAsia="Times New Roman" w:hAnsi="Times New Roman"/>
          <w:sz w:val="14"/>
          <w:szCs w:val="14"/>
          <w:color w:val="auto"/>
        </w:rPr>
      </w:pPr>
    </w:p>
    <w:p>
      <w:pPr>
        <w:ind w:left="1020" w:right="439" w:hanging="339"/>
        <w:spacing w:after="0" w:line="278"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will be senior debt securities or subordinated debt securities and, if applicable, the subordination terms thereof;</w:t>
      </w:r>
    </w:p>
    <w:p>
      <w:pPr>
        <w:spacing w:after="0" w:line="52" w:lineRule="exact"/>
        <w:rPr>
          <w:rFonts w:ascii="Times New Roman" w:cs="Times New Roman" w:eastAsia="Times New Roman" w:hAnsi="Times New Roman"/>
          <w:sz w:val="14"/>
          <w:szCs w:val="14"/>
          <w:color w:val="auto"/>
        </w:rPr>
      </w:pPr>
    </w:p>
    <w:p>
      <w:pPr>
        <w:ind w:left="1020" w:right="299" w:hanging="339"/>
        <w:spacing w:after="0" w:line="318" w:lineRule="auto"/>
        <w:tabs>
          <w:tab w:leader="none" w:pos="1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of the series are entitled to the benefits of a guarantee pursuant to the indenture, the terms of such guarantee and whether any such guarantee is made on a senior or subordinated basis and, if applicable, the subordination terms of any such guarantee;</w:t>
      </w:r>
    </w:p>
    <w:p>
      <w:pPr>
        <w:spacing w:after="0" w:line="29" w:lineRule="exact"/>
        <w:rPr>
          <w:rFonts w:ascii="Times New Roman" w:cs="Times New Roman" w:eastAsia="Times New Roman" w:hAnsi="Times New Roman"/>
          <w:sz w:val="13"/>
          <w:szCs w:val="13"/>
          <w:color w:val="auto"/>
        </w:rPr>
      </w:pPr>
    </w:p>
    <w:p>
      <w:pPr>
        <w:ind w:left="1020" w:hanging="339"/>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debt securities; and</w:t>
      </w:r>
    </w:p>
    <w:p>
      <w:pPr>
        <w:spacing w:after="0" w:line="98" w:lineRule="exact"/>
        <w:rPr>
          <w:rFonts w:ascii="Times New Roman" w:cs="Times New Roman" w:eastAsia="Times New Roman" w:hAnsi="Times New Roman"/>
          <w:sz w:val="14"/>
          <w:szCs w:val="14"/>
          <w:color w:val="auto"/>
        </w:rPr>
      </w:pPr>
    </w:p>
    <w:p>
      <w:pPr>
        <w:ind w:left="1020" w:right="299" w:hanging="339"/>
        <w:spacing w:after="0" w:line="278"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 (which terms may supplement, modify or delete any provision of the indenture insofar as it applies to such series) .</w:t>
      </w:r>
    </w:p>
    <w:p>
      <w:pPr>
        <w:spacing w:after="0" w:line="126" w:lineRule="exact"/>
        <w:rPr>
          <w:sz w:val="20"/>
          <w:szCs w:val="20"/>
          <w:color w:val="auto"/>
        </w:rPr>
      </w:pPr>
    </w:p>
    <w:p>
      <w:pPr>
        <w:ind w:left="260" w:right="439"/>
        <w:spacing w:after="0" w:line="255" w:lineRule="auto"/>
        <w:rPr>
          <w:sz w:val="20"/>
          <w:szCs w:val="20"/>
          <w:color w:val="auto"/>
        </w:rPr>
      </w:pPr>
      <w:r>
        <w:rPr>
          <w:rFonts w:ascii="Times New Roman" w:cs="Times New Roman" w:eastAsia="Times New Roman" w:hAnsi="Times New Roman"/>
          <w:sz w:val="14"/>
          <w:szCs w:val="14"/>
          <w:color w:val="auto"/>
        </w:rPr>
        <w:t>In addition, the indenture does not limit our operating partnership’s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w:t>
      </w:r>
    </w:p>
    <w:p>
      <w:pPr>
        <w:spacing w:after="0" w:line="142" w:lineRule="exact"/>
        <w:rPr>
          <w:sz w:val="20"/>
          <w:szCs w:val="20"/>
          <w:color w:val="auto"/>
        </w:rPr>
      </w:pPr>
    </w:p>
    <w:p>
      <w:pPr>
        <w:ind w:left="260" w:right="379"/>
        <w:spacing w:after="0" w:line="262" w:lineRule="auto"/>
        <w:rPr>
          <w:sz w:val="20"/>
          <w:szCs w:val="20"/>
          <w:color w:val="auto"/>
        </w:rPr>
      </w:pPr>
      <w:r>
        <w:rPr>
          <w:rFonts w:ascii="Times New Roman" w:cs="Times New Roman" w:eastAsia="Times New Roman" w:hAnsi="Times New Roman"/>
          <w:sz w:val="14"/>
          <w:szCs w:val="14"/>
          <w:color w:val="auto"/>
        </w:rPr>
        <w:t>We may issue debt securities of our operating partnership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w:t>
      </w:r>
    </w:p>
    <w:p>
      <w:pPr>
        <w:spacing w:after="0" w:line="138"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If we denominate the purchase price of any of our operating partnership’s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0" w:lineRule="exact"/>
        <w:rPr>
          <w:sz w:val="20"/>
          <w:szCs w:val="20"/>
          <w:color w:val="auto"/>
        </w:rPr>
      </w:pPr>
    </w:p>
    <w:p>
      <w:pPr>
        <w:ind w:left="260" w:right="319"/>
        <w:spacing w:after="0" w:line="27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as depositary, or a nominee (we will refer to any debt security represented by a</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62" w:name="page63"/>
    <w:bookmarkEnd w:id="62"/>
    <w:p>
      <w:pPr>
        <w:ind w:left="260" w:right="4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90" w:lineRule="exact"/>
        <w:rPr>
          <w:sz w:val="20"/>
          <w:szCs w:val="20"/>
          <w:color w:val="auto"/>
        </w:rPr>
      </w:pPr>
    </w:p>
    <w:p>
      <w:pPr>
        <w:ind w:left="260" w:right="339"/>
        <w:spacing w:after="0" w:line="262"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8" w:lineRule="exact"/>
        <w:rPr>
          <w:sz w:val="20"/>
          <w:szCs w:val="20"/>
          <w:color w:val="auto"/>
        </w:rPr>
      </w:pPr>
    </w:p>
    <w:p>
      <w:pPr>
        <w:ind w:left="260" w:right="639"/>
        <w:spacing w:after="0" w:line="262"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of the certificate to the new holder or the issuance by us of a new certificate to the new holder.</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90" w:lineRule="exact"/>
        <w:rPr>
          <w:sz w:val="20"/>
          <w:szCs w:val="20"/>
          <w:color w:val="auto"/>
        </w:rPr>
      </w:pPr>
    </w:p>
    <w:p>
      <w:pPr>
        <w:ind w:left="260" w:right="279"/>
        <w:spacing w:after="0" w:line="278"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require the depositary to agree to follow the following procedures with respect to book-entry debt securities.</w:t>
      </w:r>
    </w:p>
    <w:p>
      <w:pPr>
        <w:spacing w:after="0" w:line="171"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47"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46"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63" w:name="page64"/>
    <w:bookmarkEnd w:id="63"/>
    <w:p>
      <w:pPr>
        <w:ind w:left="26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142"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w:t>
      </w:r>
    </w:p>
    <w:p>
      <w:pPr>
        <w:spacing w:after="0" w:line="142"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46"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We have obtained the foregoing information concerning the depositary and the depositary’s book-entry system from sources we believe to be reliable, but we take no responsibility for the accuracy of this information.</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0" w:lineRule="exact"/>
        <w:rPr>
          <w:sz w:val="20"/>
          <w:szCs w:val="20"/>
          <w:color w:val="auto"/>
        </w:rPr>
      </w:pPr>
    </w:p>
    <w:p>
      <w:pPr>
        <w:jc w:val="both"/>
        <w:ind w:left="260" w:right="299"/>
        <w:spacing w:after="0" w:line="262"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0"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Digital Realty Trust, L.P. and Digital Realty Trust, Inc. may consolidate with, or sell, lease or convey all or substantially all of their respective assets to, or merge with or into, any other entity, provided that the following conditions are met:</w:t>
      </w:r>
    </w:p>
    <w:p>
      <w:pPr>
        <w:spacing w:after="0" w:line="53" w:lineRule="exact"/>
        <w:rPr>
          <w:sz w:val="20"/>
          <w:szCs w:val="20"/>
          <w:color w:val="auto"/>
        </w:rPr>
      </w:pPr>
    </w:p>
    <w:p>
      <w:pPr>
        <w:ind w:left="1020" w:right="319" w:hanging="339"/>
        <w:spacing w:after="0" w:line="257" w:lineRule="auto"/>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 or Digital Realty Trust, Inc., as the case may be, shall be the continuing entity, or the successor entity (if other than Digital Realty Trust, L.P. or Digital Realty Trust, Inc., as the case may be)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64" w:name="page65"/>
    <w:bookmarkEnd w:id="64"/>
    <w:p>
      <w:pPr>
        <w:ind w:left="1020" w:right="359" w:hanging="339"/>
        <w:spacing w:after="0" w:line="278"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immediately after giving effect to the transaction, no Event of Default under the indenture, and no event which, after notice or the lapse of time, or both, would become an Event of Default, shall have occurred and be continuing; and</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these conditions shall be delivered to the trustee.</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0" w:lineRule="exact"/>
        <w:rPr>
          <w:sz w:val="20"/>
          <w:szCs w:val="20"/>
          <w:color w:val="auto"/>
        </w:rPr>
      </w:pPr>
    </w:p>
    <w:p>
      <w:pPr>
        <w:ind w:left="260" w:right="379"/>
        <w:spacing w:after="0" w:line="253" w:lineRule="auto"/>
        <w:rPr>
          <w:sz w:val="20"/>
          <w:szCs w:val="20"/>
          <w:color w:val="auto"/>
        </w:rPr>
      </w:pPr>
      <w:r>
        <w:rPr>
          <w:rFonts w:ascii="Times New Roman" w:cs="Times New Roman" w:eastAsia="Times New Roman" w:hAnsi="Times New Roman"/>
          <w:sz w:val="14"/>
          <w:szCs w:val="14"/>
          <w:color w:val="auto"/>
        </w:rPr>
        <w:t>Debt securities issued by Digital Realty Trust, L.P. will be fully and unconditionally guaranteed by Digital Realty Trust, Inc. The applicable prospectus supplement relating to a series of debt securities will provide that those debt securities will have the benefit of a guarantee by Digital Realty Trust,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9" w:lineRule="exact"/>
        <w:rPr>
          <w:sz w:val="20"/>
          <w:szCs w:val="20"/>
          <w:color w:val="auto"/>
        </w:rPr>
      </w:pPr>
    </w:p>
    <w:p>
      <w:pPr>
        <w:ind w:left="1020" w:right="399" w:hanging="339"/>
        <w:spacing w:after="0" w:line="262"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on any debt security of that series when due and payable;</w:t>
      </w:r>
    </w:p>
    <w:p>
      <w:pPr>
        <w:spacing w:after="0" w:line="98" w:lineRule="exact"/>
        <w:rPr>
          <w:rFonts w:ascii="Times New Roman" w:cs="Times New Roman" w:eastAsia="Times New Roman" w:hAnsi="Times New Roman"/>
          <w:sz w:val="14"/>
          <w:szCs w:val="14"/>
          <w:color w:val="auto"/>
        </w:rPr>
      </w:pPr>
    </w:p>
    <w:p>
      <w:pPr>
        <w:ind w:left="1020" w:right="399" w:hanging="339"/>
        <w:spacing w:after="0" w:line="255"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w:t>
      </w:r>
    </w:p>
    <w:p>
      <w:pPr>
        <w:spacing w:after="0" w:line="69"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our company; and</w:t>
      </w:r>
    </w:p>
    <w:p>
      <w:pPr>
        <w:spacing w:after="0" w:line="98" w:lineRule="exact"/>
        <w:rPr>
          <w:rFonts w:ascii="Times New Roman" w:cs="Times New Roman" w:eastAsia="Times New Roman" w:hAnsi="Times New Roman"/>
          <w:sz w:val="14"/>
          <w:szCs w:val="14"/>
          <w:color w:val="auto"/>
        </w:rPr>
      </w:pPr>
    </w:p>
    <w:p>
      <w:pPr>
        <w:ind w:left="1020" w:right="459" w:hanging="339"/>
        <w:spacing w:after="0" w:line="278"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accompanying this prospectus.</w:t>
      </w:r>
    </w:p>
    <w:p>
      <w:pPr>
        <w:spacing w:after="0" w:line="126" w:lineRule="exact"/>
        <w:rPr>
          <w:sz w:val="20"/>
          <w:szCs w:val="20"/>
          <w:color w:val="auto"/>
        </w:rPr>
      </w:pPr>
    </w:p>
    <w:p>
      <w:pPr>
        <w:ind w:left="260" w:right="559"/>
        <w:spacing w:after="0" w:line="257"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42"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65" w:name="page66"/>
    <w:bookmarkEnd w:id="65"/>
    <w:p>
      <w:pPr>
        <w:ind w:left="26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6"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2" w:lineRule="exact"/>
        <w:rPr>
          <w:sz w:val="20"/>
          <w:szCs w:val="20"/>
          <w:color w:val="auto"/>
        </w:rPr>
      </w:pPr>
    </w:p>
    <w:p>
      <w:pPr>
        <w:ind w:left="260" w:right="339"/>
        <w:spacing w:after="0" w:line="278"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3" w:lineRule="exact"/>
        <w:rPr>
          <w:sz w:val="20"/>
          <w:szCs w:val="20"/>
          <w:color w:val="auto"/>
        </w:rPr>
      </w:pPr>
    </w:p>
    <w:p>
      <w:pPr>
        <w:ind w:left="1020" w:right="439" w:hanging="339"/>
        <w:spacing w:after="0" w:line="278"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2" w:lineRule="exact"/>
        <w:rPr>
          <w:rFonts w:ascii="Times New Roman" w:cs="Times New Roman" w:eastAsia="Times New Roman" w:hAnsi="Times New Roman"/>
          <w:sz w:val="14"/>
          <w:szCs w:val="14"/>
          <w:color w:val="auto"/>
        </w:rPr>
      </w:pPr>
    </w:p>
    <w:p>
      <w:pPr>
        <w:ind w:left="1020" w:right="299" w:hanging="339"/>
        <w:spacing w:after="0" w:line="25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142" w:lineRule="exact"/>
        <w:rPr>
          <w:sz w:val="20"/>
          <w:szCs w:val="20"/>
          <w:color w:val="auto"/>
        </w:rPr>
      </w:pPr>
    </w:p>
    <w:p>
      <w:pPr>
        <w:ind w:left="260" w:right="619"/>
        <w:spacing w:after="0" w:line="262" w:lineRule="auto"/>
        <w:rPr>
          <w:sz w:val="20"/>
          <w:szCs w:val="20"/>
          <w:color w:val="auto"/>
        </w:rPr>
      </w:pPr>
      <w:r>
        <w:rPr>
          <w:rFonts w:ascii="Times New Roman" w:cs="Times New Roman" w:eastAsia="Times New Roman" w:hAnsi="Times New Roman"/>
          <w:sz w:val="14"/>
          <w:szCs w:val="14"/>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8" w:lineRule="exact"/>
        <w:rPr>
          <w:sz w:val="20"/>
          <w:szCs w:val="20"/>
          <w:color w:val="auto"/>
        </w:rPr>
      </w:pPr>
    </w:p>
    <w:p>
      <w:pPr>
        <w:ind w:left="260" w:right="379"/>
        <w:spacing w:after="0" w:line="257"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0" w:lineRule="exact"/>
        <w:rPr>
          <w:sz w:val="20"/>
          <w:szCs w:val="20"/>
          <w:color w:val="auto"/>
        </w:rPr>
      </w:pPr>
    </w:p>
    <w:p>
      <w:pPr>
        <w:jc w:val="both"/>
        <w:ind w:left="260" w:right="379"/>
        <w:spacing w:after="0" w:line="262" w:lineRule="auto"/>
        <w:rPr>
          <w:sz w:val="20"/>
          <w:szCs w:val="20"/>
          <w:color w:val="auto"/>
        </w:rPr>
      </w:pPr>
      <w:r>
        <w:rPr>
          <w:rFonts w:ascii="Times New Roman" w:cs="Times New Roman" w:eastAsia="Times New Roman" w:hAnsi="Times New Roman"/>
          <w:sz w:val="14"/>
          <w:szCs w:val="14"/>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5" w:lineRule="exact"/>
        <w:rPr>
          <w:sz w:val="20"/>
          <w:szCs w:val="20"/>
          <w:color w:val="auto"/>
        </w:rPr>
      </w:pPr>
    </w:p>
    <w:p>
      <w:pPr>
        <w:ind w:left="1020" w:hanging="339"/>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or waiver,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98" w:lineRule="exact"/>
        <w:rPr>
          <w:rFonts w:ascii="Times New Roman" w:cs="Times New Roman" w:eastAsia="Times New Roman" w:hAnsi="Times New Roman"/>
          <w:sz w:val="14"/>
          <w:szCs w:val="14"/>
          <w:color w:val="auto"/>
        </w:rPr>
      </w:pPr>
    </w:p>
    <w:p>
      <w:pPr>
        <w:ind w:left="1020" w:right="299" w:hanging="339"/>
        <w:spacing w:after="0" w:line="278"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66" w:name="page67"/>
    <w:bookmarkEnd w:id="66"/>
    <w:p>
      <w:pPr>
        <w:ind w:left="1020" w:hanging="33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reduce the principal amount of discount securities payable upon acceleration of maturity,</w:t>
      </w:r>
    </w:p>
    <w:p>
      <w:pPr>
        <w:spacing w:after="0" w:line="98" w:lineRule="exact"/>
        <w:rPr>
          <w:rFonts w:ascii="Times New Roman" w:cs="Times New Roman" w:eastAsia="Times New Roman" w:hAnsi="Times New Roman"/>
          <w:sz w:val="14"/>
          <w:szCs w:val="14"/>
          <w:color w:val="auto"/>
        </w:rPr>
      </w:pPr>
    </w:p>
    <w:p>
      <w:pPr>
        <w:jc w:val="both"/>
        <w:ind w:left="1020" w:right="499" w:hanging="339"/>
        <w:spacing w:after="0" w:line="262" w:lineRule="auto"/>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98" w:lineRule="exact"/>
        <w:rPr>
          <w:rFonts w:ascii="Times New Roman" w:cs="Times New Roman" w:eastAsia="Times New Roman" w:hAnsi="Times New Roman"/>
          <w:sz w:val="14"/>
          <w:szCs w:val="14"/>
          <w:color w:val="auto"/>
        </w:rPr>
      </w:pPr>
    </w:p>
    <w:p>
      <w:pPr>
        <w:ind w:left="1020" w:right="319" w:hanging="339"/>
        <w:spacing w:after="0" w:line="262" w:lineRule="auto"/>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71"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holders of a majority in principal amount of the outstanding debt securities of any series may rescind an acceleration and its consequences, including any related payment default that resulted from the acceleration.</w:t>
      </w:r>
    </w:p>
    <w:p>
      <w:pPr>
        <w:spacing w:after="0" w:line="226" w:lineRule="exact"/>
        <w:rPr>
          <w:sz w:val="20"/>
          <w:szCs w:val="20"/>
          <w:color w:val="auto"/>
        </w:rPr>
      </w:pPr>
    </w:p>
    <w:p>
      <w:pPr>
        <w:ind w:left="260" w:right="4059"/>
        <w:spacing w:after="0" w:line="373" w:lineRule="auto"/>
        <w:rPr>
          <w:sz w:val="20"/>
          <w:szCs w:val="20"/>
          <w:color w:val="auto"/>
        </w:rPr>
      </w:pPr>
      <w:r>
        <w:rPr>
          <w:rFonts w:ascii="Times New Roman" w:cs="Times New Roman" w:eastAsia="Times New Roman" w:hAnsi="Times New Roman"/>
          <w:sz w:val="14"/>
          <w:szCs w:val="14"/>
          <w:b w:val="1"/>
          <w:bCs w:val="1"/>
          <w:color w:val="auto"/>
        </w:rPr>
        <w:t xml:space="preserve">Defeasance of Debt Securities and Certain Covenants in Certain Circumstances </w:t>
      </w:r>
      <w:r>
        <w:rPr>
          <w:rFonts w:ascii="Times New Roman" w:cs="Times New Roman" w:eastAsia="Times New Roman" w:hAnsi="Times New Roman"/>
          <w:sz w:val="14"/>
          <w:szCs w:val="14"/>
          <w:b w:val="1"/>
          <w:bCs w:val="1"/>
          <w:i w:val="1"/>
          <w:iCs w:val="1"/>
          <w:color w:val="auto"/>
        </w:rPr>
        <w:t>Legal Defeasance</w:t>
      </w:r>
    </w:p>
    <w:p>
      <w:pPr>
        <w:ind w:left="260" w:right="319"/>
        <w:spacing w:after="0" w:line="251"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7"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holders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Defeasance of Certain Covenants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indenture provides that, unless otherwise provided by the terms of the applicable series of debt securities, upon compliance with certain conditions:</w:t>
      </w:r>
    </w:p>
    <w:p>
      <w:pPr>
        <w:spacing w:after="0" w:line="110" w:lineRule="exact"/>
        <w:rPr>
          <w:sz w:val="20"/>
          <w:szCs w:val="20"/>
          <w:color w:val="auto"/>
        </w:rPr>
      </w:pPr>
    </w:p>
    <w:p>
      <w:pPr>
        <w:ind w:left="1020" w:right="339" w:hanging="339"/>
        <w:spacing w:after="0" w:line="318" w:lineRule="auto"/>
        <w:tabs>
          <w:tab w:leader="none" w:pos="10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29" w:lineRule="exact"/>
        <w:rPr>
          <w:rFonts w:ascii="Times New Roman" w:cs="Times New Roman" w:eastAsia="Times New Roman" w:hAnsi="Times New Roman"/>
          <w:sz w:val="13"/>
          <w:szCs w:val="13"/>
          <w:color w:val="auto"/>
        </w:rPr>
      </w:pPr>
    </w:p>
    <w:p>
      <w:pPr>
        <w:ind w:left="1020" w:right="439" w:hanging="339"/>
        <w:spacing w:after="0" w:line="278"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or covenant defeasance.</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include:</w:t>
      </w:r>
    </w:p>
    <w:p>
      <w:pPr>
        <w:spacing w:after="0" w:line="98" w:lineRule="exact"/>
        <w:rPr>
          <w:rFonts w:ascii="Times New Roman" w:cs="Times New Roman" w:eastAsia="Times New Roman" w:hAnsi="Times New Roman"/>
          <w:sz w:val="14"/>
          <w:szCs w:val="14"/>
          <w:color w:val="auto"/>
        </w:rPr>
      </w:pPr>
    </w:p>
    <w:p>
      <w:pPr>
        <w:ind w:left="1020" w:right="359" w:hanging="339"/>
        <w:spacing w:after="0" w:line="253"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2" w:lineRule="exact"/>
        <w:rPr>
          <w:rFonts w:ascii="Times New Roman" w:cs="Times New Roman" w:eastAsia="Times New Roman" w:hAnsi="Times New Roman"/>
          <w:sz w:val="14"/>
          <w:szCs w:val="14"/>
          <w:color w:val="auto"/>
        </w:rPr>
      </w:pPr>
    </w:p>
    <w:p>
      <w:pPr>
        <w:ind w:left="1020" w:right="439" w:hanging="339"/>
        <w:spacing w:after="0" w:line="25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 and Events of Default</w:t>
      </w:r>
    </w:p>
    <w:p>
      <w:pPr>
        <w:spacing w:after="0" w:line="90" w:lineRule="exact"/>
        <w:rPr>
          <w:sz w:val="20"/>
          <w:szCs w:val="20"/>
          <w:color w:val="auto"/>
        </w:rPr>
      </w:pPr>
    </w:p>
    <w:p>
      <w:pPr>
        <w:ind w:left="260" w:right="499"/>
        <w:spacing w:after="0" w:line="255" w:lineRule="auto"/>
        <w:rPr>
          <w:sz w:val="20"/>
          <w:szCs w:val="20"/>
          <w:color w:val="auto"/>
        </w:rPr>
      </w:pPr>
      <w:r>
        <w:rPr>
          <w:rFonts w:ascii="Times New Roman" w:cs="Times New Roman" w:eastAsia="Times New Roman" w:hAnsi="Times New Roman"/>
          <w:sz w:val="14"/>
          <w:szCs w:val="14"/>
          <w:color w:val="auto"/>
        </w:rPr>
        <w:t>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“Foreign Government Obligations” </w:t>
      </w:r>
      <w:r>
        <w:rPr>
          <w:rFonts w:ascii="Times New Roman" w:cs="Times New Roman" w:eastAsia="Times New Roman" w:hAnsi="Times New Roman"/>
          <w:sz w:val="14"/>
          <w:szCs w:val="14"/>
          <w:color w:val="auto"/>
        </w:rPr>
        <w:t>means, with respect to debt securities of any series that are denominated in a currency other than U.S. dollars:</w:t>
      </w:r>
    </w:p>
    <w:p>
      <w:pPr>
        <w:spacing w:after="0" w:line="101" w:lineRule="exact"/>
        <w:rPr>
          <w:sz w:val="20"/>
          <w:szCs w:val="20"/>
          <w:color w:val="auto"/>
        </w:rPr>
      </w:pPr>
    </w:p>
    <w:p>
      <w:pPr>
        <w:ind w:left="1020" w:right="319" w:hanging="339"/>
        <w:spacing w:after="0" w:line="278" w:lineRule="auto"/>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52" w:lineRule="exact"/>
        <w:rPr>
          <w:rFonts w:ascii="Times New Roman" w:cs="Times New Roman" w:eastAsia="Times New Roman" w:hAnsi="Times New Roman"/>
          <w:sz w:val="14"/>
          <w:szCs w:val="14"/>
          <w:color w:val="auto"/>
        </w:rPr>
      </w:pPr>
    </w:p>
    <w:p>
      <w:pPr>
        <w:jc w:val="both"/>
        <w:ind w:left="1020" w:right="519" w:hanging="339"/>
        <w:spacing w:after="0" w:line="262" w:lineRule="auto"/>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0" w:lineRule="exact"/>
        <w:rPr>
          <w:sz w:val="20"/>
          <w:szCs w:val="20"/>
          <w:color w:val="auto"/>
        </w:rPr>
      </w:pPr>
    </w:p>
    <w:p>
      <w:pPr>
        <w:ind w:left="260" w:right="719"/>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without regard to conflict of law principles that would result in the application of any law other than the law of the State of New York.</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7"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RESTRICTIONS ON OWNERSHIP AND TRANSFER</w:t>
      </w:r>
    </w:p>
    <w:p>
      <w:pPr>
        <w:spacing w:after="0" w:line="171"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summary with respect to restrictions on ownership and transfer of Digital Realty Trust, Inc.’s stock sets forth certain general terms and provisions of the company’s charter documents to which any prospectus supplement may relate. This summary does not purport to be complete and is subject to and qualified in its entirety by reference to the company’s charter documents, as amended and supplemented from time to time, including any articles supplementary relating to any issuance of preferred stock pursuant to this prospectus. Copies of the company’s existing charter documents are filed with the SEC and are incorporated by reference as exhibits to the registration statement of which this prospectus is a part. Any amendment or supplement to the company’s charter documents relating to an issuance of securities pursuant to this prospectus shall be filed with the SEC and shall be incorporated by reference as an exhibit to the applicable prospectus supplement. See “Where You Can Find More Information.”</w:t>
      </w:r>
    </w:p>
    <w:p>
      <w:pPr>
        <w:spacing w:after="0" w:line="144"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In order for the company to qualify as a REIT under the Internal Revenue Code of 1986, as amended, or the Code, the company’s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w:t>
      </w:r>
    </w:p>
    <w:p>
      <w:pPr>
        <w:spacing w:after="0" w:line="142" w:lineRule="exact"/>
        <w:rPr>
          <w:sz w:val="20"/>
          <w:szCs w:val="20"/>
          <w:color w:val="auto"/>
        </w:rPr>
      </w:pPr>
    </w:p>
    <w:p>
      <w:pPr>
        <w:ind w:left="260" w:right="319"/>
        <w:spacing w:after="0" w:line="271" w:lineRule="auto"/>
        <w:rPr>
          <w:sz w:val="20"/>
          <w:szCs w:val="20"/>
          <w:color w:val="auto"/>
        </w:rPr>
      </w:pPr>
      <w:r>
        <w:rPr>
          <w:rFonts w:ascii="Times New Roman" w:cs="Times New Roman" w:eastAsia="Times New Roman" w:hAnsi="Times New Roman"/>
          <w:sz w:val="13"/>
          <w:szCs w:val="13"/>
          <w:color w:val="auto"/>
        </w:rPr>
        <w:t>The company’s charter contains restrictions on the ownership and transfer of the common stock, preferred stock and capital stock that are intended to assist the company in complying with these requirements and continuing to qualify as a REIT. The relevant sections of the company’s charter provide that, subject to the exceptions described below, no person or entity may beneficially own, or be deemed to own by virtue of the applicable constructive ownership provisions of the Code, more than 9.8% (by value or by number of shares, whichever is more restrictive) of the outstanding shares of the common stock or of any series of preferred stock, or more than 9.8% of the value of the company’s outstanding capital stock. The company refers to these restrictions as the “common stock ownership limit,” the “preferred stock ownership limit” and the “aggregate stock ownership limit,” respectively. A person or entity that becomes subject to one of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the common stock, any series of the company’s preferred stock, or the company’s capital stock, as applicable, or is referred to as a “purported record transferee” if, had the violative transfer been effective, the person or entity would have been solely a record owner of the common stock, any series of the company’s preferred stock, or the company’s capital stock, as applicable.</w:t>
      </w:r>
    </w:p>
    <w:p>
      <w:pPr>
        <w:spacing w:after="0" w:line="138"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9.8% of the common stock or any series of the company’s preferred stock or less than 9.8% of the value of the company’s outstanding capital stock (or the acquisition of an interest in an entity that owns, actually or constructively, the company’s capital stock) by an individual or entity could, nevertheless, cause that individual or entity, or another individual or entity, to own constructively more than 9.8% of the company’s outstanding common stock or a series of the company’s preferred stock or capital stock, as applicable, and thereby subject such stock to the applicable ownership limit.</w:t>
      </w:r>
    </w:p>
    <w:p>
      <w:pPr>
        <w:spacing w:after="0" w:line="145" w:lineRule="exact"/>
        <w:rPr>
          <w:sz w:val="20"/>
          <w:szCs w:val="20"/>
          <w:color w:val="auto"/>
        </w:rPr>
      </w:pPr>
    </w:p>
    <w:p>
      <w:pPr>
        <w:ind w:left="260" w:right="33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may, in its sole discretion waive, prospectively or retroactively, the common stock ownership limit or aggregate stock ownership limit with respect to the beneficial ownership of a particular stockholder if it determines that such waiver will not cause any individual’s beneficial ownership of shares of the company’s capital stock to violate the aggregate stock ownership limit and that any exemption from the applicable ownership limit will not jeopardize the company’s status as a REIT.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7" w:right="1440" w:bottom="1440" w:gutter="0" w:footer="0" w:header="0"/>
        </w:sectPr>
      </w:pPr>
    </w:p>
    <w:bookmarkStart w:id="69" w:name="page70"/>
    <w:bookmarkEnd w:id="69"/>
    <w:p>
      <w:pPr>
        <w:ind w:left="26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company’s board of directors may, in its sole discretion waive, prospectively or retroactively, the common stock ownership limit or aggregate stock ownership limit with respect to the constructive ownership of a particular stockholder if it determines that such stockholder does not and will not own, actually or constructively, an interest in a tenant of the company (or a tenant of any entity owned in whole or in part by the company) that would cause the company to own, actually or constructively, more than a 9.8% interest (as set forth in Section 856(d)(2)(B) of the Code) in such tenant or that any such ownership would not cause the company to fail to qualify as a REIT under the Code.</w:t>
      </w:r>
    </w:p>
    <w:p>
      <w:pPr>
        <w:spacing w:after="0" w:line="142" w:lineRule="exact"/>
        <w:rPr>
          <w:sz w:val="20"/>
          <w:szCs w:val="20"/>
          <w:color w:val="auto"/>
        </w:rPr>
      </w:pPr>
    </w:p>
    <w:p>
      <w:pPr>
        <w:jc w:val="both"/>
        <w:ind w:left="260" w:right="399"/>
        <w:spacing w:after="0" w:line="262" w:lineRule="auto"/>
        <w:rPr>
          <w:sz w:val="20"/>
          <w:szCs w:val="20"/>
          <w:color w:val="auto"/>
        </w:rPr>
      </w:pPr>
      <w:r>
        <w:rPr>
          <w:rFonts w:ascii="Times New Roman" w:cs="Times New Roman" w:eastAsia="Times New Roman" w:hAnsi="Times New Roman"/>
          <w:sz w:val="14"/>
          <w:szCs w:val="14"/>
          <w:color w:val="auto"/>
        </w:rPr>
        <w:t>The company’s board of directors may also, in its sole discretion waive, prospectively or retroactively, the preferred stock ownership limit with respect to a particular stockholder if it determines that such waiver will not: (1) cause any individual’s beneficial ownership of shares of the company’s capital stock to violate the aggregate stock ownership limit, or (2) jeopardize the company’s status as a REIT.</w:t>
      </w:r>
    </w:p>
    <w:p>
      <w:pPr>
        <w:spacing w:after="0" w:line="138" w:lineRule="exact"/>
        <w:rPr>
          <w:sz w:val="20"/>
          <w:szCs w:val="20"/>
          <w:color w:val="auto"/>
        </w:rPr>
      </w:pPr>
    </w:p>
    <w:p>
      <w:pPr>
        <w:ind w:left="260" w:right="319"/>
        <w:spacing w:after="0" w:line="278" w:lineRule="auto"/>
        <w:rPr>
          <w:sz w:val="20"/>
          <w:szCs w:val="20"/>
          <w:color w:val="auto"/>
        </w:rPr>
      </w:pPr>
      <w:r>
        <w:rPr>
          <w:rFonts w:ascii="Times New Roman" w:cs="Times New Roman" w:eastAsia="Times New Roman" w:hAnsi="Times New Roman"/>
          <w:sz w:val="14"/>
          <w:szCs w:val="14"/>
          <w:color w:val="auto"/>
        </w:rPr>
        <w:t>As a condition of the company’s waiver, the company’s board of directors may require an opinion of counsel or IRS ruling satisfactory to the company’s board of directors, and/or representations or undertakings from the applicant with respect to preserving the company’s REIT status.</w:t>
      </w:r>
    </w:p>
    <w:p>
      <w:pPr>
        <w:spacing w:after="0" w:line="126"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In connection with a waiver of an ownership limit or at any other time, the company’s board of directors may increase the applicable ownership limit for one or more persons and decrease the applicable ownership limit for all other persons and entities; provided, however, that the decreased ownership limit will not be effective for any person or entity whose percentage ownership in the common stock, any series of the company’s preferred stock or capital stock, as applicable, exceeds the decreased ownership limit until such time as such person or entity’s percentage ownership equals or falls below the decreased ownership limit; but any further acquisition of the company’s common, preferred or capital stock, as applicable, in excess of such percentage ownership will be in violation of the applicable ownership limit. Additionally, the new ownership limit, as applicable, may not allow five or fewer stockholders to beneficially own more than 49% in value of the company’s outstanding capital stock.</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charter further prohibits:</w:t>
      </w:r>
    </w:p>
    <w:p>
      <w:pPr>
        <w:spacing w:after="0" w:line="99" w:lineRule="exact"/>
        <w:rPr>
          <w:sz w:val="20"/>
          <w:szCs w:val="20"/>
          <w:color w:val="auto"/>
        </w:rPr>
      </w:pPr>
    </w:p>
    <w:p>
      <w:pPr>
        <w:ind w:left="1020" w:right="459" w:hanging="339"/>
        <w:spacing w:after="0" w:line="278" w:lineRule="auto"/>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beneficially or constructively owning shares of the company’s stock that would result in our being “closely held” under Section 856(h) of the Code or otherwise cause the company to fail to qualify as a REIT; and</w:t>
      </w:r>
    </w:p>
    <w:p>
      <w:pPr>
        <w:spacing w:after="0" w:line="52" w:lineRule="exact"/>
        <w:rPr>
          <w:rFonts w:ascii="Times New Roman" w:cs="Times New Roman" w:eastAsia="Times New Roman" w:hAnsi="Times New Roman"/>
          <w:sz w:val="14"/>
          <w:szCs w:val="14"/>
          <w:color w:val="auto"/>
        </w:rPr>
      </w:pPr>
    </w:p>
    <w:p>
      <w:pPr>
        <w:ind w:left="1020" w:right="559" w:hanging="339"/>
        <w:spacing w:after="0" w:line="278" w:lineRule="auto"/>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transferring shares of the company’s capital stock if such transfer would result in shares of the company’s stock being beneficially owned by fewer than 100 persons (determined without reference to any rules of attribution).</w:t>
      </w:r>
    </w:p>
    <w:p>
      <w:pPr>
        <w:spacing w:after="0" w:line="126"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Any person who acquires or attempts or intends to acquire beneficial or constructive ownership of shares of the company’s stock that will or may violate any of the foregoing restrictions on transferability and ownership will be required to give notice immediately to the company and provide the company with such other information as it may request in order to determine the effect of such transfer on the company’s status as a REIT. The foregoing provisions on transferability and ownership will not apply if the company’s board of directors determines that it is no longer in the company’s best interests to attempt to qualify, or to continue to qualify, as a REIT.</w:t>
      </w:r>
    </w:p>
    <w:p>
      <w:pPr>
        <w:spacing w:after="0" w:line="142" w:lineRule="exact"/>
        <w:rPr>
          <w:sz w:val="20"/>
          <w:szCs w:val="20"/>
          <w:color w:val="auto"/>
        </w:rPr>
      </w:pPr>
    </w:p>
    <w:p>
      <w:pPr>
        <w:ind w:left="260" w:right="279"/>
        <w:spacing w:after="0" w:line="253" w:lineRule="auto"/>
        <w:rPr>
          <w:sz w:val="20"/>
          <w:szCs w:val="20"/>
          <w:color w:val="auto"/>
        </w:rPr>
      </w:pPr>
      <w:r>
        <w:rPr>
          <w:rFonts w:ascii="Times New Roman" w:cs="Times New Roman" w:eastAsia="Times New Roman" w:hAnsi="Times New Roman"/>
          <w:sz w:val="14"/>
          <w:szCs w:val="14"/>
          <w:color w:val="auto"/>
        </w:rPr>
        <w:t>Pursuant to the company’s charter, if any purported transfer of the company’s stock or any other event would otherwise result in any person violating the ownership limits or such other limit as established by the company’s board of directors or would result in the company being “closely held” under Section 856(h) of the Code or otherwise failing to qualify as a REIT, then that number of shares in excess of the applicable ownership limit or causing us to be “closely held” or otherwise to fail to qualify as a REIT (rounded up to the nearest whole share) will be automatically transferred to, and held by, a trust for the exclusive benefit of one or more charitable organizations selected by the company and the intended transferee will acquire no rights in such shares. The automatic transfer will be effective as of the close of business on the business day prior to the date of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70" w:name="page71"/>
    <w:bookmarkEnd w:id="70"/>
    <w:p>
      <w:pPr>
        <w:ind w:left="260" w:right="3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violative transfer or other event that results in the transfer to the trust. Any dividend or other distribution paid to the purported record transferee that are owed by the purported record transferee to the trust as described above, must be repaid to the trustee upon demand for distribution to the beneficiary of the trust, and the trustee may reduce the amount payable to the purported record transferee upon the sale of the shares transferred to the trustee (as described below) by the amount of any such dividends or other distributions which have not been repaid to the trustee. If the transfer to the trust as described above is not automatically effective, for any reason, to prevent a violation of the applicable ownership limit or the company’s being “closely held” or otherwise failing to qualify as a REIT, then the company’s charter provides that the transfer of the shares in excess of the ownership limit will be void. If any transfer would result in shares of the company’s stock being beneficially owned by fewer than 100 persons, then any such purported transfer will be void and of no force or effect and the intended transferee will acquire no rights in the shares.</w:t>
      </w:r>
    </w:p>
    <w:p>
      <w:pPr>
        <w:spacing w:after="0" w:line="144" w:lineRule="exact"/>
        <w:rPr>
          <w:sz w:val="20"/>
          <w:szCs w:val="20"/>
          <w:color w:val="auto"/>
        </w:rPr>
      </w:pPr>
    </w:p>
    <w:p>
      <w:pPr>
        <w:ind w:left="260" w:right="299"/>
        <w:spacing w:after="0" w:line="272" w:lineRule="auto"/>
        <w:rPr>
          <w:sz w:val="20"/>
          <w:szCs w:val="20"/>
          <w:color w:val="auto"/>
        </w:rPr>
      </w:pPr>
      <w:r>
        <w:rPr>
          <w:rFonts w:ascii="Times New Roman" w:cs="Times New Roman" w:eastAsia="Times New Roman" w:hAnsi="Times New Roman"/>
          <w:sz w:val="13"/>
          <w:szCs w:val="13"/>
          <w:color w:val="auto"/>
        </w:rPr>
        <w:t>Shares of the company’s stock transferred to the trustee are deemed offered for sale to the company, or the company’s designee, at a price per share equal to the lesser of (1) the price paid by the purported record transferee for the shares (or, if the event which resulted in the transfer to the trust did not involve a purchase of such shares of the company’s stock at market price, the last sales price reported on the NYSE on the trading day immediately preceding the day of the event which resulted in the transfer of such shares of the company’s stock to the trust) and (2)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The company will pay the amount of such reduction to the trustee for the benefit of the charitable beneficiary. The company has the right to accept such offer until the trustee has sold the shares of the company’s stock held in the trust pursuant to the clauses discussed below. Upon a sale to the company, the interest of the charitable beneficiary in the shares sold terminates and the trustee must distribute the net proceeds of the sale to the purported record transferee and any dividends or other distributions held by the trustee with respect to such stock will be paid to the charitable beneficiary.</w:t>
      </w:r>
    </w:p>
    <w:p>
      <w:pPr>
        <w:spacing w:after="0" w:line="134" w:lineRule="exact"/>
        <w:rPr>
          <w:sz w:val="20"/>
          <w:szCs w:val="20"/>
          <w:color w:val="auto"/>
        </w:rPr>
      </w:pPr>
    </w:p>
    <w:p>
      <w:pPr>
        <w:jc w:val="both"/>
        <w:ind w:left="260" w:right="339"/>
        <w:spacing w:after="0" w:line="274" w:lineRule="auto"/>
        <w:rPr>
          <w:sz w:val="20"/>
          <w:szCs w:val="20"/>
          <w:color w:val="auto"/>
        </w:rPr>
      </w:pPr>
      <w:r>
        <w:rPr>
          <w:rFonts w:ascii="Times New Roman" w:cs="Times New Roman" w:eastAsia="Times New Roman" w:hAnsi="Times New Roman"/>
          <w:sz w:val="13"/>
          <w:szCs w:val="13"/>
          <w:color w:val="auto"/>
        </w:rPr>
        <w:t>If the company does not buy the shares, the trustee must, within 20 days of receiving notice from the company of the transfer of shares to the trust, sell the shares to a person or entity designated by the trustee who could own the shares without violating the common stock ownership limit or the preferred stock ownership limit, as applicable, and the aggregate stock ownership limit or such other limit as established by the company’s board of directors.</w:t>
      </w:r>
    </w:p>
    <w:p>
      <w:pPr>
        <w:spacing w:after="0" w:line="2" w:lineRule="exact"/>
        <w:rPr>
          <w:sz w:val="20"/>
          <w:szCs w:val="20"/>
          <w:color w:val="auto"/>
        </w:rPr>
      </w:pPr>
    </w:p>
    <w:p>
      <w:pPr>
        <w:ind w:left="260" w:right="279"/>
        <w:spacing w:after="0" w:line="248" w:lineRule="auto"/>
        <w:rPr>
          <w:sz w:val="20"/>
          <w:szCs w:val="20"/>
          <w:color w:val="auto"/>
        </w:rPr>
      </w:pPr>
      <w:r>
        <w:rPr>
          <w:rFonts w:ascii="Times New Roman" w:cs="Times New Roman" w:eastAsia="Times New Roman" w:hAnsi="Times New Roman"/>
          <w:sz w:val="14"/>
          <w:szCs w:val="14"/>
          <w:color w:val="auto"/>
        </w:rPr>
        <w:t>After that, the trustee must distribute to the purported record transferee an amount equal to the lesser of (1) the price paid by the purported record transferee or owner for the shares (or, if the event which resulted in the transfer to the trust did not involve a purchase of such shares at market price, the last sales price reported on the NYSE on the trading day immediately preceding the day of the event which resulted in the transfer of such shares of the company’s stock to the trust) and (2) the sales proceeds (net of commissions and other expenses of sale) received by the trustee for the shares. The trustee may reduce the amount payable to the purported record transferee by the amount of dividends and distributions which have been paid to the purported record transferee and are owed by the purported record transferee to the trustee. Any net sales proceeds in excess of the amount payable to the purported record transferee will be immediately paid to the charitable beneficiary, together with any dividends or other distributions thereon. In addition, if prior to discovery by the company that shares of the company’s stock have been transferred to a trust, such shares of stock are sold by a purported record transferee, then such shares shall be deemed to have been sold on behalf of the trust and to the extent that the purported record transferee received an amount for or in respect of such shares that exceeds the amount that such purported record transferee was entitled to receive, such excess amount shall be paid to the trustee upon demand. The purported beneficial transferee or purported record transferee has no rights in the shares held by the trustee.</w:t>
      </w:r>
    </w:p>
    <w:p>
      <w:pPr>
        <w:spacing w:after="0" w:line="149" w:lineRule="exact"/>
        <w:rPr>
          <w:sz w:val="20"/>
          <w:szCs w:val="20"/>
          <w:color w:val="auto"/>
        </w:rPr>
      </w:pPr>
    </w:p>
    <w:p>
      <w:pPr>
        <w:ind w:left="260" w:right="339"/>
        <w:spacing w:after="0" w:line="292" w:lineRule="auto"/>
        <w:rPr>
          <w:sz w:val="20"/>
          <w:szCs w:val="20"/>
          <w:color w:val="auto"/>
        </w:rPr>
      </w:pPr>
      <w:r>
        <w:rPr>
          <w:rFonts w:ascii="Times New Roman" w:cs="Times New Roman" w:eastAsia="Times New Roman" w:hAnsi="Times New Roman"/>
          <w:sz w:val="13"/>
          <w:szCs w:val="13"/>
          <w:color w:val="auto"/>
        </w:rPr>
        <w:t>The trustee will be designated by the company and will be unaffiliated with the company and with any purported record transferee or purported beneficial transferee. Prior to the sale of any shares in excess of the common stock ownership limit, the preferred stock ownership limit or the aggregate stock ownership limit by the trust, the trustee will receive, in trust for the beneficiary, all dividends and other distributions paid by the company with</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71" w:name="page72"/>
    <w:bookmarkEnd w:id="71"/>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respect to the shares in excess of the applicable ownership limit, and may also exercise all voting rights with respect to such shares.</w:t>
      </w:r>
    </w:p>
    <w:p>
      <w:pPr>
        <w:spacing w:after="0" w:line="17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Subject to Maryland law, effective as of the date that the shares have been transferred to the trust, the trustee will have the authority, at the trustee’s sole discretion:</w:t>
      </w:r>
    </w:p>
    <w:p>
      <w:pPr>
        <w:spacing w:after="0" w:line="53" w:lineRule="exact"/>
        <w:rPr>
          <w:sz w:val="20"/>
          <w:szCs w:val="20"/>
          <w:color w:val="auto"/>
        </w:rPr>
      </w:pPr>
    </w:p>
    <w:p>
      <w:pPr>
        <w:ind w:left="1020" w:right="419" w:hanging="339"/>
        <w:spacing w:after="0" w:line="278"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rescind as void any vote cast by a purported record transferee prior to the company’s discovery that the shares have been transferred to the trust; and</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recast the vote in accordance with the desires of the trustee acting for the benefit of the beneficiary of the trust.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However, if the company has already taken irreversible corporate action, then the trustee may not rescind and recast the vote.</w:t>
      </w:r>
    </w:p>
    <w:p>
      <w:pPr>
        <w:spacing w:after="0" w:line="171" w:lineRule="exact"/>
        <w:rPr>
          <w:sz w:val="20"/>
          <w:szCs w:val="20"/>
          <w:color w:val="auto"/>
        </w:rPr>
      </w:pPr>
    </w:p>
    <w:p>
      <w:pPr>
        <w:ind w:left="260" w:right="399"/>
        <w:spacing w:after="0" w:line="255" w:lineRule="auto"/>
        <w:rPr>
          <w:sz w:val="20"/>
          <w:szCs w:val="20"/>
          <w:color w:val="auto"/>
        </w:rPr>
      </w:pPr>
      <w:r>
        <w:rPr>
          <w:rFonts w:ascii="Times New Roman" w:cs="Times New Roman" w:eastAsia="Times New Roman" w:hAnsi="Times New Roman"/>
          <w:sz w:val="14"/>
          <w:szCs w:val="14"/>
          <w:color w:val="auto"/>
        </w:rPr>
        <w:t>In addition, if the company’s board of directors or other permitted designees determine in good faith that a proposed transfer would violate the restrictions on ownership and transfer of the company’s stock set forth in the company’s charter, the company’s board of directors or other permitted designees will take such action as it deems or they deem advisable to refuse to give effect to or to prevent such transfer, including, but not limited to, causing the company to redeem shares of common stock or preferred stock, refusing to give effect to the transfer on the company’s books or instituting proceedings to enjoin the transfer.</w:t>
      </w:r>
    </w:p>
    <w:p>
      <w:pPr>
        <w:spacing w:after="0" w:line="142"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Any beneficial owner or constructive owner of shares of the company’s stock and any person or entity (including the stockholder of record) who is holding shares of the company’s stock for a beneficial owner must, on request, provide the company with a completed questionnaire containing the information regarding the ownership of such shares, as set forth in the applicable Treasury Regulations. In addition, any person or entity that is a beneficial owner or constructive owner of shares of the company’s stock and any person or entity (including the stockholder of record) who is holding shares of the company’s stock for a beneficial owner or constructive owner shall, on request, be required to disclose to the company in writing such information as the company may request in order to determine the effect, if any, of such stockholder’s actual and constructive ownership of shares of the company’s stock on the company’s status as a REIT and to ensure compliance with the common stock ownership limit, the preferred stock ownership limit and the aggregate stock ownership limit, or as otherwise permitted by the company’s board of directors.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certificates representing shares of the company’s common stock and preferred stock bear a legend referring to the restrictions described above.</w:t>
      </w:r>
    </w:p>
    <w:p>
      <w:pPr>
        <w:spacing w:after="0" w:line="171" w:lineRule="exact"/>
        <w:rPr>
          <w:sz w:val="20"/>
          <w:szCs w:val="20"/>
          <w:color w:val="auto"/>
        </w:rPr>
      </w:pPr>
    </w:p>
    <w:p>
      <w:pPr>
        <w:ind w:left="260" w:right="639"/>
        <w:spacing w:after="0" w:line="278" w:lineRule="auto"/>
        <w:rPr>
          <w:sz w:val="20"/>
          <w:szCs w:val="20"/>
          <w:color w:val="auto"/>
        </w:rPr>
      </w:pPr>
      <w:r>
        <w:rPr>
          <w:rFonts w:ascii="Times New Roman" w:cs="Times New Roman" w:eastAsia="Times New Roman" w:hAnsi="Times New Roman"/>
          <w:sz w:val="14"/>
          <w:szCs w:val="14"/>
          <w:color w:val="auto"/>
        </w:rPr>
        <w:t>These restrictions on ownership and transfer could delay, defer or prevent a transaction or a change of control of the company that might involve a premium price for the company’s stock or otherwise be in the best interest of the company’s stockholders.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9"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THE PARTNERSHIP AGREEMENT OF DIGITAL REALTY TRUST, L.P.</w:t>
      </w:r>
    </w:p>
    <w:p>
      <w:pPr>
        <w:spacing w:after="0" w:line="171" w:lineRule="exact"/>
        <w:rPr>
          <w:sz w:val="20"/>
          <w:szCs w:val="20"/>
          <w:color w:val="auto"/>
        </w:rPr>
      </w:pPr>
    </w:p>
    <w:p>
      <w:pPr>
        <w:ind w:left="260" w:right="39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is only a summary of certain terms and provisions of the Nineteenth Amended and Restated Agreement of Limited Partnership of Digital Realty Trust, L.P., as amended, which we refer to as the partnership agreement, and is subject to, and qualified in its entirety by, the partnership agreement, a copy of which is filed as an exhibit to the registration statement of which this prospectus is a part.</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0" w:lineRule="exact"/>
        <w:rPr>
          <w:sz w:val="20"/>
          <w:szCs w:val="20"/>
          <w:color w:val="auto"/>
        </w:rPr>
      </w:pPr>
    </w:p>
    <w:p>
      <w:pPr>
        <w:ind w:left="260" w:right="419"/>
        <w:spacing w:after="0" w:line="253" w:lineRule="auto"/>
        <w:rPr>
          <w:sz w:val="20"/>
          <w:szCs w:val="20"/>
          <w:color w:val="auto"/>
        </w:rPr>
      </w:pPr>
      <w:r>
        <w:rPr>
          <w:rFonts w:ascii="Times New Roman" w:cs="Times New Roman" w:eastAsia="Times New Roman" w:hAnsi="Times New Roman"/>
          <w:sz w:val="14"/>
          <w:szCs w:val="14"/>
          <w:color w:val="auto"/>
        </w:rPr>
        <w:t>Under the partnership agreement, Digital Realty Trust, Inc., as the operating partnership’s sole general partner, exercises exclusive and complete responsibility and discretion in the operating partnership’s day-to-day management and control, can cause the operating partnership to enter into major transactions including acquisitions, dispositions and refinancings, subject to certain limited exceptions, and may not be removed as general partner by the limited partners. The limited partners do not have voting rights relating to the operating partnership’s operation and management, except in connection with matters, as described more fully below, involving amendments to the partnership agreement and transfers of the general partner’s interest.</w:t>
      </w:r>
    </w:p>
    <w:p>
      <w:pPr>
        <w:spacing w:after="0" w:line="145"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limited partners expressly acknowledged that Digital Realty Trust, Inc., as the operating partnership’s general partner, is acting for the benefit of the operating partnership, its limited partners and Digital Realty Trust, Inc.’s stockholders collectively. Neither Digital Realty Trust, Inc. nor its board of directors is under any obligation to give priority to the separate interests of the limited partners or Digital Realty Trust, Inc.’s stockholders in deciding whether to cause the operating partnership to take or decline to take any actions. If there is a conflict between the interests of Digital Realty Trust, Inc.’s stockholders on one hand and the operating partnership’s limited partners on the other, Digital Realty Trust, Inc. will endeavor in good faith to resolve the conflict in a manner not adverse to either Digital Realty Trust, Inc.’s stockholders or the operating partnership’s limited partners; provided, however, that for so long as Digital Realty Trust, Inc. owns a controlling interest in the operating partnership, any conflict that cannot be resolved in a manner not adverse to either Digital Realty Trust, Inc.’s stockholders or the operating partnership’s limited partners will be resolved in favor of Digital Realty Trust, Inc.’s stockholders. Digital Realty Trust, Inc. is not liable under the partnership agreement to the operating partnership or to any partner for monetary damages for losses sustained, liabilities incurred, or benefits not derived by limited partners in connection with such decisions, provided, that it has acted in good faith.</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Transferability of Interests</w:t>
      </w:r>
    </w:p>
    <w:p>
      <w:pPr>
        <w:spacing w:after="0" w:line="90" w:lineRule="exact"/>
        <w:rPr>
          <w:sz w:val="20"/>
          <w:szCs w:val="20"/>
          <w:color w:val="auto"/>
        </w:rPr>
      </w:pPr>
    </w:p>
    <w:p>
      <w:pPr>
        <w:ind w:left="260" w:right="319"/>
        <w:spacing w:after="0" w:line="253" w:lineRule="auto"/>
        <w:rPr>
          <w:sz w:val="20"/>
          <w:szCs w:val="20"/>
          <w:color w:val="auto"/>
        </w:rPr>
      </w:pPr>
      <w:r>
        <w:rPr>
          <w:rFonts w:ascii="Times New Roman" w:cs="Times New Roman" w:eastAsia="Times New Roman" w:hAnsi="Times New Roman"/>
          <w:sz w:val="14"/>
          <w:szCs w:val="14"/>
          <w:color w:val="auto"/>
        </w:rPr>
        <w:t>Except in connection with a transaction described in “—Termination Transactions” below, Digital Realty Trust, Inc., as general partner, may not voluntarily withdraw from, or transfer or assign all or any portion of its interest in, the operating partnership without the consent of the holders of a majority of the limited partnership interests. Any transfer of units by the limited partners, except to immediate family members, to a trust for the benefit of a charitable beneficiary, to a lending institution as collateral for a bona fide loan or to an affiliate or member of such limited partner, will be subject to a right of first refusal by Digital Realty Trust, Inc. All transfers must be made only to “accredited investors” as defined under Rule 501 of the Securities Act.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Amendments to the Partnership Agreement</w:t>
      </w:r>
    </w:p>
    <w:p>
      <w:pPr>
        <w:spacing w:after="0" w:line="90"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Amendments to the partnership agreement may be proposed by Digital Realty Trust, Inc., as general partner, or by limited partners owning at least 25% of the units held by limited partners.</w:t>
      </w:r>
    </w:p>
    <w:p>
      <w:pPr>
        <w:spacing w:after="0" w:line="126" w:lineRule="exact"/>
        <w:rPr>
          <w:sz w:val="20"/>
          <w:szCs w:val="20"/>
          <w:color w:val="auto"/>
        </w:rPr>
      </w:pPr>
    </w:p>
    <w:p>
      <w:pPr>
        <w:jc w:val="both"/>
        <w:ind w:left="260" w:right="319"/>
        <w:spacing w:after="0" w:line="262" w:lineRule="auto"/>
        <w:rPr>
          <w:sz w:val="20"/>
          <w:szCs w:val="20"/>
          <w:color w:val="auto"/>
        </w:rPr>
      </w:pPr>
      <w:r>
        <w:rPr>
          <w:rFonts w:ascii="Times New Roman" w:cs="Times New Roman" w:eastAsia="Times New Roman" w:hAnsi="Times New Roman"/>
          <w:sz w:val="14"/>
          <w:szCs w:val="14"/>
          <w:color w:val="auto"/>
        </w:rPr>
        <w:t>Generally, the partnership agreement may not be amended, modified or terminated without the approval of limited partners (other than limited partners 50% or more of whose equity is owned, directly or indirectly, by Digital Realty Trust, Inc. as general partner) holding a majority of all outstanding units held by limited partners.</w:t>
      </w:r>
    </w:p>
    <w:p>
      <w:pPr>
        <w:spacing w:after="0" w:line="138"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As general partner, Digital Realty Trust, Inc. has the power to unilaterally make certain amendments to the partnership agreement without obtaining the consent of the limited partners as may be required to:</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7" w:right="1440" w:bottom="1440" w:gutter="0" w:footer="0" w:header="0"/>
        </w:sectPr>
      </w:pPr>
    </w:p>
    <w:bookmarkStart w:id="73" w:name="page74"/>
    <w:bookmarkEnd w:id="73"/>
    <w:p>
      <w:pPr>
        <w:ind w:left="1020" w:right="599" w:hanging="339"/>
        <w:spacing w:after="0" w:line="278"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add to Digital Realty Trust, Inc.’s obligations as general partner or surrender any right or power granted to it as general partner for the benefit of the limited partners;</w:t>
      </w:r>
    </w:p>
    <w:p>
      <w:pPr>
        <w:spacing w:after="0" w:line="52" w:lineRule="exact"/>
        <w:rPr>
          <w:rFonts w:ascii="Times New Roman" w:cs="Times New Roman" w:eastAsia="Times New Roman" w:hAnsi="Times New Roman"/>
          <w:sz w:val="14"/>
          <w:szCs w:val="14"/>
          <w:color w:val="auto"/>
        </w:rPr>
      </w:pPr>
    </w:p>
    <w:p>
      <w:pPr>
        <w:ind w:left="1020" w:right="799" w:hanging="339"/>
        <w:spacing w:after="0" w:line="278"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the issuance of additional units or the admission, substitution, termination or withdrawal of partners in accordance with the partnership agreement;</w:t>
      </w:r>
    </w:p>
    <w:p>
      <w:pPr>
        <w:spacing w:after="0" w:line="52" w:lineRule="exact"/>
        <w:rPr>
          <w:rFonts w:ascii="Times New Roman" w:cs="Times New Roman" w:eastAsia="Times New Roman" w:hAnsi="Times New Roman"/>
          <w:sz w:val="14"/>
          <w:szCs w:val="14"/>
          <w:color w:val="auto"/>
        </w:rPr>
      </w:pPr>
    </w:p>
    <w:p>
      <w:pPr>
        <w:ind w:left="1020" w:right="379" w:hanging="339"/>
        <w:spacing w:after="0" w:line="278"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or amend the designations, rights, powers, duties and preferences of the holders of any additional units issued in accordance with the partnership agreement;</w:t>
      </w:r>
    </w:p>
    <w:p>
      <w:pPr>
        <w:spacing w:after="0" w:line="52" w:lineRule="exact"/>
        <w:rPr>
          <w:rFonts w:ascii="Times New Roman" w:cs="Times New Roman" w:eastAsia="Times New Roman" w:hAnsi="Times New Roman"/>
          <w:sz w:val="14"/>
          <w:szCs w:val="14"/>
          <w:color w:val="auto"/>
        </w:rPr>
      </w:pPr>
    </w:p>
    <w:p>
      <w:pPr>
        <w:ind w:left="1020" w:right="399" w:hanging="339"/>
        <w:spacing w:after="0" w:line="257"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a change of an inconsequential nature that does not adversely affect the limited partners in any material respect, or cure any ambiguity, correct or supplement any provisions of the partnership agreement not inconsistent with law or with other provisions of the partnership agreement, or make other changes concerning matters under the partnership agreement that will not otherwise be inconsistent with the partnership agreement or law;</w:t>
      </w:r>
    </w:p>
    <w:p>
      <w:pPr>
        <w:spacing w:after="0" w:line="6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any requirements, conditions or guidelines of federal or state law;</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changes that are reasonably necessary for Digital Realty Trust, Inc., as general partner, to maintain its status as a REIT;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manner in which capital accounts are computed.</w:t>
      </w:r>
    </w:p>
    <w:p>
      <w:pPr>
        <w:spacing w:after="0" w:line="171" w:lineRule="exact"/>
        <w:rPr>
          <w:sz w:val="20"/>
          <w:szCs w:val="20"/>
          <w:color w:val="auto"/>
        </w:rPr>
      </w:pPr>
    </w:p>
    <w:p>
      <w:pPr>
        <w:ind w:left="260" w:right="279"/>
        <w:spacing w:after="0" w:line="257" w:lineRule="auto"/>
        <w:rPr>
          <w:sz w:val="20"/>
          <w:szCs w:val="20"/>
          <w:color w:val="auto"/>
        </w:rPr>
      </w:pPr>
      <w:r>
        <w:rPr>
          <w:rFonts w:ascii="Times New Roman" w:cs="Times New Roman" w:eastAsia="Times New Roman" w:hAnsi="Times New Roman"/>
          <w:sz w:val="14"/>
          <w:szCs w:val="14"/>
          <w:color w:val="auto"/>
        </w:rPr>
        <w:t>Amendments that would, among other things, convert a limited partner’s interest into a general partner’s interest, modify the limited liability of a limited partner, alter a partner’s right to receive any distributions or allocations of profits or losses, adversely alter or modify the redemption rights or alter the protections of the limited partners in connection with termination transactions described below must be approved by each limited partner that would be adversely affected by such amendment.</w:t>
      </w:r>
    </w:p>
    <w:p>
      <w:pPr>
        <w:spacing w:after="0" w:line="142" w:lineRule="exact"/>
        <w:rPr>
          <w:sz w:val="20"/>
          <w:szCs w:val="20"/>
          <w:color w:val="auto"/>
        </w:rPr>
      </w:pPr>
    </w:p>
    <w:p>
      <w:pPr>
        <w:ind w:left="260" w:right="459"/>
        <w:spacing w:after="0" w:line="262" w:lineRule="auto"/>
        <w:rPr>
          <w:sz w:val="20"/>
          <w:szCs w:val="20"/>
          <w:color w:val="auto"/>
        </w:rPr>
      </w:pPr>
      <w:r>
        <w:rPr>
          <w:rFonts w:ascii="Times New Roman" w:cs="Times New Roman" w:eastAsia="Times New Roman" w:hAnsi="Times New Roman"/>
          <w:sz w:val="14"/>
          <w:szCs w:val="14"/>
          <w:color w:val="auto"/>
        </w:rPr>
        <w:t>In addition, without the written consent of a majority of the units held by limited partners (other than limited partners 50% or more of whose equity is owned, directly or indirectly, by Digital Realty Trust, Inc. as general partner), Digital Realty Trust, Inc., as general partner, may not do any of the following:</w:t>
      </w:r>
    </w:p>
    <w:p>
      <w:pPr>
        <w:spacing w:after="0" w:line="65" w:lineRule="exact"/>
        <w:rPr>
          <w:sz w:val="20"/>
          <w:szCs w:val="20"/>
          <w:color w:val="auto"/>
        </w:rPr>
      </w:pPr>
    </w:p>
    <w:p>
      <w:pPr>
        <w:ind w:left="1020" w:hanging="33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in contravention of an express prohibition or limitation contained in the partnership agreement;</w:t>
      </w:r>
    </w:p>
    <w:p>
      <w:pPr>
        <w:spacing w:after="0" w:line="98" w:lineRule="exact"/>
        <w:rPr>
          <w:rFonts w:ascii="Times New Roman" w:cs="Times New Roman" w:eastAsia="Times New Roman" w:hAnsi="Times New Roman"/>
          <w:sz w:val="14"/>
          <w:szCs w:val="14"/>
          <w:color w:val="auto"/>
        </w:rPr>
      </w:pPr>
    </w:p>
    <w:p>
      <w:pPr>
        <w:ind w:left="1020" w:right="379" w:hanging="339"/>
        <w:spacing w:after="0" w:line="278"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any act that would subject a limited partner to liability as a general partner in any jurisdiction or any liability not contemplated in the partnership agreement;</w:t>
      </w:r>
    </w:p>
    <w:p>
      <w:pPr>
        <w:spacing w:after="0" w:line="52" w:lineRule="exact"/>
        <w:rPr>
          <w:rFonts w:ascii="Times New Roman" w:cs="Times New Roman" w:eastAsia="Times New Roman" w:hAnsi="Times New Roman"/>
          <w:sz w:val="14"/>
          <w:szCs w:val="14"/>
          <w:color w:val="auto"/>
        </w:rPr>
      </w:pPr>
    </w:p>
    <w:p>
      <w:pPr>
        <w:ind w:left="1020" w:right="659" w:hanging="339"/>
        <w:spacing w:after="0" w:line="278"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mortgage, loan or other agreement that prohibits or restricts, or has the effect of prohibiting or restricting, the ability of a limited partner to exercise its redemption/exchange rights explained below;</w:t>
      </w:r>
    </w:p>
    <w:p>
      <w:pPr>
        <w:spacing w:after="0" w:line="52" w:lineRule="exact"/>
        <w:rPr>
          <w:rFonts w:ascii="Times New Roman" w:cs="Times New Roman" w:eastAsia="Times New Roman" w:hAnsi="Times New Roman"/>
          <w:sz w:val="14"/>
          <w:szCs w:val="14"/>
          <w:color w:val="auto"/>
        </w:rPr>
      </w:pPr>
    </w:p>
    <w:p>
      <w:pPr>
        <w:ind w:left="1020" w:right="319" w:hanging="339"/>
        <w:spacing w:after="0" w:line="278"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or conduct any business other than in connection with its role as the operating partnership’s general partner and its operation as a REIT;</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 interest in real or personal property other than through the operating partnership;</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 from the operating partnership or transfer any portion of its general partnership interest;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relieved of its obligations under the partnership agreement following any permitted transfer of its general partnership interest.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Distributions to Unitholders</w:t>
      </w:r>
    </w:p>
    <w:p>
      <w:pPr>
        <w:spacing w:after="0" w:line="90" w:lineRule="exact"/>
        <w:rPr>
          <w:sz w:val="20"/>
          <w:szCs w:val="20"/>
          <w:color w:val="auto"/>
        </w:rPr>
      </w:pPr>
    </w:p>
    <w:p>
      <w:pPr>
        <w:ind w:left="260" w:right="319"/>
        <w:spacing w:after="0" w:line="283" w:lineRule="auto"/>
        <w:rPr>
          <w:sz w:val="20"/>
          <w:szCs w:val="20"/>
          <w:color w:val="auto"/>
        </w:rPr>
      </w:pPr>
      <w:r>
        <w:rPr>
          <w:rFonts w:ascii="Times New Roman" w:cs="Times New Roman" w:eastAsia="Times New Roman" w:hAnsi="Times New Roman"/>
          <w:sz w:val="13"/>
          <w:szCs w:val="13"/>
          <w:color w:val="auto"/>
        </w:rPr>
        <w:t>The partnership agreement provides that holders of common units are entitled to receive quarterly distributions of available cash on a pro rata basis in accordance with their respective percentage interests. Digital Realty Trust, Inc., as the sole holder of the operating partnership’s series J preferred units, series K preferred units and series L preferred units receives distributions from the operating partnership with respect to such preferred units in order to make the distributions to series J preferred stockholders, series K preferred stockholders and series L preferred stockholders of Digital Realty Trust, Inc.</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74" w:name="page75"/>
    <w:bookmarkEnd w:id="74"/>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Redemption/Exchange Rights</w:t>
      </w:r>
    </w:p>
    <w:p>
      <w:pPr>
        <w:spacing w:after="0" w:line="90" w:lineRule="exact"/>
        <w:rPr>
          <w:sz w:val="20"/>
          <w:szCs w:val="20"/>
          <w:color w:val="auto"/>
        </w:rPr>
      </w:pPr>
    </w:p>
    <w:p>
      <w:pPr>
        <w:ind w:left="260" w:right="319"/>
        <w:spacing w:after="0" w:line="251" w:lineRule="auto"/>
        <w:rPr>
          <w:sz w:val="20"/>
          <w:szCs w:val="20"/>
          <w:color w:val="auto"/>
        </w:rPr>
      </w:pPr>
      <w:r>
        <w:rPr>
          <w:rFonts w:ascii="Times New Roman" w:cs="Times New Roman" w:eastAsia="Times New Roman" w:hAnsi="Times New Roman"/>
          <w:sz w:val="14"/>
          <w:szCs w:val="14"/>
          <w:color w:val="auto"/>
        </w:rPr>
        <w:t>Limited partners have the right to require the operating partnership to redeem part or all of their units for cash based upon the fair market value of an equivalent number of shares of Digital Realty Trust, Inc. common stock at the time of the redemption. Alternatively, Digital Realty Trust, Inc. may elect to acquire those units in exchange for shares of Digital Realty Trust, Inc. common stock. Digital Realty Trust, Inc.’s acquisition will be on a one-for-one basis, subject to adjustment in the event of stock splits, stock dividends, issuances of stock rights, specified extraordinary distributions and similar events. Digital Realty Trust, Inc. presently anticipates that it will elect to issue shares of its common stock in exchange for units in connection with each redemption request, rather than having the operating partnership redeem the units for cash. With each redemption or exchange, Digital Realty Trust, Inc.’s percentage ownership interest in the operating partnership increases. Limited partners who hold units may exercise this redemption right from time to time, in whole or in part, except when, as a consequence of shares of Digital Realty Trust, Inc. common stock being issued, any person’s actual or constructive stock ownership would exceed Digital Realty Trust, Inc.’s ownership limits, or any other limit as provided in its charter or as otherwise determined by its board of directors.</w:t>
      </w:r>
    </w:p>
    <w:p>
      <w:pPr>
        <w:spacing w:after="0" w:line="145"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color w:val="auto"/>
        </w:rPr>
        <w:t>In addition, if the number of units delivered by a limited partner for redemption would, if exchanged for common stock, exceed 9.8% of Digital Realty Trust, Inc.’s outstanding common stock and $50.0 million in gross value (based on a unit value equal to the trailing ten-day daily price of Digital Realty Trust, Inc. common stock) and Digital Realty Trust, Inc. is eligible to file a registration statement on Form S-3 under the Securities Act, then it may also elect to redeem the units with the proceeds from a public offering or private placement of its common stock. In the event it elects this option, Digital Realty Trust, Inc. may require the other limited partners also to elect whether or not to participate. If it does so, any limited partner who does not elect to participate will not be permitted to redeem units for the subsequent 12 months, subject to limited exceptions. Participating limited partners will receive on the redemption date the lesser of the cash the operating partnership would otherwise be required to pay for such units or the net proceeds per share in the public offering, but will have a limited opportunity to withdraw their units from the redemption immediately prior to the pricing of the public offering. Except as described above, a limited partner is not entitled to redeem common units, either for cash or shares of Digital Realty Trust, Inc. common stock, if exchanging the common units for shares of Digital Realty Trust, Inc. common stock would violate the ownership limits set forth in Digital Realty Trust, Inc.’s charter.</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Partnership Right to Call Limited Partner Interests</w:t>
      </w:r>
    </w:p>
    <w:p>
      <w:pPr>
        <w:spacing w:after="0" w:line="90"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At any time a limited partner owns fewer than 20,000 units or if a limited partners owns (i) partnership units that were granted as profit interest units to such limited partner on or after September 21, 2018 and/or (ii) partnership units that were acquired by such limited partner as a result of the conversion of profits interest units that were granted to such limited partner on after September 21, 2018, then at any time following the second anniversary of the date on which such limited partner ceases to provide services to the partnership, the general partner shall have the right, but not the obligation, from time to time to redeem all outstanding units owned by such limited partner.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Issuance of Additional Common Units, Preferred Units, Common Stock, Preferred Stock or Convertible Securities</w:t>
      </w:r>
    </w:p>
    <w:p>
      <w:pPr>
        <w:spacing w:after="0" w:line="90"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As the operating partnership’s sole general partner, Digital Realty Trust, Inc. has the ability to cause the operating partnership to issue additional units representing general and limited partnership interests. These additional units may include preferred limited partnership units. In addition, Digital Realty Trust, Inc. may issue additional shares of its common stock or convertible securities, but only if it causes the operating partnership to issue to it partnership interests or rights, options, warrants or convertible or exchangeable securities of the operating partnership having designations, preferences and other rights, so that the economic interests of the operating partnership’s interests issued are substantially similar to the economic interests of the securities that Digital Realty Trust, Inc. has issued.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7" w:right="1440"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Matters</w:t>
      </w:r>
    </w:p>
    <w:p>
      <w:pPr>
        <w:spacing w:after="0" w:line="90" w:lineRule="exact"/>
        <w:rPr>
          <w:sz w:val="20"/>
          <w:szCs w:val="20"/>
          <w:color w:val="auto"/>
        </w:rPr>
      </w:pPr>
    </w:p>
    <w:p>
      <w:pPr>
        <w:jc w:val="both"/>
        <w:ind w:left="260" w:right="399"/>
        <w:spacing w:after="0" w:line="262" w:lineRule="auto"/>
        <w:rPr>
          <w:sz w:val="20"/>
          <w:szCs w:val="20"/>
          <w:color w:val="auto"/>
        </w:rPr>
      </w:pPr>
      <w:r>
        <w:rPr>
          <w:rFonts w:ascii="Times New Roman" w:cs="Times New Roman" w:eastAsia="Times New Roman" w:hAnsi="Times New Roman"/>
          <w:sz w:val="14"/>
          <w:szCs w:val="14"/>
          <w:color w:val="auto"/>
        </w:rPr>
        <w:t>Digital Realty Trust, Inc. is the operating partnership’s “partnership representative” for U.S. federal income tax purposes and, as such, it has authority under the Code to handle tax audits and other proceedings on the operating partnership’s behalf. Further, as the operating partnership’s general partner, Digital Realty Trust, Inc. generally has the authority to make tax elections under the Code on the operating partnership’s behalf.</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Allocations of Net Income and Net Losses to Partners</w:t>
      </w:r>
    </w:p>
    <w:p>
      <w:pPr>
        <w:spacing w:after="0" w:line="90"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The operating partnership’s net income will generally be allocated to Digital Realty Trust, Inc. to the extent of the accrued preferred return on its preferred units, and then to Digital Realty Trust, Inc., as general partner, and the limited partners in accordance with the respective percentage interests in the common units issued by the operating partnership. Net loss will generally be allocated to Digital Realty Trust, Inc., as general partner, and the limited partners in accordance with the respective common percentage interests in the operating partnership until the limited partner’s capital is reduced to zero and any remaining net loss would be allocated to Digital Realty Trust, Inc.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w:t>
      </w:r>
    </w:p>
    <w:p>
      <w:pPr>
        <w:spacing w:after="0" w:line="146" w:lineRule="exact"/>
        <w:rPr>
          <w:sz w:val="20"/>
          <w:szCs w:val="20"/>
          <w:color w:val="auto"/>
        </w:rPr>
      </w:pPr>
    </w:p>
    <w:p>
      <w:pPr>
        <w:ind w:left="260" w:right="299"/>
        <w:spacing w:after="0" w:line="275" w:lineRule="auto"/>
        <w:rPr>
          <w:sz w:val="20"/>
          <w:szCs w:val="20"/>
          <w:color w:val="auto"/>
        </w:rPr>
      </w:pPr>
      <w:r>
        <w:rPr>
          <w:rFonts w:ascii="Times New Roman" w:cs="Times New Roman" w:eastAsia="Times New Roman" w:hAnsi="Times New Roman"/>
          <w:sz w:val="13"/>
          <w:szCs w:val="13"/>
          <w:color w:val="auto"/>
        </w:rPr>
        <w:t xml:space="preserve">In addition, Digital Realty Trust, Inc. may from time to time issue long-term incentive units, which are also referred to as profits interest units, to persons who provide services to the company for such consideration or for no consideration as it may determine to be appropriate, and admit such persons as limited partners. The long-term incentive units are similar to the operating partnership’s common units in many respects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the operating partnership’s common units as to the payment of regular and special periodic or other distributions except liquidating distributions. The long-term incentive units may be subject to vesting requirements.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of common units of the operating partnership, including redemption rights.</w:t>
      </w:r>
    </w:p>
    <w:p>
      <w:pPr>
        <w:spacing w:after="0" w:line="131"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their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w:t>
      </w:r>
    </w:p>
    <w:p>
      <w:pPr>
        <w:spacing w:after="0" w:line="146" w:lineRule="exact"/>
        <w:rPr>
          <w:sz w:val="20"/>
          <w:szCs w:val="20"/>
          <w:color w:val="auto"/>
        </w:rPr>
      </w:pPr>
    </w:p>
    <w:p>
      <w:pPr>
        <w:ind w:left="260" w:right="359"/>
        <w:spacing w:after="0" w:line="252" w:lineRule="auto"/>
        <w:rPr>
          <w:sz w:val="20"/>
          <w:szCs w:val="20"/>
          <w:color w:val="auto"/>
        </w:rPr>
      </w:pPr>
      <w:r>
        <w:rPr>
          <w:rFonts w:ascii="Times New Roman" w:cs="Times New Roman" w:eastAsia="Times New Roman" w:hAnsi="Times New Roman"/>
          <w:sz w:val="14"/>
          <w:szCs w:val="14"/>
          <w:color w:val="auto"/>
        </w:rPr>
        <w:t>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such allocation will, to the extent of any such gain, be equal to the difference between the capital</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7" w:right="1440" w:bottom="1440" w:gutter="0" w:footer="0" w:header="0"/>
        </w:sectPr>
      </w:pPr>
    </w:p>
    <w:bookmarkStart w:id="76" w:name="page77"/>
    <w:bookmarkEnd w:id="76"/>
    <w:p>
      <w:pPr>
        <w:ind w:left="26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w:t>
      </w:r>
    </w:p>
    <w:p>
      <w:pPr>
        <w:spacing w:after="0" w:line="142"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Times for making such adjustments generally include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in connection with the grant of an interest in the operating partnership (other than a de minimis interest) as consideration for the performance of services to or for the benefit of the operating partnership (including the grant of a long-term incentive unit), the issuance by the operating partnership of certain noncompensatory options, the acquisition of a partnership interest upon the exercise of a noncompensatory option and at such other times as may be desirable or required to comply with the Treasury Regulations.</w:t>
      </w:r>
    </w:p>
    <w:p>
      <w:pPr>
        <w:spacing w:after="0" w:line="150"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The operating partnership may also from time to time issue class C units or class D units to persons who provide services to it for such consideration or for no consideration as it may determine to be appropriate. If all applicable performance and other vesting conditions are satisfied with respect to a class C unit or a class D unit, the class C unit or class D unit, as applicable, will be treated in the same manner as the long-term incentive units issued by the operating partnership. Class C units and class D units are not entitled to quarterly distributions prior to the satisfaction of all applicable performance conditions. In addition, the operating partnership may issue class D units that are subject to performance vesting, which generally receive quarterly per-unit distributions equal to ten percent of the distributions made with respect to an equivalent number of common units. Class C units and class D units, other than class D units that are not performance vested, are subject to the same conditions as other long-term incentive units with respect to achieving full parity with common units.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0" w:lineRule="exact"/>
        <w:rPr>
          <w:sz w:val="20"/>
          <w:szCs w:val="20"/>
          <w:color w:val="auto"/>
        </w:rPr>
      </w:pPr>
    </w:p>
    <w:p>
      <w:pPr>
        <w:ind w:left="260" w:right="399"/>
        <w:spacing w:after="0" w:line="257"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as general partner, will determine in its discretion and distribute available cash on a quarterly basis, pro rata in accordance with the partners’ percentage interests. Available cash is the operating partnership’s net operating cash flow plus the reduction of any reserves and minus principal payment on debt and capital expenditures, investments in any entity, and increase in reserves or working capital accounts and any amounts paid in redemption of limited partner interests.</w:t>
      </w:r>
    </w:p>
    <w:p>
      <w:pPr>
        <w:spacing w:after="0" w:line="142" w:lineRule="exact"/>
        <w:rPr>
          <w:sz w:val="20"/>
          <w:szCs w:val="20"/>
          <w:color w:val="auto"/>
        </w:rPr>
      </w:pPr>
    </w:p>
    <w:p>
      <w:pPr>
        <w:ind w:left="260" w:right="319"/>
        <w:spacing w:after="0" w:line="278" w:lineRule="auto"/>
        <w:rPr>
          <w:sz w:val="20"/>
          <w:szCs w:val="20"/>
          <w:color w:val="auto"/>
        </w:rPr>
      </w:pPr>
      <w:r>
        <w:rPr>
          <w:rFonts w:ascii="Times New Roman" w:cs="Times New Roman" w:eastAsia="Times New Roman" w:hAnsi="Times New Roman"/>
          <w:sz w:val="14"/>
          <w:szCs w:val="14"/>
          <w:color w:val="auto"/>
        </w:rPr>
        <w:t>The partnership agreement provides that the operating partnership will assume and pay when due, or reimburse Digital Realty Trust, Inc. for payment of all costs and expenses relating to the operating partnership’s operations, or for the operating partnership’s benefit.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Termination Transactions</w:t>
      </w:r>
    </w:p>
    <w:p>
      <w:pPr>
        <w:spacing w:after="0" w:line="90" w:lineRule="exact"/>
        <w:rPr>
          <w:sz w:val="20"/>
          <w:szCs w:val="20"/>
          <w:color w:val="auto"/>
        </w:rPr>
      </w:pPr>
    </w:p>
    <w:p>
      <w:pPr>
        <w:ind w:left="260" w:right="459"/>
        <w:spacing w:after="0" w:line="262"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may not engage in any merger, consolidation or other combination with or into another person, sale of all or substantially all of its assets or any reclassification or any recapitalization or change in outstanding shares of its common stock, which we refer to as a termination transaction, unless in connection with a termination transaction: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9" w:right="1440" w:bottom="1440" w:gutter="0" w:footer="0" w:header="0"/>
        </w:sectPr>
      </w:pPr>
    </w:p>
    <w:bookmarkStart w:id="77" w:name="page78"/>
    <w:bookmarkEnd w:id="77"/>
    <w:p>
      <w:pPr>
        <w:ind w:left="680" w:right="459" w:hanging="414"/>
        <w:spacing w:after="0" w:line="278" w:lineRule="auto"/>
        <w:tabs>
          <w:tab w:leader="none" w:pos="6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 obtains the consent of the holders of at least 35% of the operating partnership’s common units and long-term incentive units (including units held by it), and</w:t>
      </w:r>
    </w:p>
    <w:p>
      <w:pPr>
        <w:spacing w:after="0" w:line="52" w:lineRule="exact"/>
        <w:rPr>
          <w:rFonts w:ascii="Times New Roman" w:cs="Times New Roman" w:eastAsia="Times New Roman" w:hAnsi="Times New Roman"/>
          <w:sz w:val="14"/>
          <w:szCs w:val="14"/>
          <w:color w:val="auto"/>
        </w:rPr>
      </w:pPr>
    </w:p>
    <w:p>
      <w:pPr>
        <w:ind w:left="680" w:hanging="414"/>
        <w:spacing w:after="0"/>
        <w:tabs>
          <w:tab w:leader="none" w:pos="6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8" w:lineRule="exact"/>
        <w:rPr>
          <w:rFonts w:ascii="Times New Roman" w:cs="Times New Roman" w:eastAsia="Times New Roman" w:hAnsi="Times New Roman"/>
          <w:sz w:val="14"/>
          <w:szCs w:val="14"/>
          <w:color w:val="auto"/>
        </w:rPr>
      </w:pPr>
    </w:p>
    <w:p>
      <w:pPr>
        <w:ind w:left="1180" w:right="719" w:hanging="499"/>
        <w:spacing w:after="0" w:line="278" w:lineRule="auto"/>
        <w:tabs>
          <w:tab w:leader="none" w:pos="118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limited partners will receive, or have the right to elect to receive, for each common unit an amount of cash, securities or other property equal to the product of:</w:t>
      </w:r>
    </w:p>
    <w:p>
      <w:pPr>
        <w:spacing w:after="0" w:line="52" w:lineRule="exact"/>
        <w:rPr>
          <w:rFonts w:ascii="Times New Roman" w:cs="Times New Roman" w:eastAsia="Times New Roman" w:hAnsi="Times New Roman"/>
          <w:sz w:val="14"/>
          <w:szCs w:val="14"/>
          <w:color w:val="auto"/>
        </w:rPr>
      </w:pPr>
    </w:p>
    <w:p>
      <w:pPr>
        <w:ind w:left="1360" w:hanging="253"/>
        <w:spacing w:after="0"/>
        <w:tabs>
          <w:tab w:leader="none" w:pos="136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Digital Realty Trust, Inc. common stock into which each unit is then exchangeable, and</w:t>
      </w:r>
    </w:p>
    <w:p>
      <w:pPr>
        <w:spacing w:after="0" w:line="98" w:lineRule="exact"/>
        <w:rPr>
          <w:rFonts w:ascii="Times New Roman" w:cs="Times New Roman" w:eastAsia="Times New Roman" w:hAnsi="Times New Roman"/>
          <w:sz w:val="14"/>
          <w:szCs w:val="14"/>
          <w:color w:val="auto"/>
        </w:rPr>
      </w:pPr>
    </w:p>
    <w:p>
      <w:pPr>
        <w:ind w:left="1360" w:right="319" w:hanging="253"/>
        <w:spacing w:after="0" w:line="278" w:lineRule="auto"/>
        <w:tabs>
          <w:tab w:leader="none" w:pos="136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greatest amount of cash, securities or other property paid to the holder of one share of Digital Realty Trust, Inc. common stock in consideration of one share of Digital Realty Trust, Inc. common stock in connection with the termination transaction,</w:t>
      </w:r>
    </w:p>
    <w:p>
      <w:pPr>
        <w:spacing w:after="0" w:line="43" w:lineRule="exact"/>
        <w:rPr>
          <w:sz w:val="20"/>
          <w:szCs w:val="20"/>
          <w:color w:val="auto"/>
        </w:rPr>
      </w:pPr>
    </w:p>
    <w:p>
      <w:pPr>
        <w:ind w:left="600" w:right="299"/>
        <w:spacing w:after="0" w:line="255" w:lineRule="auto"/>
        <w:rPr>
          <w:sz w:val="20"/>
          <w:szCs w:val="20"/>
          <w:color w:val="auto"/>
        </w:rPr>
      </w:pPr>
      <w:r>
        <w:rPr>
          <w:rFonts w:ascii="Times New Roman" w:cs="Times New Roman" w:eastAsia="Times New Roman" w:hAnsi="Times New Roman"/>
          <w:sz w:val="14"/>
          <w:szCs w:val="14"/>
          <w:color w:val="auto"/>
        </w:rPr>
        <w:t>provided that, if, in connection with a termination transaction, a purchase, tender or exchange offer is made to and accepted by the holders of more than 50% of the outstanding shares of Digital Realty Trust, Inc. common stock, each holder of common units will receive, or will have the right to elect to receive, the greatest amount of cash, securities or other property which such holder would have received had it exercised its redemption right and received shares of Digital Realty Trust, Inc. common stock in exchange for its common units immediately prior to the expiration of such purchase, tender or exchange offer and accepted such purchase, tender or exchange offer; or</w:t>
      </w:r>
    </w:p>
    <w:p>
      <w:pPr>
        <w:spacing w:after="0" w:line="69" w:lineRule="exact"/>
        <w:rPr>
          <w:sz w:val="20"/>
          <w:szCs w:val="20"/>
          <w:color w:val="auto"/>
        </w:rPr>
      </w:pPr>
    </w:p>
    <w:p>
      <w:pPr>
        <w:ind w:left="600" w:hanging="334"/>
        <w:spacing w:after="0"/>
        <w:tabs>
          <w:tab w:leader="none" w:pos="6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conditions are met:</w:t>
      </w:r>
    </w:p>
    <w:p>
      <w:pPr>
        <w:spacing w:after="0" w:line="98" w:lineRule="exact"/>
        <w:rPr>
          <w:rFonts w:ascii="Times New Roman" w:cs="Times New Roman" w:eastAsia="Times New Roman" w:hAnsi="Times New Roman"/>
          <w:sz w:val="14"/>
          <w:szCs w:val="14"/>
          <w:color w:val="auto"/>
        </w:rPr>
      </w:pPr>
    </w:p>
    <w:p>
      <w:pPr>
        <w:ind w:left="1360" w:right="399" w:hanging="253"/>
        <w:spacing w:after="0" w:line="262"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assets of the surviving entity are held directly or indirectly by the operating partnership or another limited partnership or limited liability company which is the surviving partnership of a merger, consolidation or combination of assets with the operating partnership;</w:t>
      </w:r>
    </w:p>
    <w:p>
      <w:pPr>
        <w:spacing w:after="0" w:line="64" w:lineRule="exact"/>
        <w:rPr>
          <w:rFonts w:ascii="Times New Roman" w:cs="Times New Roman" w:eastAsia="Times New Roman" w:hAnsi="Times New Roman"/>
          <w:sz w:val="14"/>
          <w:szCs w:val="14"/>
          <w:color w:val="auto"/>
        </w:rPr>
      </w:pPr>
    </w:p>
    <w:p>
      <w:pPr>
        <w:ind w:left="1360" w:right="439" w:hanging="253"/>
        <w:spacing w:after="0" w:line="262"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common units and long-term incentive units own a percentage interest of the surviving partnership based on the relative fair market value of the operating partnership’s net assets and the other net assets of the surviving partnership immediately prior to the consummation of this transaction;</w:t>
      </w:r>
    </w:p>
    <w:p>
      <w:pPr>
        <w:spacing w:after="0" w:line="64" w:lineRule="exact"/>
        <w:rPr>
          <w:rFonts w:ascii="Times New Roman" w:cs="Times New Roman" w:eastAsia="Times New Roman" w:hAnsi="Times New Roman"/>
          <w:sz w:val="14"/>
          <w:szCs w:val="14"/>
          <w:color w:val="auto"/>
        </w:rPr>
      </w:pPr>
    </w:p>
    <w:p>
      <w:pPr>
        <w:ind w:left="1360" w:right="579" w:hanging="253"/>
        <w:spacing w:after="0" w:line="262"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preferences and privileges of such unit holders in the surviving partnership are at least as favorable as those in effect immediately prior to the consummation of the transaction and as those applicable to any other limited partners or non-managing members of the surviving partnership; and</w:t>
      </w:r>
    </w:p>
    <w:p>
      <w:pPr>
        <w:spacing w:after="0" w:line="64" w:lineRule="exact"/>
        <w:rPr>
          <w:rFonts w:ascii="Times New Roman" w:cs="Times New Roman" w:eastAsia="Times New Roman" w:hAnsi="Times New Roman"/>
          <w:sz w:val="14"/>
          <w:szCs w:val="14"/>
          <w:color w:val="auto"/>
        </w:rPr>
      </w:pPr>
    </w:p>
    <w:p>
      <w:pPr>
        <w:ind w:left="1360" w:right="359" w:hanging="253"/>
        <w:spacing w:after="0" w:line="279" w:lineRule="auto"/>
        <w:tabs>
          <w:tab w:leader="none" w:pos="136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limited partners may exchange their interests in the surviving partnership for either the consideration available to the limited partners pursuant to paragraph (A) in this section, or the right to redeem their common units for cash on terms equivalent to those in effect with respect to their common units immediately prior to the consummation of the transaction, or, if the ultimate controlling person of the surviving partnership has publicly traded common equity securities, shares of those common equity securities, at an exchange ratio based on the relative fair market value of those securities and Digital Realty Trust, Inc. common stock.</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90" w:lineRule="exact"/>
        <w:rPr>
          <w:sz w:val="20"/>
          <w:szCs w:val="20"/>
          <w:color w:val="auto"/>
        </w:rPr>
      </w:pPr>
    </w:p>
    <w:p>
      <w:pPr>
        <w:ind w:left="260" w:right="599"/>
        <w:spacing w:after="0" w:line="278" w:lineRule="auto"/>
        <w:rPr>
          <w:sz w:val="20"/>
          <w:szCs w:val="20"/>
          <w:color w:val="auto"/>
        </w:rPr>
      </w:pPr>
      <w:r>
        <w:rPr>
          <w:rFonts w:ascii="Times New Roman" w:cs="Times New Roman" w:eastAsia="Times New Roman" w:hAnsi="Times New Roman"/>
          <w:sz w:val="14"/>
          <w:szCs w:val="14"/>
          <w:color w:val="auto"/>
        </w:rPr>
        <w:t>The operating partnership will continue in full force and effect until December 31, 2104, or until sooner dissolved in accordance with the operating partnership’s terms or as otherwise provided by law.</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Indemnification and Limitation of Liability</w:t>
      </w:r>
    </w:p>
    <w:p>
      <w:pPr>
        <w:spacing w:after="0" w:line="90" w:lineRule="exact"/>
        <w:rPr>
          <w:sz w:val="20"/>
          <w:szCs w:val="20"/>
          <w:color w:val="auto"/>
        </w:rPr>
      </w:pPr>
    </w:p>
    <w:p>
      <w:pPr>
        <w:ind w:left="260" w:right="319"/>
        <w:spacing w:after="0" w:line="262" w:lineRule="auto"/>
        <w:rPr>
          <w:sz w:val="20"/>
          <w:szCs w:val="20"/>
          <w:color w:val="auto"/>
        </w:rPr>
      </w:pPr>
      <w:r>
        <w:rPr>
          <w:rFonts w:ascii="Times New Roman" w:cs="Times New Roman" w:eastAsia="Times New Roman" w:hAnsi="Times New Roman"/>
          <w:sz w:val="14"/>
          <w:szCs w:val="14"/>
          <w:color w:val="auto"/>
        </w:rPr>
        <w:t>To the extent permitted by applicable law, the partnership agreement indemnifies Digital Realty Trust, Inc., as general partner, and its officers, directors, employees, agents and any other persons it may designate from and against any and all claims arising from the operating partnership’s operations in which any indemnitee may be involved, or is threatened to be involved, as a party or otherwise, unless it is established that: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9" w:right="1440" w:bottom="1440" w:gutter="0" w:footer="0" w:header="0"/>
        </w:sectPr>
      </w:pPr>
    </w:p>
    <w:bookmarkStart w:id="78" w:name="page79"/>
    <w:bookmarkEnd w:id="78"/>
    <w:p>
      <w:pPr>
        <w:ind w:left="1020" w:right="699" w:hanging="339"/>
        <w:spacing w:after="0" w:line="278"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act or omission of the indemnitee was material to the matter giving rise to the proceeding and either was committed in bad faith, constituted fraud or was the result of active and deliberate dishonesty;</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indemnitee actually received an improper personal benefit in money, property or services;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indemnitee had reasonable cause to believe that the act or omission was unlawful.</w:t>
      </w:r>
    </w:p>
    <w:p>
      <w:pPr>
        <w:spacing w:after="0" w:line="171" w:lineRule="exact"/>
        <w:rPr>
          <w:sz w:val="20"/>
          <w:szCs w:val="20"/>
          <w:color w:val="auto"/>
        </w:rPr>
      </w:pPr>
    </w:p>
    <w:p>
      <w:pPr>
        <w:ind w:left="260" w:right="439"/>
        <w:spacing w:after="0" w:line="262" w:lineRule="auto"/>
        <w:rPr>
          <w:sz w:val="20"/>
          <w:szCs w:val="20"/>
          <w:color w:val="auto"/>
        </w:rPr>
      </w:pPr>
      <w:r>
        <w:rPr>
          <w:rFonts w:ascii="Times New Roman" w:cs="Times New Roman" w:eastAsia="Times New Roman" w:hAnsi="Times New Roman"/>
          <w:sz w:val="14"/>
          <w:szCs w:val="14"/>
          <w:color w:val="auto"/>
        </w:rPr>
        <w:t>Similarly, Digital Realty Trust, Inc., as the operating partnership’s general partner, and its officers, directors, agents or employees, are not liable or accountable to the operating partnership for losses sustained, liabilities incurred or benefits not derived as a result of errors in judgment or mistakes of fact or law or any act or omission so long as Digital Realty Trust, Inc. acted in good faith.</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9"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MATERIAL PROVISIONS OF MARYLAND LAW AND OF THE CHARTER AND BYLAWS OF DIGITAL REALTY TRUST, INC.</w:t>
      </w:r>
    </w:p>
    <w:p>
      <w:pPr>
        <w:spacing w:after="0" w:line="171" w:lineRule="exact"/>
        <w:rPr>
          <w:sz w:val="20"/>
          <w:szCs w:val="20"/>
          <w:color w:val="auto"/>
        </w:rPr>
      </w:pPr>
    </w:p>
    <w:p>
      <w:pPr>
        <w:ind w:left="260" w:right="27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summary of certain provisions of Maryland law and of Digital Realty Trust, Inc.’s charter and bylaws does not purport to be complete and is subject to and qualified in its entirety by reference to Maryland law and the company’s charter and bylaws, copies of which are exhibits to the registration statement of which this prospectus is a part. See “Where You Can Find More Information.”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The Company’s Board of Directors</w:t>
      </w:r>
    </w:p>
    <w:p>
      <w:pPr>
        <w:spacing w:after="0" w:line="90"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company’s bylaws provide that the number of directors of the company may be established by the company’s board of directors but may not be fewer than the minimum number permitted under the MGCL or more than 15. Except as may be provided by the company’s board of directors in setting the terms of any class or series of stock, any vacancy may be filled only by a vote of a majority of the remaining directors, even if the remaining directors do not constitute a quorum. Any director elected to fill a vacancy shall serve for the remainder of the full term of the directorship in which the vacancy occurred and until a successor is elected and qualifies.</w:t>
      </w:r>
    </w:p>
    <w:p>
      <w:pPr>
        <w:spacing w:after="0" w:line="142" w:lineRule="exact"/>
        <w:rPr>
          <w:sz w:val="20"/>
          <w:szCs w:val="20"/>
          <w:color w:val="auto"/>
        </w:rPr>
      </w:pPr>
    </w:p>
    <w:p>
      <w:pPr>
        <w:ind w:left="260" w:right="279"/>
        <w:spacing w:after="0" w:line="275" w:lineRule="auto"/>
        <w:rPr>
          <w:sz w:val="20"/>
          <w:szCs w:val="20"/>
          <w:color w:val="auto"/>
        </w:rPr>
      </w:pPr>
      <w:r>
        <w:rPr>
          <w:rFonts w:ascii="Times New Roman" w:cs="Times New Roman" w:eastAsia="Times New Roman" w:hAnsi="Times New Roman"/>
          <w:sz w:val="13"/>
          <w:szCs w:val="13"/>
          <w:color w:val="auto"/>
        </w:rPr>
        <w:t>Each of the company’s directors is elected by the company’s common stockholders to serve until the next annual meeting and until their successors are duly elected and qualify. Holders of shares of the company’s common stock will have no right to cumulative voting in the election of directors. Consequently, at each annual meeting of stockholders, the holders of a majority of the shares of the common stock will be able to elect all of the company’s directors. Additionally, in the event that the company is in arrears on dividends on the company’s series J preferred stock, series K preferred stock or series L preferred stock for six or more quarterly periods, whether or not consecutive, holders of the company’s series J preferred stock, series K preferred stock or series L preferred stock as the case may be, voting as a single class with all other series of preferred stock upon which like voting rights have been conferred and are exercisable, will have the right to elect two additional directors to the company’s board for a limited time.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90"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The company’s charter provides that a director may be removed only for cause (as defined in the company’s charter) and only by the affirmative vote of stockholders entitled to cast at least two-thirds of the votes entitled to be cast generally in the election of directors. This provision, when coupled with the exclusive power of the company’s board of directors to fill vacant directorships, precludes stockholders from (1) removing incumbent directors except upon the existence of cause for removal and a substantial affirmative vote and (2) filling the vacancies created by such removal with their own nominees. In addition, any director elected to the company’s board by the holders of the company’s preferred stock may only be removed by a vote of preferred stockholders.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0"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directly or indirectly, 10% or more of the voting power of the then outstanding stock of the corporation. A person is not an interested stockholder under the statute if the board of directors approved in advance the transaction by which the person otherwise would have become an interested stockholder. The company’s board of directors may provide that its approval is subject to compliance with any terms and conditions determined by it.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7" w:right="1440" w:bottom="1440" w:gutter="0" w:footer="0" w:header="0"/>
        </w:sectPr>
      </w:pPr>
    </w:p>
    <w:bookmarkStart w:id="80" w:name="page81"/>
    <w:bookmarkEnd w:id="80"/>
    <w:p>
      <w:pPr>
        <w:ind w:left="26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After such five-year period,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45"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These provisions of the MGCL do not apply, however, to business combinations that are approved or exempted by a board of directors prior to the time that the interested stockholder becomes an interested stockholder. Pursuant to the statute, the company’s board of directors has by resolution opted out of the business combination provisions of the MGCL and, consequently, the five-year prohibition and the supermajority vote requirements will not apply to business combinations between us and any interested stockholder of the company. As a result, anyone who later becomes an interested stockholder may be able to enter into business combinations with the company that may not be in the best interest of the company’s stockholders without compliance by the company with the super-majority vote requirements and the other provisions of the statute. The company cannot assure you that its board of directors will not opt to be subject to such business combination provisions in the future.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Control Share Acquisitions</w:t>
      </w:r>
    </w:p>
    <w:p>
      <w:pPr>
        <w:spacing w:after="0" w:line="90" w:lineRule="exact"/>
        <w:rPr>
          <w:sz w:val="20"/>
          <w:szCs w:val="20"/>
          <w:color w:val="auto"/>
        </w:rPr>
      </w:pPr>
    </w:p>
    <w:p>
      <w:pPr>
        <w:ind w:left="260" w:right="339"/>
        <w:spacing w:after="0" w:line="250" w:lineRule="auto"/>
        <w:rPr>
          <w:sz w:val="20"/>
          <w:szCs w:val="20"/>
          <w:color w:val="auto"/>
        </w:rPr>
      </w:pPr>
      <w:r>
        <w:rPr>
          <w:rFonts w:ascii="Times New Roman" w:cs="Times New Roman" w:eastAsia="Times New Roman" w:hAnsi="Times New Roman"/>
          <w:sz w:val="14"/>
          <w:szCs w:val="14"/>
          <w:color w:val="auto"/>
        </w:rPr>
        <w:t>The MGCL provides that “control shares” of a Maryland corporation acquired in a “control share acquisition” have no voting rights except to the extent approved at a special meeting by the affirmative vote of stockholders entitled to cast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50" w:lineRule="exact"/>
        <w:rPr>
          <w:sz w:val="20"/>
          <w:szCs w:val="20"/>
          <w:color w:val="auto"/>
        </w:rPr>
      </w:pPr>
    </w:p>
    <w:p>
      <w:pPr>
        <w:ind w:left="260" w:right="439"/>
        <w:spacing w:after="0" w:line="292" w:lineRule="auto"/>
        <w:rPr>
          <w:sz w:val="20"/>
          <w:szCs w:val="20"/>
          <w:color w:val="auto"/>
        </w:rPr>
      </w:pPr>
      <w:r>
        <w:rPr>
          <w:rFonts w:ascii="Times New Roman" w:cs="Times New Roman" w:eastAsia="Times New Roman" w:hAnsi="Times New Roman"/>
          <w:sz w:val="13"/>
          <w:szCs w:val="13"/>
          <w:color w:val="auto"/>
        </w:rPr>
        <w:t>A person who has made or proposes to make a control share acquisition, upon satisfaction of certain conditions (including an undertaking to pay expenses), may compel the company’s board of directors to call a special meeting of stockholders to be held within 50 days of demand to consider the voting rights of the control shares. If no request for a meeting is made, the corporation may itself present the question at any stockholders’ meeting.</w:t>
      </w:r>
    </w:p>
    <w:p>
      <w:pPr>
        <w:spacing w:after="0" w:line="119"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9" w:right="1440" w:bottom="1440" w:gutter="0" w:footer="0" w:header="0"/>
        </w:sectPr>
      </w:pPr>
    </w:p>
    <w:bookmarkStart w:id="81" w:name="page82"/>
    <w:bookmarkEnd w:id="81"/>
    <w:p>
      <w:pPr>
        <w:ind w:left="260" w:right="27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26" w:lineRule="exact"/>
        <w:rPr>
          <w:sz w:val="20"/>
          <w:szCs w:val="20"/>
          <w:color w:val="auto"/>
        </w:rPr>
      </w:pPr>
    </w:p>
    <w:p>
      <w:pPr>
        <w:ind w:left="260" w:right="319"/>
        <w:spacing w:after="0" w:line="318" w:lineRule="auto"/>
        <w:rPr>
          <w:sz w:val="20"/>
          <w:szCs w:val="20"/>
          <w:color w:val="auto"/>
        </w:rPr>
      </w:pPr>
      <w:r>
        <w:rPr>
          <w:rFonts w:ascii="Times New Roman" w:cs="Times New Roman" w:eastAsia="Times New Roman" w:hAnsi="Times New Roman"/>
          <w:sz w:val="13"/>
          <w:szCs w:val="13"/>
          <w:color w:val="auto"/>
        </w:rPr>
        <w:t>The company’s bylaws contain a provision exempting from the control share acquisition statute any and all acquisitions by any person of the company’s stock. The company cannot provide you any assurance that its board of directors will not amend or eliminate this provision at any time in the future.</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Subtitle 8</w:t>
      </w:r>
    </w:p>
    <w:p>
      <w:pPr>
        <w:spacing w:after="0" w:line="90" w:lineRule="exact"/>
        <w:rPr>
          <w:sz w:val="20"/>
          <w:szCs w:val="20"/>
          <w:color w:val="auto"/>
        </w:rPr>
      </w:pPr>
    </w:p>
    <w:p>
      <w:pPr>
        <w:ind w:left="260" w:right="399"/>
        <w:spacing w:after="0" w:line="250" w:lineRule="auto"/>
        <w:rPr>
          <w:sz w:val="20"/>
          <w:szCs w:val="20"/>
          <w:color w:val="auto"/>
        </w:rPr>
      </w:pPr>
      <w:r>
        <w:rPr>
          <w:rFonts w:ascii="Times New Roman" w:cs="Times New Roman" w:eastAsia="Times New Roman" w:hAnsi="Times New Roman"/>
          <w:sz w:val="14"/>
          <w:szCs w:val="14"/>
          <w:color w:val="auto"/>
        </w:rPr>
        <w:t>Title 3, Subtitle 8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of (1) a classified board of directors, (2) a two-thirds vote requirement for removing a director, (3) a requirement that the number of directors be fixed only by vote of the directors, (4) a requirement that a vacancy on the board of directors be filled only by the remaining directors and for the remainder of the full term of the class of directors in which the vacancy occurred, or (5) a majority requirement for the calling of a stockholder-requested special meeting of stockholders. Pursuant to Subtitle 8, the company has elected to provide that vacancies on its board of directors may be filled only by the remaining directors and for the remainder of the full term of the directorship in which the vacancy occurred. Through provisions in the company’s charter and bylaws unrelated to Subtitle 8, the company already requires a two-thirds vote for the removal of any director from the board of directors, vests in the board of directors the exclusive power to fix the number of directorships and requires, unless called by the chair of the company’s board of directors, or the company’s president, chief executive officer or board of directors, the written request of stockholders entitled to cast a majority of all the votes entitled to be cast on any matter that may be properly considered at a meeting of stockholders to call a special meeting to act on such matter.</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Amendments to the Company’s Charter and Bylaws</w:t>
      </w:r>
    </w:p>
    <w:p>
      <w:pPr>
        <w:spacing w:after="0" w:line="90" w:lineRule="exact"/>
        <w:rPr>
          <w:sz w:val="20"/>
          <w:szCs w:val="20"/>
          <w:color w:val="auto"/>
        </w:rPr>
      </w:pPr>
    </w:p>
    <w:p>
      <w:pPr>
        <w:ind w:left="260" w:right="299"/>
        <w:spacing w:after="0" w:line="270" w:lineRule="auto"/>
        <w:rPr>
          <w:sz w:val="20"/>
          <w:szCs w:val="20"/>
          <w:color w:val="auto"/>
        </w:rPr>
      </w:pPr>
      <w:r>
        <w:rPr>
          <w:rFonts w:ascii="Times New Roman" w:cs="Times New Roman" w:eastAsia="Times New Roman" w:hAnsi="Times New Roman"/>
          <w:sz w:val="13"/>
          <w:szCs w:val="13"/>
          <w:color w:val="auto"/>
        </w:rPr>
        <w:t>The company’s charter generally may be amended only if such amendment is declared advisable by the company’s board of directors and approved by the affirmative vote of stockholders entitled to cast a majority of all of the votes entitled to be cast on the matter. In the case of an amendment that would materially and adversely affect the company’s series J preferred stock, series K preferred stock or series L preferred stock,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is also required. However, the company’s charter’s provisions regarding removal of directors and the vote required for certain amendments may be amended only if such amendment is declared advisable by the company’s board of directors and approved by the affirmative vote of stockholders entitled to cast not less than two-thirds of all the votes entitled to be cast on the matter. The company’s board of directors has the power to adopt, alter or repeal any provision of the company’s bylaws or to make new bylaws. In addition, pursuant to a proposal that is submitted to the stockholders of the company for approval at a duly called annual or special meeting of stockholders in accordance with the company’s bylaws and is otherwise permitted by applicable law, the stockholders of the company may alter or repeal the company’s bylaws, or adopt new bylaws, provided such alteration, repeal or adoption is approved by the affirmative vote of a majority of all the votes entitled to be cast on the matter. However, the stockholders may not alter or repeal, or adopt new bylaws inconsistent with, the provisions of the bylaws relating to indemnification or the amendment of the bylaws without the approval of the company’s board of directors.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9" w:right="1440" w:bottom="1440" w:gutter="0" w:footer="0" w:header="0"/>
        </w:sectPr>
      </w:pPr>
    </w:p>
    <w:bookmarkStart w:id="82" w:name="page83"/>
    <w:bookmarkEnd w:id="82"/>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Transactions Outside the Ordinary Course of Business</w:t>
      </w:r>
    </w:p>
    <w:p>
      <w:pPr>
        <w:spacing w:after="0" w:line="90"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 xml:space="preserve">The company may not merge with or into another company, convert to another entity, sell all or substantially all of its assets, engage in a share exchange or engage in similar transactions outside the ordinary course of business unless the transaction is declared advisable by the company’s board of directors and approved by the affirmative vote of stockholders entitled to cast a majority of all of the votes entitled to be cast on the matter. In the case of any such transaction that would materially and adversely affect the company’s series J preferred stock, series K preferred stock or series L preferred stock, the company will also require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if, upon the occurrence of such a transaction, series J preferred stock, series K preferred stock or series L preferred stock,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may be, remains outstanding with materially unchanged terms, taking into account that the company may not be the surviving entity, then the transaction will not be deemed to materially and adversely affect the company’s series J preferred stock, series K preferred stock or series L preferred stock. Furthermore, the company’s charter expressly provides that the consent of series J, series K or series L preferred stockholders is not required for a transaction if, pursuant to such a transaction, series J, series K and series L preferred stockholders receive the greater of the full trading price of the series J preferred stock, series K preferred stock or series L preferred stock, as the case may be, on the date of the transaction or the liquidation preference.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Dissolution of the Company</w:t>
      </w:r>
    </w:p>
    <w:p>
      <w:pPr>
        <w:spacing w:after="0" w:line="90"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The dissolution of the company must be declared advisable by a majority of the company’s entire board of directors and approved by the affirmative vote of stockholders entitled to cast a majority of all of the votes entitled to be cast on the matter.</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Advance Notice of Director Nominations and New Business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bylaws provide that:</w:t>
      </w:r>
    </w:p>
    <w:p>
      <w:pPr>
        <w:spacing w:after="0" w:line="99" w:lineRule="exact"/>
        <w:rPr>
          <w:sz w:val="20"/>
          <w:szCs w:val="20"/>
          <w:color w:val="auto"/>
        </w:rPr>
      </w:pPr>
    </w:p>
    <w:p>
      <w:pPr>
        <w:ind w:left="1020" w:right="599" w:hanging="339"/>
        <w:spacing w:after="0" w:line="278"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annual meeting of stockholders, nominations of individuals for election to the company’s board of directors and the proposal of business to be considered by stockholders may be made only:</w:t>
      </w:r>
    </w:p>
    <w:p>
      <w:pPr>
        <w:spacing w:after="0" w:line="52" w:lineRule="exact"/>
        <w:rPr>
          <w:rFonts w:ascii="Times New Roman" w:cs="Times New Roman" w:eastAsia="Times New Roman" w:hAnsi="Times New Roman"/>
          <w:sz w:val="14"/>
          <w:szCs w:val="14"/>
          <w:color w:val="auto"/>
        </w:rPr>
      </w:pPr>
    </w:p>
    <w:p>
      <w:pPr>
        <w:ind w:left="1360" w:hanging="253"/>
        <w:spacing w:after="0"/>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company’s notice of the meeting;</w:t>
      </w:r>
    </w:p>
    <w:p>
      <w:pPr>
        <w:spacing w:after="0" w:line="98" w:lineRule="exact"/>
        <w:rPr>
          <w:rFonts w:ascii="Times New Roman" w:cs="Times New Roman" w:eastAsia="Times New Roman" w:hAnsi="Times New Roman"/>
          <w:sz w:val="14"/>
          <w:szCs w:val="14"/>
          <w:color w:val="auto"/>
        </w:rPr>
      </w:pPr>
    </w:p>
    <w:p>
      <w:pPr>
        <w:ind w:left="1360" w:hanging="253"/>
        <w:spacing w:after="0"/>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98" w:lineRule="exact"/>
        <w:rPr>
          <w:rFonts w:ascii="Times New Roman" w:cs="Times New Roman" w:eastAsia="Times New Roman" w:hAnsi="Times New Roman"/>
          <w:sz w:val="14"/>
          <w:szCs w:val="14"/>
          <w:color w:val="auto"/>
        </w:rPr>
      </w:pPr>
    </w:p>
    <w:p>
      <w:pPr>
        <w:ind w:left="1360" w:right="319" w:hanging="253"/>
        <w:spacing w:after="0" w:line="255"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stockholder who is a stockholder of record at the record date set by the Board of Directors for the purpose of determining stockholders entitled to vote at the annual meeting, at the time of giving the advance notice required by the company’s bylaws and at the time of the meeting (and any postponement or adjournment thereof), who is entitled to vote at the meeting in the election of each individual so nominated or any such other business and who has complied with the advance notice procedures set forth in the company’s bylaws; and</w:t>
      </w:r>
    </w:p>
    <w:p>
      <w:pPr>
        <w:spacing w:after="0" w:line="69" w:lineRule="exact"/>
        <w:rPr>
          <w:rFonts w:ascii="Times New Roman" w:cs="Times New Roman" w:eastAsia="Times New Roman" w:hAnsi="Times New Roman"/>
          <w:sz w:val="14"/>
          <w:szCs w:val="14"/>
          <w:color w:val="auto"/>
        </w:rPr>
      </w:pPr>
    </w:p>
    <w:p>
      <w:pPr>
        <w:ind w:left="1020" w:right="319" w:hanging="339"/>
        <w:spacing w:after="0" w:line="278"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special meetings of stockholders, only the business specified in the company’s notice of meeting may be brought before the meeting of stockholders and nominations of individuals for election to the company’s board of directors may be made only:</w:t>
      </w:r>
    </w:p>
    <w:p>
      <w:pPr>
        <w:spacing w:after="0" w:line="52" w:lineRule="exact"/>
        <w:rPr>
          <w:rFonts w:ascii="Times New Roman" w:cs="Times New Roman" w:eastAsia="Times New Roman" w:hAnsi="Times New Roman"/>
          <w:sz w:val="14"/>
          <w:szCs w:val="14"/>
          <w:color w:val="auto"/>
        </w:rPr>
      </w:pPr>
    </w:p>
    <w:p>
      <w:pPr>
        <w:ind w:left="1360" w:hanging="253"/>
        <w:spacing w:after="0"/>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98" w:lineRule="exact"/>
        <w:rPr>
          <w:rFonts w:ascii="Times New Roman" w:cs="Times New Roman" w:eastAsia="Times New Roman" w:hAnsi="Times New Roman"/>
          <w:sz w:val="14"/>
          <w:szCs w:val="14"/>
          <w:color w:val="auto"/>
        </w:rPr>
      </w:pPr>
    </w:p>
    <w:p>
      <w:pPr>
        <w:jc w:val="both"/>
        <w:ind w:left="1360" w:right="919" w:hanging="253"/>
        <w:spacing w:after="0" w:line="262" w:lineRule="auto"/>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special meeting has been called in accordance with the bylaws for the purpose of electing directors, by a stockholder who is a stockholder of record at the record date set by the Board of Directors for the purpose of determining stockholders entitled to vote at the annual</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7" w:right="1440" w:bottom="1440" w:gutter="0" w:footer="0" w:header="0"/>
        </w:sectPr>
      </w:pPr>
    </w:p>
    <w:bookmarkStart w:id="83" w:name="page84"/>
    <w:bookmarkEnd w:id="83"/>
    <w:p>
      <w:pPr>
        <w:ind w:left="1360" w:right="5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meeting, at the time of giving the advance notice required by the company’s bylaws and at the time of the meeting (and any postponement or adjournment thereof), who is entitled to vote at the meeting and in the election of each individual so nominated who has complied with the advance notice provisions set forth in the company’s bylaws.</w:t>
      </w:r>
    </w:p>
    <w:p>
      <w:pPr>
        <w:spacing w:after="0" w:line="138"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The advance notice procedures of the company’s bylaws provide that, to be timely, a stockholder’s notice with respect to director nominations or proposals for an annual meeting must be delivered to the company’s corporate secretary at the company’s principal executive office not earlier than the 150th day nor later than 5:00 p.m., Central Time, on the 120th day prior to the first anniversary of the date of the proxy statement for the company’s preceding year’s annual meeting. If the date of the annual meeting is advanced or delayed by more than 30 days from the first anniversary of the date of the preceding year’s annual meeting, to be timely, a stockholder’s notice must be delivered not earlier than the 150th day prior to the date of such annual meeting and not later than 5:00 p.m., Central time, on the later of the 120th day prior to the date of such annual meeting, as originally convened, or the tenth day following the day on which public announcement of the date of such meeting is first made.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Proxy Access</w:t>
      </w:r>
    </w:p>
    <w:p>
      <w:pPr>
        <w:spacing w:after="0" w:line="90" w:lineRule="exact"/>
        <w:rPr>
          <w:sz w:val="20"/>
          <w:szCs w:val="20"/>
          <w:color w:val="auto"/>
        </w:rPr>
      </w:pPr>
    </w:p>
    <w:p>
      <w:pPr>
        <w:ind w:left="260" w:right="419"/>
        <w:spacing w:after="0" w:line="255" w:lineRule="auto"/>
        <w:rPr>
          <w:sz w:val="20"/>
          <w:szCs w:val="20"/>
          <w:color w:val="auto"/>
        </w:rPr>
      </w:pPr>
      <w:r>
        <w:rPr>
          <w:rFonts w:ascii="Times New Roman" w:cs="Times New Roman" w:eastAsia="Times New Roman" w:hAnsi="Times New Roman"/>
          <w:sz w:val="14"/>
          <w:szCs w:val="14"/>
          <w:color w:val="auto"/>
        </w:rPr>
        <w:t>The company’s bylaws contain proxy access provisions which permit any stockholder or group of up to 20 shareholders owning at least 3% of the company’s outstanding shares of common stock continuously for at least three years to nominate and include up to a specified number of director nominees in the company’s proxy materials for an annual meeting of shareholders. The maximum number of stockholder nominees permitted under these proxy access provisions shall not exceed 20% of the total number of directors in office as of the last day on which a stockholder nomination may be delivered.</w:t>
      </w:r>
    </w:p>
    <w:p>
      <w:pPr>
        <w:spacing w:after="0" w:line="142"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Under such proxy access provisions, a stockholder’s written notice of nominations of individuals for election to the company’s board of directors to be included in the company’s proxy statement for an annual meeting must be delivered to the secretary of the company at the company’s principal executive offices not earlier than the 150th day nor later than 5:00 p.m., Central Time, on the 120th day prior to the anniversary of the date of the proxy statement for the preceding year’s annual meeting of stockholders. Neither the postponement or adjournment of an annual meeting, nor the public disclosure of such postponement or adjournment, commences a new time period for the giving of a stockholder’s written notice.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Anti-takeover Effect of Certain Provisions of Maryland Law and of the Company’s Charter and Bylaws</w:t>
      </w:r>
    </w:p>
    <w:p>
      <w:pPr>
        <w:spacing w:after="0" w:line="90"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provisions of the company’s charter on removal of directors and the advance notice provisions of the bylaws could delay, defer or prevent a transaction or a change of control of the company that might involve a premium price for holders of the company’s common stock or otherwise be in their best interest. Likewise, if the company’s board of directors were to opt in to the business combination provisions of the MGCL or the provisions of Title 3, Subtitle 8 of the MGCL not already applicable to the company, or if the provision in the bylaws opting out of the control share acquisition provisions of the MGCL were rescinded, these provisions of the MGCL could have similar anti-takeover effects.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Ownership Limit</w:t>
      </w:r>
    </w:p>
    <w:p>
      <w:pPr>
        <w:spacing w:after="0" w:line="90"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The company’s charter provides that no person or entity may beneficially own, or be deemed to own by virtue of the applicable constructive ownership provisions of the Code, more than 9.8% (by value or by number of shares, whichever is more restrictive) of the outstanding shares of the company’s common stock or any series of preferred stock or more than 9.8% of the value of the company’s outstanding capital stock. The company refers to these restrictions as the “ownership limits.” For a fuller description of this restriction and the constructive ownership rules, see “Restrictions on Ownership and Transfer.”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Indemnification and Limitation of Directors’ and Officers’ Liability</w:t>
      </w:r>
    </w:p>
    <w:p>
      <w:pPr>
        <w:spacing w:after="0" w:line="90"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The MGCL permits a Maryland corporation to include in its charter a provision limiting the liability of its directors and officers to the corporation and its stockholders for money damages except for liability resulting</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9" w:right="1440" w:bottom="1440" w:gutter="0" w:footer="0" w:header="0"/>
        </w:sectPr>
      </w:pPr>
    </w:p>
    <w:bookmarkStart w:id="84" w:name="page85"/>
    <w:bookmarkEnd w:id="84"/>
    <w:p>
      <w:pPr>
        <w:jc w:val="both"/>
        <w:ind w:left="260" w:right="3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from actual receipt of an improper benefit or profit in money, property or services or active and deliberate dishonesty established by a final judgment as being material to the cause of action. The company’s charter contains such a provision which eliminates such liability to the maximum extent permitted by Maryland law.</w:t>
      </w:r>
    </w:p>
    <w:p>
      <w:pPr>
        <w:spacing w:after="0" w:line="138"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MGCL requires a corporation (unless its charter provides otherwise, which the company’s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69" w:lineRule="exact"/>
        <w:rPr>
          <w:sz w:val="20"/>
          <w:szCs w:val="20"/>
          <w:color w:val="auto"/>
        </w:rPr>
      </w:pPr>
    </w:p>
    <w:p>
      <w:pPr>
        <w:ind w:left="1020" w:hanging="339"/>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director or officer was material to the matter giving rise to the proceeding,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committed in bad faith;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the result of active and deliberate dishonesty;</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or officer actually received an improper personal benefit in money, property or services;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director or officer had reasonable cause to believe that the act or omission was unlawful.</w:t>
      </w:r>
    </w:p>
    <w:p>
      <w:pPr>
        <w:spacing w:after="0" w:line="171" w:lineRule="exact"/>
        <w:rPr>
          <w:sz w:val="20"/>
          <w:szCs w:val="20"/>
          <w:color w:val="auto"/>
        </w:rPr>
      </w:pPr>
    </w:p>
    <w:p>
      <w:pPr>
        <w:jc w:val="both"/>
        <w:ind w:left="260" w:right="479"/>
        <w:spacing w:after="0" w:line="292" w:lineRule="auto"/>
        <w:rPr>
          <w:sz w:val="20"/>
          <w:szCs w:val="20"/>
          <w:color w:val="auto"/>
        </w:rPr>
      </w:pPr>
      <w:r>
        <w:rPr>
          <w:rFonts w:ascii="Times New Roman" w:cs="Times New Roman" w:eastAsia="Times New Roman" w:hAnsi="Times New Roman"/>
          <w:sz w:val="13"/>
          <w:szCs w:val="13"/>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47" w:lineRule="exact"/>
        <w:rPr>
          <w:sz w:val="20"/>
          <w:szCs w:val="20"/>
          <w:color w:val="auto"/>
        </w:rPr>
      </w:pPr>
    </w:p>
    <w:p>
      <w:pPr>
        <w:ind w:left="1020" w:right="479" w:hanging="339"/>
        <w:spacing w:after="0" w:line="278" w:lineRule="auto"/>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affirmation by the director or officer of his or her good faith belief that he or she has met the standard of conduct necessary for indemnification by the corporation; and</w:t>
      </w:r>
    </w:p>
    <w:p>
      <w:pPr>
        <w:spacing w:after="0" w:line="52" w:lineRule="exact"/>
        <w:rPr>
          <w:rFonts w:ascii="Times New Roman" w:cs="Times New Roman" w:eastAsia="Times New Roman" w:hAnsi="Times New Roman"/>
          <w:sz w:val="14"/>
          <w:szCs w:val="14"/>
          <w:color w:val="auto"/>
        </w:rPr>
      </w:pPr>
    </w:p>
    <w:p>
      <w:pPr>
        <w:ind w:left="1020" w:right="719" w:hanging="339"/>
        <w:spacing w:after="0" w:line="278" w:lineRule="auto"/>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26" w:lineRule="exact"/>
        <w:rPr>
          <w:sz w:val="20"/>
          <w:szCs w:val="20"/>
          <w:color w:val="auto"/>
        </w:rPr>
      </w:pPr>
    </w:p>
    <w:p>
      <w:pPr>
        <w:ind w:left="260" w:right="419"/>
        <w:spacing w:after="0" w:line="262" w:lineRule="auto"/>
        <w:rPr>
          <w:sz w:val="20"/>
          <w:szCs w:val="20"/>
          <w:color w:val="auto"/>
        </w:rPr>
      </w:pPr>
      <w:r>
        <w:rPr>
          <w:rFonts w:ascii="Times New Roman" w:cs="Times New Roman" w:eastAsia="Times New Roman" w:hAnsi="Times New Roman"/>
          <w:sz w:val="14"/>
          <w:szCs w:val="14"/>
          <w:color w:val="auto"/>
        </w:rPr>
        <w:t>The company’s charter authorizes the company to obligate it and the company’s bylaws obligate it,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65" w:lineRule="exact"/>
        <w:rPr>
          <w:sz w:val="20"/>
          <w:szCs w:val="20"/>
          <w:color w:val="auto"/>
        </w:rPr>
      </w:pPr>
    </w:p>
    <w:p>
      <w:pPr>
        <w:ind w:left="1020" w:right="399" w:hanging="339"/>
        <w:spacing w:after="0" w:line="278" w:lineRule="auto"/>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present or former director or officer who is made or threatened to be made a party to the proceeding by reason of his or her service in that capacity; or</w:t>
      </w:r>
    </w:p>
    <w:p>
      <w:pPr>
        <w:spacing w:after="0" w:line="52" w:lineRule="exact"/>
        <w:rPr>
          <w:rFonts w:ascii="Times New Roman" w:cs="Times New Roman" w:eastAsia="Times New Roman" w:hAnsi="Times New Roman"/>
          <w:sz w:val="14"/>
          <w:szCs w:val="14"/>
          <w:color w:val="auto"/>
        </w:rPr>
      </w:pPr>
    </w:p>
    <w:p>
      <w:pPr>
        <w:ind w:left="1020" w:right="359" w:hanging="339"/>
        <w:spacing w:after="0" w:line="257" w:lineRule="auto"/>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 who, while a director or officer of the company and at the company’s request, serves or has served at another corporation, REIT, partnership, joint venture, trust, limited liability company, employee benefit plan or any other enterprise as a director, officer, partner, trustee, member or manager and who is made or threatened to be made a party to the proceeding by reason of his or her service in that capacity.</w:t>
      </w:r>
    </w:p>
    <w:p>
      <w:pPr>
        <w:spacing w:after="0" w:line="142"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The rights to indemnification and advancement of expenses provided by the company’s charter and bylaws shall vest immediately upon election of a director or officer.</w:t>
      </w:r>
    </w:p>
    <w:p>
      <w:pPr>
        <w:spacing w:after="0" w:line="126" w:lineRule="exact"/>
        <w:rPr>
          <w:sz w:val="20"/>
          <w:szCs w:val="20"/>
          <w:color w:val="auto"/>
        </w:rPr>
      </w:pPr>
    </w:p>
    <w:p>
      <w:pPr>
        <w:ind w:left="260" w:right="299"/>
        <w:spacing w:after="0" w:line="278" w:lineRule="auto"/>
        <w:rPr>
          <w:sz w:val="20"/>
          <w:szCs w:val="20"/>
          <w:color w:val="auto"/>
        </w:rPr>
      </w:pPr>
      <w:r>
        <w:rPr>
          <w:rFonts w:ascii="Times New Roman" w:cs="Times New Roman" w:eastAsia="Times New Roman" w:hAnsi="Times New Roman"/>
          <w:sz w:val="14"/>
          <w:szCs w:val="14"/>
          <w:color w:val="auto"/>
        </w:rPr>
        <w:t>The company’s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9" w:right="1440" w:bottom="1440" w:gutter="0" w:footer="0" w:header="0"/>
        </w:sectPr>
      </w:pPr>
    </w:p>
    <w:bookmarkStart w:id="85" w:name="page86"/>
    <w:bookmarkEnd w:id="85"/>
    <w:p>
      <w:pPr>
        <w:ind w:left="26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partnership agreement provides that the company, as general partner, and the company’s officers and directors are indemnified to the fullest extent permitted by law. See “Description of the Partnership Agreement of Digital Realty Trust, L.P.—Indemnification and Limitation of Liability.” The company has also entered into indemnification agreements with each of its executive officers and directors that obligate the company to indemnify them to the maximum extent permitted by Maryland law.</w:t>
      </w:r>
    </w:p>
    <w:p>
      <w:pPr>
        <w:spacing w:after="0" w:line="142" w:lineRule="exact"/>
        <w:rPr>
          <w:sz w:val="20"/>
          <w:szCs w:val="20"/>
          <w:color w:val="auto"/>
        </w:rPr>
      </w:pPr>
    </w:p>
    <w:p>
      <w:pPr>
        <w:ind w:left="260" w:right="279"/>
        <w:spacing w:after="0" w:line="262" w:lineRule="auto"/>
        <w:rPr>
          <w:sz w:val="20"/>
          <w:szCs w:val="20"/>
          <w:color w:val="auto"/>
        </w:rPr>
      </w:pPr>
      <w:r>
        <w:rPr>
          <w:rFonts w:ascii="Times New Roman" w:cs="Times New Roman" w:eastAsia="Times New Roman" w:hAnsi="Times New Roman"/>
          <w:sz w:val="14"/>
          <w:szCs w:val="14"/>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0"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The company’s bylaws provide that, unless the company consents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MGCL or the company’s charter or bylaws, or (d) any action asserting a claim against the company or any director or officer or other employee of the company that is governed by the internal affairs doctrine.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9"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UNITED STATES FEDERAL INCOME TAX CONSIDERATIONS</w:t>
      </w:r>
    </w:p>
    <w:p>
      <w:pPr>
        <w:spacing w:after="0" w:line="173" w:lineRule="exact"/>
        <w:rPr>
          <w:sz w:val="20"/>
          <w:szCs w:val="20"/>
          <w:color w:val="auto"/>
        </w:rPr>
      </w:pPr>
    </w:p>
    <w:p>
      <w:pPr>
        <w:ind w:left="260" w:right="279"/>
        <w:spacing w:after="0" w:line="253" w:lineRule="auto"/>
        <w:rPr>
          <w:sz w:val="20"/>
          <w:szCs w:val="20"/>
          <w:color w:val="auto"/>
        </w:rPr>
      </w:pPr>
      <w:r>
        <w:rPr>
          <w:rFonts w:ascii="Times New Roman" w:cs="Times New Roman" w:eastAsia="Times New Roman" w:hAnsi="Times New Roman"/>
          <w:sz w:val="14"/>
          <w:szCs w:val="14"/>
          <w:color w:val="auto"/>
        </w:rPr>
        <w:t>The following is a general summary of certain material U.S. federal income tax considerations regarding our company’s election to be taxed as a real estate investment trust, or a REIT, and the acquisition, ownership or disposition of our capital stock or the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Digital Realty Trust, Inc., and do not include any of its subsidiaries, except as otherwise indicated. This summary is for general information only and is not tax advice. The information in this summary is based on:</w:t>
      </w:r>
    </w:p>
    <w:p>
      <w:pPr>
        <w:spacing w:after="0" w:line="73" w:lineRule="exact"/>
        <w:rPr>
          <w:sz w:val="20"/>
          <w:szCs w:val="20"/>
          <w:color w:val="auto"/>
        </w:rPr>
      </w:pPr>
    </w:p>
    <w:p>
      <w:pPr>
        <w:ind w:left="1020" w:hanging="33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Internal Revenue Code of 1986, as amended, or the Code;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temporary and proposed Treasury regulations promulgated under the Code, or the Treasury Regulations;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legislative history of the Code;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interpretations and practices of the Internal Revenue Service, or the IRS;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court decisions;</w:t>
      </w:r>
    </w:p>
    <w:p>
      <w:pPr>
        <w:spacing w:after="0" w:line="171" w:lineRule="exact"/>
        <w:rPr>
          <w:sz w:val="20"/>
          <w:szCs w:val="20"/>
          <w:color w:val="auto"/>
        </w:rPr>
      </w:pPr>
    </w:p>
    <w:p>
      <w:pPr>
        <w:ind w:left="260" w:right="319"/>
        <w:spacing w:after="0" w:line="249" w:lineRule="auto"/>
        <w:rPr>
          <w:sz w:val="20"/>
          <w:szCs w:val="20"/>
          <w:color w:val="auto"/>
        </w:rPr>
      </w:pPr>
      <w:r>
        <w:rPr>
          <w:rFonts w:ascii="Times New Roman" w:cs="Times New Roman" w:eastAsia="Times New Roman" w:hAnsi="Times New Roman"/>
          <w:sz w:val="14"/>
          <w:szCs w:val="14"/>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and the holders of the operating partnership’s debt securities.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the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the operating partnership’s debt securities, or our election to be taxed as a REIT.</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You are urged to consult your tax advisors regarding the tax consequences to you of:</w:t>
      </w:r>
    </w:p>
    <w:p>
      <w:pPr>
        <w:spacing w:after="0" w:line="99" w:lineRule="exact"/>
        <w:rPr>
          <w:sz w:val="20"/>
          <w:szCs w:val="20"/>
          <w:color w:val="auto"/>
        </w:rPr>
      </w:pPr>
    </w:p>
    <w:p>
      <w:pPr>
        <w:ind w:left="1020" w:right="639" w:hanging="339"/>
        <w:spacing w:after="0" w:line="28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purchase, ownership and disposition of our capital stock or the operating partnership’s debt securities, including the U.S. federal, state, local, non-U.S. and other tax consequences;</w:t>
      </w:r>
    </w:p>
    <w:p>
      <w:pPr>
        <w:spacing w:after="0" w:line="4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our election to be taxed as a REIT for U.S. federal income tax purposes;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potential changes in applicable tax laws.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37" w:right="1440" w:bottom="1440" w:gutter="0" w:footer="0" w:header="0"/>
        </w:sectPr>
      </w:pPr>
    </w:p>
    <w:bookmarkStart w:id="87" w:name="page88"/>
    <w:bookmarkEnd w:id="87"/>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Taxation of Our Company</w:t>
      </w:r>
    </w:p>
    <w:p>
      <w:pPr>
        <w:spacing w:after="0" w:line="88" w:lineRule="exact"/>
        <w:rPr>
          <w:sz w:val="20"/>
          <w:szCs w:val="20"/>
          <w:color w:val="auto"/>
        </w:rPr>
      </w:pPr>
    </w:p>
    <w:p>
      <w:pPr>
        <w:ind w:left="260" w:right="4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We have elected to be taxed as a REIT under Sections 856 through 860 of the Code commencing with our taxable year ended December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2004.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44"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48"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69" w:lineRule="exact"/>
        <w:rPr>
          <w:sz w:val="20"/>
          <w:szCs w:val="20"/>
          <w:color w:val="auto"/>
        </w:rPr>
      </w:pPr>
    </w:p>
    <w:p>
      <w:pPr>
        <w:ind w:left="1020" w:right="919" w:hanging="339"/>
        <w:spacing w:after="0" w:line="278"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we will be required to pay regular U.S. federal corporate income tax on any undistributed REIT taxable income, including undistributed capital gain.</w:t>
      </w:r>
    </w:p>
    <w:p>
      <w:pPr>
        <w:spacing w:after="0" w:line="52" w:lineRule="exact"/>
        <w:rPr>
          <w:rFonts w:ascii="Times New Roman" w:cs="Times New Roman" w:eastAsia="Times New Roman" w:hAnsi="Times New Roman"/>
          <w:sz w:val="14"/>
          <w:szCs w:val="14"/>
          <w:color w:val="auto"/>
        </w:rPr>
      </w:pPr>
    </w:p>
    <w:p>
      <w:pPr>
        <w:ind w:left="1020" w:right="439" w:hanging="339"/>
        <w:spacing w:after="0" w:line="255"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69" w:lineRule="exact"/>
        <w:rPr>
          <w:rFonts w:ascii="Times New Roman" w:cs="Times New Roman" w:eastAsia="Times New Roman" w:hAnsi="Times New Roman"/>
          <w:sz w:val="14"/>
          <w:szCs w:val="14"/>
          <w:color w:val="auto"/>
        </w:rPr>
      </w:pPr>
    </w:p>
    <w:p>
      <w:pPr>
        <w:ind w:left="1020" w:right="359" w:hanging="339"/>
        <w:spacing w:after="0" w:line="262"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64" w:lineRule="exact"/>
        <w:rPr>
          <w:rFonts w:ascii="Times New Roman" w:cs="Times New Roman" w:eastAsia="Times New Roman" w:hAnsi="Times New Roman"/>
          <w:sz w:val="14"/>
          <w:szCs w:val="14"/>
          <w:color w:val="auto"/>
        </w:rPr>
      </w:pPr>
    </w:p>
    <w:p>
      <w:pPr>
        <w:ind w:left="1020" w:right="299" w:hanging="339"/>
        <w:spacing w:after="0" w:line="278"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if we fail to satisfy the 75% gross income test or the 95% gross income test, as described below, but have otherwise maintained our qualification as a REIT because certain other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37" w:right="1440" w:bottom="1440" w:gutter="0" w:footer="0" w:header="0"/>
        </w:sectPr>
      </w:pPr>
    </w:p>
    <w:bookmarkStart w:id="88" w:name="page89"/>
    <w:bookmarkEnd w:id="88"/>
    <w:p>
      <w:pPr>
        <w:jc w:val="both"/>
        <w:ind w:left="1020" w:right="3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65" w:lineRule="exact"/>
        <w:rPr>
          <w:sz w:val="20"/>
          <w:szCs w:val="20"/>
          <w:color w:val="auto"/>
        </w:rPr>
      </w:pPr>
    </w:p>
    <w:p>
      <w:pPr>
        <w:ind w:left="1020" w:right="379" w:hanging="339"/>
        <w:spacing w:after="0" w:line="257"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68" w:lineRule="exact"/>
        <w:rPr>
          <w:rFonts w:ascii="Times New Roman" w:cs="Times New Roman" w:eastAsia="Times New Roman" w:hAnsi="Times New Roman"/>
          <w:sz w:val="14"/>
          <w:szCs w:val="14"/>
          <w:color w:val="auto"/>
        </w:rPr>
      </w:pPr>
    </w:p>
    <w:p>
      <w:pPr>
        <w:ind w:left="1020" w:right="319" w:hanging="339"/>
        <w:spacing w:after="0" w:line="262"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64" w:lineRule="exact"/>
        <w:rPr>
          <w:rFonts w:ascii="Times New Roman" w:cs="Times New Roman" w:eastAsia="Times New Roman" w:hAnsi="Times New Roman"/>
          <w:sz w:val="14"/>
          <w:szCs w:val="14"/>
          <w:color w:val="auto"/>
        </w:rPr>
      </w:pPr>
    </w:p>
    <w:p>
      <w:pPr>
        <w:ind w:left="1020" w:right="319" w:hanging="339"/>
        <w:spacing w:after="0" w:line="262"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64" w:lineRule="exact"/>
        <w:rPr>
          <w:rFonts w:ascii="Times New Roman" w:cs="Times New Roman" w:eastAsia="Times New Roman" w:hAnsi="Times New Roman"/>
          <w:sz w:val="14"/>
          <w:szCs w:val="14"/>
          <w:color w:val="auto"/>
        </w:rPr>
      </w:pPr>
    </w:p>
    <w:p>
      <w:pPr>
        <w:ind w:left="1020" w:right="319" w:hanging="339"/>
        <w:spacing w:after="0" w:line="251"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71" w:lineRule="exact"/>
        <w:rPr>
          <w:rFonts w:ascii="Times New Roman" w:cs="Times New Roman" w:eastAsia="Times New Roman" w:hAnsi="Times New Roman"/>
          <w:sz w:val="14"/>
          <w:szCs w:val="14"/>
          <w:color w:val="auto"/>
        </w:rPr>
      </w:pPr>
    </w:p>
    <w:p>
      <w:pPr>
        <w:ind w:left="1020" w:right="559" w:hanging="339"/>
        <w:spacing w:after="0" w:line="278"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Ninth, our subsidiaries that are C corporations and are not qualified REIT subsidiaries (described below), including our “taxable REIT subsidiaries” described below, generally will be required to pay regular U.S. federal corporate income tax on their earnings.</w:t>
      </w:r>
    </w:p>
    <w:p>
      <w:pPr>
        <w:spacing w:after="0" w:line="52" w:lineRule="exact"/>
        <w:rPr>
          <w:rFonts w:ascii="Times New Roman" w:cs="Times New Roman" w:eastAsia="Times New Roman" w:hAnsi="Times New Roman"/>
          <w:sz w:val="14"/>
          <w:szCs w:val="14"/>
          <w:color w:val="auto"/>
        </w:rPr>
      </w:pPr>
    </w:p>
    <w:p>
      <w:pPr>
        <w:ind w:left="1020" w:right="299" w:hanging="339"/>
        <w:spacing w:after="0" w:line="253"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72" w:lineRule="exact"/>
        <w:rPr>
          <w:rFonts w:ascii="Times New Roman" w:cs="Times New Roman" w:eastAsia="Times New Roman" w:hAnsi="Times New Roman"/>
          <w:sz w:val="14"/>
          <w:szCs w:val="14"/>
          <w:color w:val="auto"/>
        </w:rPr>
      </w:pPr>
    </w:p>
    <w:p>
      <w:pPr>
        <w:ind w:left="1020" w:right="339" w:hanging="339"/>
        <w:spacing w:after="0" w:line="257"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39" w:right="1440" w:bottom="1440" w:gutter="0" w:footer="0" w:header="0"/>
        </w:sectPr>
      </w:pPr>
    </w:p>
    <w:bookmarkStart w:id="89" w:name="page90"/>
    <w:bookmarkEnd w:id="89"/>
    <w:p>
      <w:pPr>
        <w:ind w:left="1020" w:right="459" w:hanging="339"/>
        <w:spacing w:after="0" w:line="257"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42" w:lineRule="exact"/>
        <w:rPr>
          <w:sz w:val="20"/>
          <w:szCs w:val="20"/>
          <w:color w:val="auto"/>
        </w:rPr>
      </w:pPr>
    </w:p>
    <w:p>
      <w:pPr>
        <w:ind w:left="260" w:right="619"/>
        <w:spacing w:after="0" w:line="278" w:lineRule="auto"/>
        <w:rPr>
          <w:sz w:val="20"/>
          <w:szCs w:val="20"/>
          <w:color w:val="auto"/>
        </w:rPr>
      </w:pPr>
      <w:r>
        <w:rPr>
          <w:rFonts w:ascii="Times New Roman" w:cs="Times New Roman" w:eastAsia="Times New Roman" w:hAnsi="Times New Roman"/>
          <w:sz w:val="14"/>
          <w:szCs w:val="14"/>
          <w:color w:val="auto"/>
        </w:rPr>
        <w:t>We and our subsidiaries may be subject to a variety of taxes other than U.S. federal income tax, including payroll taxes and state and local income, property and other taxes on our assets and operations.</w:t>
      </w:r>
    </w:p>
    <w:p>
      <w:pPr>
        <w:spacing w:after="0" w:line="126"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We own properties in other countries, which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Qualification as a REIT</w:t>
      </w:r>
      <w:r>
        <w:rPr>
          <w:rFonts w:ascii="Times New Roman" w:cs="Times New Roman" w:eastAsia="Times New Roman" w:hAnsi="Times New Roman"/>
          <w:sz w:val="14"/>
          <w:szCs w:val="14"/>
          <w:color w:val="auto"/>
        </w:rPr>
        <w:t>. The Code defines a REIT as a corporation, trust or association:</w:t>
      </w:r>
    </w:p>
    <w:p>
      <w:pPr>
        <w:spacing w:after="0" w:line="90" w:lineRule="exact"/>
        <w:rPr>
          <w:sz w:val="20"/>
          <w:szCs w:val="20"/>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managed by one or more trustees or directors;</w:t>
      </w:r>
    </w:p>
    <w:p>
      <w:pPr>
        <w:spacing w:after="0" w:line="171"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issues transferable shares or transferable certificates to evidence its beneficial ownership;</w:t>
      </w:r>
    </w:p>
    <w:p>
      <w:pPr>
        <w:spacing w:after="0" w:line="171"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would be taxable as a domestic corporation, but for Sections 856 through 860 of the Code;</w:t>
      </w:r>
    </w:p>
    <w:p>
      <w:pPr>
        <w:spacing w:after="0" w:line="171"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not a financial institution or an insurance company within the meaning of certain provisions of the Code;</w:t>
      </w:r>
    </w:p>
    <w:p>
      <w:pPr>
        <w:spacing w:after="0" w:line="171"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beneficially owned by 100 or more persons;</w:t>
      </w:r>
    </w:p>
    <w:p>
      <w:pPr>
        <w:spacing w:after="0" w:line="171" w:lineRule="exact"/>
        <w:rPr>
          <w:rFonts w:ascii="Times New Roman" w:cs="Times New Roman" w:eastAsia="Times New Roman" w:hAnsi="Times New Roman"/>
          <w:sz w:val="14"/>
          <w:szCs w:val="14"/>
          <w:color w:val="auto"/>
        </w:rPr>
      </w:pPr>
    </w:p>
    <w:p>
      <w:pPr>
        <w:ind w:left="260" w:right="539" w:firstLine="6"/>
        <w:spacing w:after="0" w:line="278" w:lineRule="auto"/>
        <w:tabs>
          <w:tab w:leader="none" w:pos="45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50% in value of the outstanding stock of which is owned, actually or constructively, by five or fewer individuals, including certain specified entities, during the last half of each taxable year; and</w:t>
      </w:r>
    </w:p>
    <w:p>
      <w:pPr>
        <w:spacing w:after="0" w:line="125" w:lineRule="exact"/>
        <w:rPr>
          <w:rFonts w:ascii="Times New Roman" w:cs="Times New Roman" w:eastAsia="Times New Roman" w:hAnsi="Times New Roman"/>
          <w:sz w:val="14"/>
          <w:szCs w:val="14"/>
          <w:color w:val="auto"/>
        </w:rPr>
      </w:pPr>
    </w:p>
    <w:p>
      <w:pPr>
        <w:ind w:left="460" w:hanging="194"/>
        <w:spacing w:after="0"/>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meets other tests, described below, regarding the nature of its income and assets and the amount of its distributions.</w:t>
      </w:r>
    </w:p>
    <w:p>
      <w:pPr>
        <w:spacing w:after="0" w:line="171"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we have been organized and have operated in a manner that has allowed us, and will continue to allow us, to satisfy conditions</w:t>
      </w:r>
    </w:p>
    <w:p>
      <w:pPr>
        <w:spacing w:after="0" w:line="20" w:lineRule="exact"/>
        <w:rPr>
          <w:sz w:val="20"/>
          <w:szCs w:val="20"/>
          <w:color w:val="auto"/>
        </w:rPr>
      </w:pPr>
    </w:p>
    <w:p>
      <w:pPr>
        <w:ind w:left="260" w:right="319" w:firstLine="6"/>
        <w:spacing w:after="0" w:line="248" w:lineRule="auto"/>
        <w:tabs>
          <w:tab w:leader="none" w:pos="45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39" w:right="1440" w:bottom="1440" w:gutter="0" w:footer="0" w:header="0"/>
        </w:sectPr>
      </w:pPr>
    </w:p>
    <w:bookmarkStart w:id="90" w:name="page91"/>
    <w:bookmarkEnd w:id="90"/>
    <w:p>
      <w:pPr>
        <w:ind w:left="260" w:right="33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addition, we may not maintain our status as a REIT unless our taxable year is the calendar year. We have and will continue to have a calendar taxable year.</w:t>
      </w:r>
    </w:p>
    <w:p>
      <w:pPr>
        <w:spacing w:after="0" w:line="124"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Partnerships, Limited Liability Companies and Qualified REIT Subsidiaries</w:t>
      </w:r>
      <w:r>
        <w:rPr>
          <w:rFonts w:ascii="Times New Roman" w:cs="Times New Roman" w:eastAsia="Times New Roman" w:hAnsi="Times New Roman"/>
          <w:sz w:val="14"/>
          <w:szCs w:val="14"/>
          <w:color w:val="auto"/>
        </w:rPr>
        <w:t>. In the case of a REIT that is a partner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and its Subsidiary Partnerships and Limited Liability Companies.”</w:t>
      </w:r>
    </w:p>
    <w:p>
      <w:pPr>
        <w:spacing w:after="0" w:line="145"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We have control of our operating partnership and most of its subsidiary partnerships and intend to operate them in a manner consistent with the requirements for our qualification as a REIT. If we become a limited partner or non-managing member in any partnership and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45"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w:t>
      </w:r>
    </w:p>
    <w:p>
      <w:pPr>
        <w:spacing w:after="0" w:line="143"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Taxable REIT Subsidiaries</w:t>
      </w:r>
      <w:r>
        <w:rPr>
          <w:rFonts w:ascii="Times New Roman" w:cs="Times New Roman" w:eastAsia="Times New Roman" w:hAnsi="Times New Roman"/>
          <w:sz w:val="14"/>
          <w:szCs w:val="14"/>
          <w:color w:val="auto"/>
        </w:rPr>
        <w:t>. We, through our operating partnership, own interests in companies that have elected, together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39" w:right="1440" w:bottom="1440" w:gutter="0" w:footer="0" w:header="0"/>
        </w:sectPr>
      </w:pPr>
    </w:p>
    <w:bookmarkStart w:id="91" w:name="page92"/>
    <w:bookmarkEnd w:id="91"/>
    <w:p>
      <w:pPr>
        <w:ind w:left="26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43" w:lineRule="exact"/>
        <w:rPr>
          <w:sz w:val="20"/>
          <w:szCs w:val="20"/>
          <w:color w:val="auto"/>
        </w:rPr>
      </w:pPr>
    </w:p>
    <w:p>
      <w:pPr>
        <w:ind w:left="260" w:right="39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Ownership of Interests in Subsidiary REITs</w:t>
      </w:r>
      <w:r>
        <w:rPr>
          <w:rFonts w:ascii="Times New Roman" w:cs="Times New Roman" w:eastAsia="Times New Roman" w:hAnsi="Times New Roman"/>
          <w:sz w:val="13"/>
          <w:szCs w:val="13"/>
          <w:color w:val="auto"/>
        </w:rPr>
        <w:t>. We own and may acquire direct or indirect interests in one or more entities that have elected or will elect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25" w:lineRule="exact"/>
        <w:rPr>
          <w:sz w:val="20"/>
          <w:szCs w:val="20"/>
          <w:color w:val="auto"/>
        </w:rPr>
      </w:pPr>
    </w:p>
    <w:p>
      <w:pPr>
        <w:ind w:left="260" w:right="31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Income Tests</w:t>
      </w:r>
      <w:r>
        <w:rPr>
          <w:rFonts w:ascii="Times New Roman" w:cs="Times New Roman" w:eastAsia="Times New Roman" w:hAnsi="Times New Roman"/>
          <w:sz w:val="13"/>
          <w:szCs w:val="13"/>
          <w:color w:val="auto"/>
        </w:rPr>
        <w:t>. We must satisfy two gross income requirements annually to maintain our qualification as a REIT. First, in each taxable year we must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5" w:lineRule="exact"/>
        <w:rPr>
          <w:sz w:val="20"/>
          <w:szCs w:val="20"/>
          <w:color w:val="auto"/>
        </w:rPr>
      </w:pPr>
    </w:p>
    <w:p>
      <w:pPr>
        <w:ind w:left="260" w:right="779"/>
        <w:spacing w:after="0" w:line="255" w:lineRule="auto"/>
        <w:rPr>
          <w:sz w:val="20"/>
          <w:szCs w:val="20"/>
          <w:color w:val="auto"/>
        </w:rPr>
      </w:pPr>
      <w:r>
        <w:rPr>
          <w:rFonts w:ascii="Times New Roman" w:cs="Times New Roman" w:eastAsia="Times New Roman" w:hAnsi="Times New Roman"/>
          <w:sz w:val="14"/>
          <w:szCs w:val="14"/>
          <w:color w:val="auto"/>
        </w:rPr>
        <w:t>Rents we receive from a tenant will qualify as “rents from real property” for the purpose of satisfying the gross income requirements for a REIT described above only if all of the following conditions are met:</w:t>
      </w:r>
    </w:p>
    <w:p>
      <w:pPr>
        <w:spacing w:after="0" w:line="69" w:lineRule="exact"/>
        <w:rPr>
          <w:sz w:val="20"/>
          <w:szCs w:val="20"/>
          <w:color w:val="auto"/>
        </w:rPr>
      </w:pPr>
    </w:p>
    <w:p>
      <w:pPr>
        <w:ind w:left="1020" w:right="419" w:hanging="339"/>
        <w:spacing w:after="0" w:line="255"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69" w:lineRule="exact"/>
        <w:rPr>
          <w:rFonts w:ascii="Times New Roman" w:cs="Times New Roman" w:eastAsia="Times New Roman" w:hAnsi="Times New Roman"/>
          <w:sz w:val="14"/>
          <w:szCs w:val="14"/>
          <w:color w:val="auto"/>
        </w:rPr>
      </w:pPr>
    </w:p>
    <w:p>
      <w:pPr>
        <w:ind w:left="1020" w:right="279" w:hanging="339"/>
        <w:spacing w:after="0" w:line="251"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39" w:right="1440" w:bottom="1440" w:gutter="0" w:footer="0" w:header="0"/>
        </w:sectPr>
      </w:pPr>
    </w:p>
    <w:bookmarkStart w:id="92" w:name="page93"/>
    <w:bookmarkEnd w:id="92"/>
    <w:p>
      <w:pPr>
        <w:ind w:left="1020" w:right="4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69" w:lineRule="exact"/>
        <w:rPr>
          <w:sz w:val="20"/>
          <w:szCs w:val="20"/>
          <w:color w:val="auto"/>
        </w:rPr>
      </w:pPr>
    </w:p>
    <w:p>
      <w:pPr>
        <w:ind w:left="1020" w:right="319" w:hanging="339"/>
        <w:spacing w:after="0" w:line="283" w:lineRule="auto"/>
        <w:tabs>
          <w:tab w:leader="none" w:pos="10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53" w:lineRule="exact"/>
        <w:rPr>
          <w:rFonts w:ascii="Times New Roman" w:cs="Times New Roman" w:eastAsia="Times New Roman" w:hAnsi="Times New Roman"/>
          <w:sz w:val="13"/>
          <w:szCs w:val="13"/>
          <w:color w:val="auto"/>
        </w:rPr>
      </w:pPr>
    </w:p>
    <w:p>
      <w:pPr>
        <w:ind w:left="1020" w:right="299" w:hanging="339"/>
        <w:spacing w:after="0" w:line="252"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general maintenance of common areas, interconnection services and certain basic server services that do not require logical access to our tenants’ equipment.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44"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We generally do not intend, and as the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42" w:lineRule="exact"/>
        <w:rPr>
          <w:sz w:val="20"/>
          <w:szCs w:val="20"/>
          <w:color w:val="auto"/>
        </w:rPr>
      </w:pPr>
    </w:p>
    <w:p>
      <w:pPr>
        <w:ind w:left="260" w:right="299"/>
        <w:spacing w:after="0" w:line="283" w:lineRule="auto"/>
        <w:rPr>
          <w:sz w:val="20"/>
          <w:szCs w:val="20"/>
          <w:color w:val="auto"/>
        </w:rPr>
      </w:pPr>
      <w:r>
        <w:rPr>
          <w:rFonts w:ascii="Times New Roman" w:cs="Times New Roman" w:eastAsia="Times New Roman" w:hAnsi="Times New Roman"/>
          <w:sz w:val="13"/>
          <w:szCs w:val="13"/>
          <w:color w:val="auto"/>
        </w:rPr>
        <w:t>Income we receive that is attributable to the rental of parking spaces at the properties generally will constitute rents from real property for purposes of the gross income tests if certain services provided with respect to the parking spaces are performed by independent contractors from whom we derive no revenue, either directly or indirectly, or by a taxable REIT subsidiary, and certain other conditions are met. We believe that the income we receive that is attributable to parking spaces will meet these tests and, accordingly, will constitute rents from real property for purposes of the gross income tests.</w:t>
      </w:r>
    </w:p>
    <w:p>
      <w:pPr>
        <w:spacing w:after="0" w:line="126"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39" w:right="1440" w:bottom="1440" w:gutter="0" w:footer="0" w:header="0"/>
        </w:sectPr>
      </w:pPr>
    </w:p>
    <w:bookmarkStart w:id="93" w:name="page94"/>
    <w:bookmarkEnd w:id="93"/>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 purposes of the gross income tests. We intend to structure any hedging transactions in a manner that does not jeopardize our status as a REIT.</w:t>
      </w:r>
    </w:p>
    <w:p>
      <w:pPr>
        <w:spacing w:after="0" w:line="171"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We have investments in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42" w:lineRule="exact"/>
        <w:rPr>
          <w:sz w:val="20"/>
          <w:szCs w:val="20"/>
          <w:color w:val="auto"/>
        </w:rPr>
      </w:pPr>
    </w:p>
    <w:p>
      <w:pPr>
        <w:jc w:val="both"/>
        <w:ind w:left="260" w:right="279"/>
        <w:spacing w:after="0" w:line="262" w:lineRule="auto"/>
        <w:rPr>
          <w:sz w:val="20"/>
          <w:szCs w:val="20"/>
          <w:color w:val="auto"/>
        </w:rPr>
      </w:pPr>
      <w:r>
        <w:rPr>
          <w:rFonts w:ascii="Times New Roman" w:cs="Times New Roman" w:eastAsia="Times New Roman" w:hAnsi="Times New Roman"/>
          <w:sz w:val="14"/>
          <w:szCs w:val="14"/>
          <w:color w:val="auto"/>
        </w:rPr>
        <w:t>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w:t>
      </w:r>
    </w:p>
    <w:p>
      <w:pPr>
        <w:spacing w:after="0" w:line="138" w:lineRule="exact"/>
        <w:rPr>
          <w:sz w:val="20"/>
          <w:szCs w:val="20"/>
          <w:color w:val="auto"/>
        </w:rPr>
      </w:pPr>
    </w:p>
    <w:p>
      <w:pPr>
        <w:jc w:val="both"/>
        <w:ind w:left="260" w:right="499"/>
        <w:spacing w:after="0" w:line="262" w:lineRule="auto"/>
        <w:rPr>
          <w:sz w:val="20"/>
          <w:szCs w:val="20"/>
          <w:color w:val="auto"/>
        </w:rPr>
      </w:pPr>
      <w:r>
        <w:rPr>
          <w:rFonts w:ascii="Times New Roman" w:cs="Times New Roman" w:eastAsia="Times New Roman" w:hAnsi="Times New Roman"/>
          <w:sz w:val="14"/>
          <w:szCs w:val="14"/>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138"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53" w:lineRule="exact"/>
        <w:rPr>
          <w:sz w:val="20"/>
          <w:szCs w:val="20"/>
          <w:color w:val="auto"/>
        </w:rPr>
      </w:pPr>
    </w:p>
    <w:p>
      <w:pPr>
        <w:ind w:left="1020" w:right="359" w:hanging="339"/>
        <w:spacing w:after="0" w:line="262" w:lineRule="auto"/>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64"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these tests was due to reasonable cause and not due to willful neglect.</w:t>
      </w:r>
    </w:p>
    <w:p>
      <w:pPr>
        <w:spacing w:after="0" w:line="171" w:lineRule="exact"/>
        <w:rPr>
          <w:sz w:val="20"/>
          <w:szCs w:val="20"/>
          <w:color w:val="auto"/>
        </w:rPr>
      </w:pPr>
    </w:p>
    <w:p>
      <w:pPr>
        <w:ind w:left="260" w:right="319"/>
        <w:spacing w:after="0" w:line="253" w:lineRule="auto"/>
        <w:rPr>
          <w:sz w:val="20"/>
          <w:szCs w:val="20"/>
          <w:color w:val="auto"/>
        </w:rPr>
      </w:pPr>
      <w:r>
        <w:rPr>
          <w:rFonts w:ascii="Times New Roman" w:cs="Times New Roman" w:eastAsia="Times New Roman" w:hAnsi="Times New Roman"/>
          <w:sz w:val="14"/>
          <w:szCs w:val="14"/>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43"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Prohibited Transaction Income</w:t>
      </w:r>
      <w:r>
        <w:rPr>
          <w:rFonts w:ascii="Times New Roman" w:cs="Times New Roman" w:eastAsia="Times New Roman" w:hAnsi="Times New Roman"/>
          <w:sz w:val="14"/>
          <w:szCs w:val="14"/>
          <w:color w:val="auto"/>
        </w:rPr>
        <w:t>. Any gain that we realize on the sale of property (other than any foreclosure property) held as inventory or otherwise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 partnership or its subsidiary partnerships, to enter into any sales that are prohibited transactions. However, the IRS may successfully contend that some or all of the sales made by our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39" w:right="1440" w:bottom="1440" w:gutter="0" w:footer="0" w:header="0"/>
        </w:sectPr>
      </w:pPr>
    </w:p>
    <w:bookmarkStart w:id="94" w:name="page95"/>
    <w:bookmarkEnd w:id="94"/>
    <w:p>
      <w:pPr>
        <w:ind w:left="260" w:right="3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pacing w:after="0" w:line="136" w:lineRule="exact"/>
        <w:rPr>
          <w:sz w:val="20"/>
          <w:szCs w:val="20"/>
          <w:color w:val="auto"/>
        </w:rPr>
      </w:pPr>
    </w:p>
    <w:p>
      <w:pPr>
        <w:ind w:left="260" w:right="4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Penalty Tax</w:t>
      </w:r>
      <w:r>
        <w:rPr>
          <w:rFonts w:ascii="Times New Roman" w:cs="Times New Roman" w:eastAsia="Times New Roman" w:hAnsi="Times New Roman"/>
          <w:sz w:val="14"/>
          <w:szCs w:val="14"/>
          <w:color w:val="auto"/>
        </w:rPr>
        <w:t>. Any redetermined rents, redetermined deductions, excess interest or redetermined TRS service income we generate will be subject to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43" w:lineRule="exact"/>
        <w:rPr>
          <w:sz w:val="20"/>
          <w:szCs w:val="20"/>
          <w:color w:val="auto"/>
        </w:rPr>
      </w:pPr>
    </w:p>
    <w:p>
      <w:pPr>
        <w:ind w:left="260" w:right="439"/>
        <w:spacing w:after="0" w:line="279" w:lineRule="auto"/>
        <w:rPr>
          <w:sz w:val="20"/>
          <w:szCs w:val="20"/>
          <w:color w:val="auto"/>
        </w:rPr>
      </w:pPr>
      <w:r>
        <w:rPr>
          <w:rFonts w:ascii="Times New Roman" w:cs="Times New Roman" w:eastAsia="Times New Roman" w:hAnsi="Times New Roman"/>
          <w:sz w:val="13"/>
          <w:szCs w:val="13"/>
          <w:color w:val="auto"/>
        </w:rPr>
        <w:t>From time to time, certain of our taxable REIT subsidiaries provide services to our tenants. We believe we have set, and we intend to set in the future, any fees paid to our taxable REIT subsidiaries for such services at arm’s length rates, although the fees paid may not satisfy the safe 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126" w:lineRule="exact"/>
        <w:rPr>
          <w:sz w:val="20"/>
          <w:szCs w:val="20"/>
          <w:color w:val="auto"/>
        </w:rPr>
      </w:pPr>
    </w:p>
    <w:p>
      <w:pPr>
        <w:ind w:left="260" w:right="39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Asset Tests</w:t>
      </w:r>
      <w:r>
        <w:rPr>
          <w:rFonts w:ascii="Times New Roman" w:cs="Times New Roman" w:eastAsia="Times New Roman" w:hAnsi="Times New Roman"/>
          <w:sz w:val="14"/>
          <w:szCs w:val="14"/>
          <w:color w:val="auto"/>
        </w:rPr>
        <w:t>. At the close of each calendar quarter of our taxable year, we must also satisfy certain tests relating to the nature and diversification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46" w:lineRule="exact"/>
        <w:rPr>
          <w:sz w:val="20"/>
          <w:szCs w:val="20"/>
          <w:color w:val="auto"/>
        </w:rPr>
      </w:pPr>
    </w:p>
    <w:p>
      <w:pPr>
        <w:ind w:left="260" w:right="499"/>
        <w:spacing w:after="0" w:line="278" w:lineRule="auto"/>
        <w:rPr>
          <w:sz w:val="20"/>
          <w:szCs w:val="20"/>
          <w:color w:val="auto"/>
        </w:rPr>
      </w:pPr>
      <w:r>
        <w:rPr>
          <w:rFonts w:ascii="Times New Roman" w:cs="Times New Roman" w:eastAsia="Times New Roman" w:hAnsi="Times New Roman"/>
          <w:sz w:val="14"/>
          <w:szCs w:val="14"/>
          <w:color w:val="auto"/>
        </w:rPr>
        <w:t>Second, not more than 25% of the value of our total assets may be represented by securities (including securities of taxable REIT subsidiaries), other than those securities includable in the 75% asset test.</w:t>
      </w:r>
    </w:p>
    <w:p>
      <w:pPr>
        <w:spacing w:after="0" w:line="126"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45" w:lineRule="exact"/>
        <w:rPr>
          <w:sz w:val="20"/>
          <w:szCs w:val="20"/>
          <w:color w:val="auto"/>
        </w:rPr>
      </w:pPr>
    </w:p>
    <w:p>
      <w:pPr>
        <w:ind w:left="260" w:right="599"/>
        <w:spacing w:after="0" w:line="278" w:lineRule="auto"/>
        <w:rPr>
          <w:sz w:val="20"/>
          <w:szCs w:val="20"/>
          <w:color w:val="auto"/>
        </w:rPr>
      </w:pPr>
      <w:r>
        <w:rPr>
          <w:rFonts w:ascii="Times New Roman" w:cs="Times New Roman" w:eastAsia="Times New Roman" w:hAnsi="Times New Roman"/>
          <w:sz w:val="14"/>
          <w:szCs w:val="14"/>
          <w:color w:val="auto"/>
        </w:rPr>
        <w:t>Fourth, not more than 25% (20% for (i) taxable years beginning before July 31, 2008 and (ii) taxable years beginning after December 31, 2017 and before January 1, 2026) of the value of our total assets may be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39" w:right="1440" w:bottom="1440" w:gutter="0" w:footer="0" w:header="0"/>
        </w:sectPr>
      </w:pPr>
    </w:p>
    <w:bookmarkStart w:id="95" w:name="page96"/>
    <w:bookmarkEnd w:id="95"/>
    <w:p>
      <w:pPr>
        <w:ind w:left="260" w:right="43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represented by the securities of one or more taxable REIT subsidiaries. We, through our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(i) taxable years beginning before July 31, 2008 and</w:t>
      </w:r>
    </w:p>
    <w:p>
      <w:pPr>
        <w:spacing w:after="0" w:line="2" w:lineRule="exact"/>
        <w:rPr>
          <w:sz w:val="20"/>
          <w:szCs w:val="20"/>
          <w:color w:val="auto"/>
        </w:rPr>
      </w:pPr>
    </w:p>
    <w:p>
      <w:pPr>
        <w:ind w:left="260" w:right="359" w:firstLine="6"/>
        <w:spacing w:after="0" w:line="251" w:lineRule="auto"/>
        <w:tabs>
          <w:tab w:leader="none" w:pos="464"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taxable years beginning after December 31, 2017 and before January 1, 2026) of the aggregate value of our gross assets. We generally do not obtain independent appraisals to support these conclusions. In addition, there can be no assurance that the IRS will not disagree with our determinations of value.</w:t>
      </w:r>
    </w:p>
    <w:p>
      <w:pPr>
        <w:spacing w:after="0" w:line="145" w:lineRule="exact"/>
        <w:rPr>
          <w:sz w:val="20"/>
          <w:szCs w:val="20"/>
          <w:color w:val="auto"/>
        </w:rPr>
      </w:pPr>
    </w:p>
    <w:p>
      <w:pPr>
        <w:ind w:left="260" w:right="539"/>
        <w:spacing w:after="0" w:line="262" w:lineRule="auto"/>
        <w:rPr>
          <w:sz w:val="20"/>
          <w:szCs w:val="20"/>
          <w:color w:val="auto"/>
        </w:rPr>
      </w:pPr>
      <w:r>
        <w:rPr>
          <w:rFonts w:ascii="Times New Roman" w:cs="Times New Roman" w:eastAsia="Times New Roman" w:hAnsi="Times New Roman"/>
          <w:sz w:val="14"/>
          <w:szCs w:val="14"/>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38"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45"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de minimis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45" w:lineRule="exact"/>
        <w:rPr>
          <w:sz w:val="20"/>
          <w:szCs w:val="20"/>
          <w:color w:val="auto"/>
        </w:rPr>
      </w:pPr>
    </w:p>
    <w:p>
      <w:pPr>
        <w:ind w:left="260" w:right="439"/>
        <w:spacing w:after="0" w:line="257" w:lineRule="auto"/>
        <w:rPr>
          <w:sz w:val="20"/>
          <w:szCs w:val="20"/>
          <w:color w:val="auto"/>
        </w:rPr>
      </w:pPr>
      <w:r>
        <w:rPr>
          <w:rFonts w:ascii="Times New Roman" w:cs="Times New Roman" w:eastAsia="Times New Roman" w:hAnsi="Times New Roman"/>
          <w:sz w:val="14"/>
          <w:szCs w:val="14"/>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39" w:right="1440" w:bottom="1440" w:gutter="0" w:footer="0" w:header="0"/>
        </w:sectPr>
      </w:pPr>
    </w:p>
    <w:bookmarkStart w:id="96" w:name="page97"/>
    <w:bookmarkEnd w:id="96"/>
    <w:p>
      <w:pPr>
        <w:ind w:left="260" w:right="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Annual Distribution Requirements</w:t>
      </w:r>
      <w:r>
        <w:rPr>
          <w:rFonts w:ascii="Times New Roman" w:cs="Times New Roman" w:eastAsia="Times New Roman" w:hAnsi="Times New Roman"/>
          <w:sz w:val="14"/>
          <w:szCs w:val="14"/>
          <w:color w:val="auto"/>
        </w:rPr>
        <w:t>. To maintain our qualification as a REIT, we are required to distribute dividends, other than capital gain dividends,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our stockholders each year in an amount at least equal to the sum of:</w:t>
      </w:r>
    </w:p>
    <w:p>
      <w:pPr>
        <w:spacing w:after="0" w:line="51" w:lineRule="exact"/>
        <w:rPr>
          <w:sz w:val="20"/>
          <w:szCs w:val="20"/>
          <w:color w:val="auto"/>
        </w:rPr>
      </w:pPr>
    </w:p>
    <w:p>
      <w:pPr>
        <w:ind w:left="1020" w:hanging="339"/>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“REIT taxable income”;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after-tax net income, if any, from foreclosure property; minus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sum of certain items of non-cash income over 5% of our “REIT taxable income.”</w:t>
      </w:r>
    </w:p>
    <w:p>
      <w:pPr>
        <w:spacing w:after="0" w:line="171" w:lineRule="exact"/>
        <w:rPr>
          <w:sz w:val="20"/>
          <w:szCs w:val="20"/>
          <w:color w:val="auto"/>
        </w:rPr>
      </w:pPr>
    </w:p>
    <w:p>
      <w:pPr>
        <w:ind w:left="260" w:right="559"/>
        <w:spacing w:after="0" w:line="262" w:lineRule="auto"/>
        <w:rPr>
          <w:sz w:val="20"/>
          <w:szCs w:val="20"/>
          <w:color w:val="auto"/>
        </w:rPr>
      </w:pPr>
      <w:r>
        <w:rPr>
          <w:rFonts w:ascii="Times New Roman" w:cs="Times New Roman" w:eastAsia="Times New Roman" w:hAnsi="Times New Roman"/>
          <w:sz w:val="14"/>
          <w:szCs w:val="14"/>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38" w:lineRule="exact"/>
        <w:rPr>
          <w:sz w:val="20"/>
          <w:szCs w:val="20"/>
          <w:color w:val="auto"/>
        </w:rPr>
      </w:pPr>
    </w:p>
    <w:p>
      <w:pPr>
        <w:ind w:left="260" w:right="319"/>
        <w:spacing w:after="0" w:line="257" w:lineRule="auto"/>
        <w:rPr>
          <w:sz w:val="20"/>
          <w:szCs w:val="20"/>
          <w:color w:val="auto"/>
        </w:rPr>
      </w:pPr>
      <w:r>
        <w:rPr>
          <w:rFonts w:ascii="Times New Roman" w:cs="Times New Roman" w:eastAsia="Times New Roman" w:hAnsi="Times New Roman"/>
          <w:sz w:val="14"/>
          <w:szCs w:val="14"/>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42"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31" w:lineRule="exact"/>
        <w:rPr>
          <w:sz w:val="20"/>
          <w:szCs w:val="20"/>
          <w:color w:val="auto"/>
        </w:rPr>
      </w:pPr>
    </w:p>
    <w:p>
      <w:pPr>
        <w:ind w:left="260" w:right="299"/>
        <w:spacing w:after="0" w:line="249" w:lineRule="auto"/>
        <w:rPr>
          <w:sz w:val="20"/>
          <w:szCs w:val="20"/>
          <w:color w:val="auto"/>
        </w:rPr>
      </w:pPr>
      <w:r>
        <w:rPr>
          <w:rFonts w:ascii="Times New Roman" w:cs="Times New Roman" w:eastAsia="Times New Roman" w:hAnsi="Times New Roman"/>
          <w:sz w:val="14"/>
          <w:szCs w:val="14"/>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us, as the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37" w:right="1440" w:bottom="1440" w:gutter="0" w:footer="0" w:header="0"/>
        </w:sectPr>
      </w:pPr>
    </w:p>
    <w:bookmarkStart w:id="97" w:name="page98"/>
    <w:bookmarkEnd w:id="97"/>
    <w:p>
      <w:pPr>
        <w:ind w:left="260" w:right="2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46" w:lineRule="exact"/>
        <w:rPr>
          <w:sz w:val="20"/>
          <w:szCs w:val="20"/>
          <w:color w:val="auto"/>
        </w:rPr>
      </w:pPr>
    </w:p>
    <w:p>
      <w:pPr>
        <w:ind w:left="260" w:right="299"/>
        <w:spacing w:after="0" w:line="253" w:lineRule="auto"/>
        <w:rPr>
          <w:sz w:val="20"/>
          <w:szCs w:val="20"/>
          <w:color w:val="auto"/>
        </w:rPr>
      </w:pPr>
      <w:r>
        <w:rPr>
          <w:rFonts w:ascii="Times New Roman" w:cs="Times New Roman" w:eastAsia="Times New Roman" w:hAnsi="Times New Roman"/>
          <w:sz w:val="14"/>
          <w:szCs w:val="14"/>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45" w:lineRule="exact"/>
        <w:rPr>
          <w:sz w:val="20"/>
          <w:szCs w:val="20"/>
          <w:color w:val="auto"/>
        </w:rPr>
      </w:pPr>
    </w:p>
    <w:p>
      <w:pPr>
        <w:ind w:left="260" w:right="419"/>
        <w:spacing w:after="0" w:line="257" w:lineRule="auto"/>
        <w:rPr>
          <w:sz w:val="20"/>
          <w:szCs w:val="20"/>
          <w:color w:val="auto"/>
        </w:rPr>
      </w:pPr>
      <w:r>
        <w:rPr>
          <w:rFonts w:ascii="Times New Roman" w:cs="Times New Roman" w:eastAsia="Times New Roman" w:hAnsi="Times New Roman"/>
          <w:sz w:val="14"/>
          <w:szCs w:val="14"/>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42" w:lineRule="exact"/>
        <w:rPr>
          <w:sz w:val="20"/>
          <w:szCs w:val="20"/>
          <w:color w:val="auto"/>
        </w:rPr>
      </w:pPr>
    </w:p>
    <w:p>
      <w:pPr>
        <w:ind w:left="260" w:right="359"/>
        <w:spacing w:after="0" w:line="262" w:lineRule="auto"/>
        <w:rPr>
          <w:sz w:val="20"/>
          <w:szCs w:val="20"/>
          <w:color w:val="auto"/>
        </w:rPr>
      </w:pPr>
      <w:r>
        <w:rPr>
          <w:rFonts w:ascii="Times New Roman" w:cs="Times New Roman" w:eastAsia="Times New Roman" w:hAnsi="Times New Roman"/>
          <w:sz w:val="14"/>
          <w:szCs w:val="14"/>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36" w:lineRule="exact"/>
        <w:rPr>
          <w:sz w:val="20"/>
          <w:szCs w:val="20"/>
          <w:color w:val="auto"/>
        </w:rPr>
      </w:pPr>
    </w:p>
    <w:p>
      <w:pPr>
        <w:ind w:left="260" w:right="29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Like-Kind Exchanges</w:t>
      </w:r>
      <w:r>
        <w:rPr>
          <w:rFonts w:ascii="Times New Roman" w:cs="Times New Roman" w:eastAsia="Times New Roman" w:hAnsi="Times New Roman"/>
          <w:sz w:val="14"/>
          <w:szCs w:val="14"/>
          <w:color w:val="auto"/>
        </w:rPr>
        <w:t>. We may dispose of real property that is not held primarily for sale in transactions intended to qualify as like-kind exchanges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39"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Tax Liabilities and Attributes Inherited in Connection with Acquisitions</w:t>
      </w:r>
      <w:r>
        <w:rPr>
          <w:rFonts w:ascii="Times New Roman" w:cs="Times New Roman" w:eastAsia="Times New Roman" w:hAnsi="Times New Roman"/>
          <w:sz w:val="14"/>
          <w:szCs w:val="14"/>
          <w:color w:val="auto"/>
        </w:rPr>
        <w:t>. From time to time, we or our operating partnership may acquire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44"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39" w:right="1440" w:bottom="1440" w:gutter="0" w:footer="0" w:header="0"/>
        </w:sectPr>
      </w:pPr>
    </w:p>
    <w:bookmarkStart w:id="98" w:name="page99"/>
    <w:bookmarkEnd w:id="98"/>
    <w:p>
      <w:pPr>
        <w:ind w:left="26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45" w:lineRule="exact"/>
        <w:rPr>
          <w:sz w:val="20"/>
          <w:szCs w:val="20"/>
          <w:color w:val="auto"/>
        </w:rPr>
      </w:pPr>
    </w:p>
    <w:p>
      <w:pPr>
        <w:ind w:left="260" w:right="279"/>
        <w:spacing w:after="0" w:line="257" w:lineRule="auto"/>
        <w:rPr>
          <w:sz w:val="20"/>
          <w:szCs w:val="20"/>
          <w:color w:val="auto"/>
        </w:rPr>
      </w:pPr>
      <w:r>
        <w:rPr>
          <w:rFonts w:ascii="Times New Roman" w:cs="Times New Roman" w:eastAsia="Times New Roman" w:hAnsi="Times New Roman"/>
          <w:sz w:val="14"/>
          <w:szCs w:val="14"/>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40"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Failure to Qualify</w:t>
      </w:r>
      <w:r>
        <w:rPr>
          <w:rFonts w:ascii="Times New Roman" w:cs="Times New Roman" w:eastAsia="Times New Roman" w:hAnsi="Times New Roman"/>
          <w:sz w:val="14"/>
          <w:szCs w:val="14"/>
          <w:color w:val="auto"/>
        </w:rPr>
        <w:t>. If we discover a violation of a provision of the Code that would result in our failure to qualify as a REIT, certain specified cure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Tax Aspects of Our Operating Partnership and its Subsidiary Partnerships and Limited Liability Companies</w:t>
      </w:r>
    </w:p>
    <w:p>
      <w:pPr>
        <w:spacing w:after="0" w:line="88"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All of our investments are held indirectly through our operating partnership. In addition, our operating partnership holds certain of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39" w:right="1440" w:bottom="1440" w:gutter="0" w:footer="0" w:header="0"/>
        </w:sectPr>
      </w:pPr>
    </w:p>
    <w:bookmarkStart w:id="99" w:name="page100"/>
    <w:bookmarkEnd w:id="99"/>
    <w:p>
      <w:pPr>
        <w:ind w:left="260" w:right="5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36"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Entity Classification</w:t>
      </w:r>
      <w:r>
        <w:rPr>
          <w:rFonts w:ascii="Times New Roman" w:cs="Times New Roman" w:eastAsia="Times New Roman" w:hAnsi="Times New Roman"/>
          <w:sz w:val="14"/>
          <w:szCs w:val="14"/>
          <w:color w:val="auto"/>
        </w:rPr>
        <w:t>. Our interests in our operating partnership and its subsidiary partnerships and limited liability companies involve special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will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partnership or any of its subsidiary partnerships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 We believe our operating partnership and each of its subsidiary partnerships and limited liability companies are and will continue to be treated as partnerships or disregarded entities for U.S. federal income tax purposes.</w:t>
      </w:r>
    </w:p>
    <w:p>
      <w:pPr>
        <w:spacing w:after="0" w:line="146"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Allocations of Income, Gain, Loss and Deduction</w:t>
      </w:r>
      <w:r>
        <w:rPr>
          <w:rFonts w:ascii="Times New Roman" w:cs="Times New Roman" w:eastAsia="Times New Roman" w:hAnsi="Times New Roman"/>
          <w:sz w:val="14"/>
          <w:szCs w:val="14"/>
          <w:color w:val="auto"/>
        </w:rPr>
        <w:t>. The operating partnership agreement generally provides that items of operating income will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allocated to us to the extent of the accrued preferred return on our preferred units and then to the holders of common units in proportion to the number of common units held by each such unitholder. Items of operating loss will generally be allocated first to the holders of common units in proportion to the number of common units held, and then to us with respect to our preferred units. Certain limited partners may, from time to time, guarantee debt of our operating partnership, indirectly through an agreement to make capital contributions to our operating partnership under limited circumstances. As a result of these guaranties or contribution agreements,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 In addition, the partnership agreement further provides that holders of long-term incentive units, class C units and class D units may be entitled to receive special allocations of gain in the event of a sale or hypothetical sale of assets of our operating partnership prior to the allocation of gain to holders of common units. This special allocation of gain is intended to enable the holders of long-term incentive units, class C units and class D units to convert such units into common units.</w:t>
      </w:r>
    </w:p>
    <w:p>
      <w:pPr>
        <w:spacing w:after="0" w:line="145"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40" w:lineRule="exact"/>
        <w:rPr>
          <w:sz w:val="20"/>
          <w:szCs w:val="20"/>
          <w:color w:val="auto"/>
        </w:rPr>
      </w:pPr>
    </w:p>
    <w:p>
      <w:pPr>
        <w:ind w:left="260" w:right="3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Tax Allocations With Respect to the Properties</w:t>
      </w:r>
      <w:r>
        <w:rPr>
          <w:rFonts w:ascii="Times New Roman" w:cs="Times New Roman" w:eastAsia="Times New Roman" w:hAnsi="Times New Roman"/>
          <w:sz w:val="14"/>
          <w:szCs w:val="14"/>
          <w:color w:val="auto"/>
        </w:rPr>
        <w:t>. Under Section 704(c) of the Code, items of income, gain, loss and deduction attributable to appreciated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depreciated property that is contributed to a partnership in exchange for an interest in the partnership must be allocated in a manner so that the contributing partner is charged with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39" w:right="1440" w:bottom="1440" w:gutter="0" w:footer="0" w:header="0"/>
        </w:sectPr>
      </w:pPr>
    </w:p>
    <w:bookmarkStart w:id="100" w:name="page101"/>
    <w:bookmarkEnd w:id="100"/>
    <w:p>
      <w:pPr>
        <w:ind w:left="260" w:right="39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42" w:lineRule="exact"/>
        <w:rPr>
          <w:sz w:val="20"/>
          <w:szCs w:val="20"/>
          <w:color w:val="auto"/>
        </w:rPr>
      </w:pPr>
    </w:p>
    <w:p>
      <w:pPr>
        <w:ind w:left="260" w:right="319"/>
        <w:spacing w:after="0" w:line="271" w:lineRule="auto"/>
        <w:rPr>
          <w:sz w:val="20"/>
          <w:szCs w:val="20"/>
          <w:color w:val="auto"/>
        </w:rPr>
      </w:pPr>
      <w:r>
        <w:rPr>
          <w:rFonts w:ascii="Times New Roman" w:cs="Times New Roman" w:eastAsia="Times New Roman" w:hAnsi="Times New Roman"/>
          <w:sz w:val="13"/>
          <w:szCs w:val="13"/>
          <w:color w:val="auto"/>
        </w:rPr>
        <w:t>Appreciated property was contributed to our operating partnership in exchange for interests in our operating partnership in connection with the formation transactions. In addition, our operating partnership may, from time to time, acquire interests in property in exchange for interests in our operating partnership. In that case, the tax basis of these property interests generally will carry over to the operating partnership, notwithstanding their different book (i.e.,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(i) could cause us to be allocated lower amounts of depreciation deductions for tax purposes than would be allocated to us if any of the contributed properties were to have a tax basis equal to its respective fair market value at the time of the contribution and (ii)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(ii)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33" w:lineRule="exact"/>
        <w:rPr>
          <w:sz w:val="20"/>
          <w:szCs w:val="20"/>
          <w:color w:val="auto"/>
        </w:rPr>
      </w:pPr>
    </w:p>
    <w:p>
      <w:pPr>
        <w:ind w:left="260" w:right="1059"/>
        <w:spacing w:after="0" w:line="278" w:lineRule="auto"/>
        <w:rPr>
          <w:sz w:val="20"/>
          <w:szCs w:val="20"/>
          <w:color w:val="auto"/>
        </w:rPr>
      </w:pPr>
      <w:r>
        <w:rPr>
          <w:rFonts w:ascii="Times New Roman" w:cs="Times New Roman" w:eastAsia="Times New Roman" w:hAnsi="Times New Roman"/>
          <w:sz w:val="14"/>
          <w:szCs w:val="14"/>
          <w:color w:val="auto"/>
        </w:rPr>
        <w:t>Any property acquired by our operating partnership in a taxable transaction will initially have a tax basis equal to its fair market value, and Section 704(c) of the Code generally will not apply.</w:t>
      </w:r>
    </w:p>
    <w:p>
      <w:pPr>
        <w:spacing w:after="0" w:line="124" w:lineRule="exact"/>
        <w:rPr>
          <w:sz w:val="20"/>
          <w:szCs w:val="20"/>
          <w:color w:val="auto"/>
        </w:rPr>
      </w:pPr>
    </w:p>
    <w:p>
      <w:pPr>
        <w:ind w:left="260" w:right="41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Partnership Audit Rules</w:t>
      </w:r>
      <w:r>
        <w:rPr>
          <w:rFonts w:ascii="Times New Roman" w:cs="Times New Roman" w:eastAsia="Times New Roman" w:hAnsi="Times New Roman"/>
          <w:sz w:val="14"/>
          <w:szCs w:val="14"/>
          <w:color w:val="auto"/>
        </w:rPr>
        <w:t>. Under current tax law, subject to certain exceptions, any audit adjustment to items of income, gain, loss, deduction, or credit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Holders of Our Capital Stock and the Operating Partnership’s Debt Securities</w:t>
      </w:r>
    </w:p>
    <w:p>
      <w:pPr>
        <w:spacing w:after="0" w:line="90"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to you of purchasing, owning and disposing of our capital stock or the operating partnership’s debt securities. This discussion is limited to holders who hold shares of our capital stock or the operating partnership’s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73" w:lineRule="exact"/>
        <w:rPr>
          <w:sz w:val="20"/>
          <w:szCs w:val="20"/>
          <w:color w:val="auto"/>
        </w:rPr>
      </w:pPr>
    </w:p>
    <w:p>
      <w:pPr>
        <w:ind w:left="1020" w:hanging="339"/>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39" w:right="1440" w:bottom="1440" w:gutter="0" w:footer="0" w:header="0"/>
        </w:sectPr>
      </w:pPr>
    </w:p>
    <w:bookmarkStart w:id="101" w:name="page102"/>
    <w:bookmarkEnd w:id="101"/>
    <w:p>
      <w:pPr>
        <w:ind w:left="1020" w:right="459" w:hanging="339"/>
        <w:spacing w:after="0" w:line="278" w:lineRule="auto"/>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 corporations, partnerships or other entities or arrangements treated as partnerships for U.S. federal income tax purposes (and investors therein);</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capital stock pursuant to the exercise of any employee stock option or otherwise as compensation;</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REITs or regulated investment companies;</w:t>
      </w:r>
    </w:p>
    <w:p>
      <w:pPr>
        <w:spacing w:after="0" w:line="98" w:lineRule="exact"/>
        <w:rPr>
          <w:rFonts w:ascii="Times New Roman" w:cs="Times New Roman" w:eastAsia="Times New Roman" w:hAnsi="Times New Roman"/>
          <w:sz w:val="14"/>
          <w:szCs w:val="14"/>
          <w:color w:val="auto"/>
        </w:rPr>
      </w:pPr>
    </w:p>
    <w:p>
      <w:pPr>
        <w:ind w:left="1020" w:right="519" w:hanging="339"/>
        <w:spacing w:after="0" w:line="278" w:lineRule="auto"/>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8" w:lineRule="exact"/>
        <w:rPr>
          <w:rFonts w:ascii="Times New Roman" w:cs="Times New Roman" w:eastAsia="Times New Roman" w:hAnsi="Times New Roman"/>
          <w:sz w:val="14"/>
          <w:szCs w:val="14"/>
          <w:color w:val="auto"/>
        </w:rPr>
      </w:pPr>
    </w:p>
    <w:p>
      <w:pPr>
        <w:ind w:left="1020" w:right="419" w:hanging="339"/>
        <w:spacing w:after="0" w:line="278" w:lineRule="auto"/>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capital stock or the operating partnership’s debt securities as part of a hedge, straddle or other risk reduction strategy or as part of a conversion transaction or other integrated investment;</w:t>
      </w:r>
    </w:p>
    <w:p>
      <w:pPr>
        <w:spacing w:after="0" w:line="52" w:lineRule="exact"/>
        <w:rPr>
          <w:rFonts w:ascii="Times New Roman" w:cs="Times New Roman" w:eastAsia="Times New Roman" w:hAnsi="Times New Roman"/>
          <w:sz w:val="14"/>
          <w:szCs w:val="14"/>
          <w:color w:val="auto"/>
        </w:rPr>
      </w:pPr>
    </w:p>
    <w:p>
      <w:pPr>
        <w:ind w:left="1020" w:right="559" w:hanging="339"/>
        <w:spacing w:after="0" w:line="278" w:lineRule="auto"/>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capital stock or the operating partnership’s debt securities being taken into account in an “applicable financial statement” (as defined in the Code);</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capital stock or the operating partnership’s debt securities under the constructive sale provisions of the Code;</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253"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THE OPERATING PARTNERSHIP’S DEBT SECURITIES ARISING UNDER OTHER U.S. FEDERAL TAX LAWS (INCLUDING ESTATE AND GIFT TAX LAWS), UNDER THE LAWS OF ANY STATE, LOCAL OR NON-U.S. TAXING JURISDICTION OR UNDER ANY APPLICABLE TAX TREATY.</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For purposes of this discussion, a “U.S. holder” is a beneficial owner of shares of our capital stock or the operating partnership’s debt securities that, for</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U.S. federal income tax purposes, is or is treated as:</w:t>
      </w:r>
    </w:p>
    <w:p>
      <w:pPr>
        <w:spacing w:after="0" w:line="84" w:lineRule="exact"/>
        <w:rPr>
          <w:sz w:val="20"/>
          <w:szCs w:val="20"/>
          <w:color w:val="auto"/>
        </w:rPr>
      </w:pPr>
    </w:p>
    <w:p>
      <w:pPr>
        <w:ind w:left="1020" w:hanging="339"/>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8" w:lineRule="exact"/>
        <w:rPr>
          <w:rFonts w:ascii="Times New Roman" w:cs="Times New Roman" w:eastAsia="Times New Roman" w:hAnsi="Times New Roman"/>
          <w:sz w:val="14"/>
          <w:szCs w:val="14"/>
          <w:color w:val="auto"/>
        </w:rPr>
      </w:pPr>
    </w:p>
    <w:p>
      <w:pPr>
        <w:ind w:left="1020" w:right="539" w:hanging="339"/>
        <w:spacing w:after="0" w:line="262"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38" w:lineRule="exact"/>
        <w:rPr>
          <w:sz w:val="20"/>
          <w:szCs w:val="20"/>
          <w:color w:val="auto"/>
        </w:rPr>
      </w:pPr>
    </w:p>
    <w:p>
      <w:pPr>
        <w:ind w:left="260" w:right="579"/>
        <w:spacing w:after="0" w:line="278"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capital stock or the operating partnership’s debt securities that is neither a U.S. holder nor an entity treated as a partnership for U.S. federal income tax purposes.</w:t>
      </w:r>
    </w:p>
    <w:p>
      <w:pPr>
        <w:spacing w:after="0" w:line="126"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shares of our capital stock or the operating partnership’s debt securities, the tax treatment of a partner in the partnership generally will depend 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39" w:right="1440" w:bottom="1440" w:gutter="0" w:footer="0" w:header="0"/>
        </w:sectPr>
      </w:pPr>
    </w:p>
    <w:bookmarkStart w:id="102" w:name="page103"/>
    <w:bookmarkEnd w:id="102"/>
    <w:p>
      <w:pPr>
        <w:ind w:left="260" w:right="2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status of the partner, the activities of the partnership and certain determinations made at the partner level. Accordingly, partnerships holding shares of our capital stock or the operating partnership’s debt securities and the partners in such partnerships should consult their tax advisors regarding the U.S. federal income tax consequences to them.</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Taxation of Taxable U.S. Holders of Our Capital Stock</w:t>
      </w:r>
    </w:p>
    <w:p>
      <w:pPr>
        <w:spacing w:after="0" w:line="88" w:lineRule="exact"/>
        <w:rPr>
          <w:sz w:val="20"/>
          <w:szCs w:val="20"/>
          <w:color w:val="auto"/>
        </w:rPr>
      </w:pPr>
    </w:p>
    <w:p>
      <w:pPr>
        <w:ind w:left="260" w:right="2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out of our current or accumulated earnings and profits will be treated as dividends and, other than with respect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and then to our outstanding common stock.</w:t>
      </w:r>
    </w:p>
    <w:p>
      <w:pPr>
        <w:spacing w:after="0" w:line="144"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44"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48"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w:t>
      </w:r>
      <w:r>
        <w:rPr>
          <w:rFonts w:ascii="Times New Roman" w:cs="Times New Roman" w:eastAsia="Times New Roman" w:hAnsi="Times New Roman"/>
          <w:sz w:val="14"/>
          <w:szCs w:val="14"/>
          <w:color w:val="auto"/>
        </w:rPr>
        <w:t>. Dividends that we properly designate as capital gain dividends will generally be taxable to our taxable U.S. holders as a gain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39" w:right="1440" w:bottom="1440" w:gutter="0" w:footer="0" w:header="0"/>
        </w:sectPr>
      </w:pPr>
    </w:p>
    <w:bookmarkStart w:id="103" w:name="page104"/>
    <w:bookmarkEnd w:id="103"/>
    <w:p>
      <w:pPr>
        <w:ind w:left="260" w:right="29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26" w:lineRule="exact"/>
        <w:rPr>
          <w:sz w:val="20"/>
          <w:szCs w:val="20"/>
          <w:color w:val="auto"/>
        </w:rPr>
      </w:pPr>
    </w:p>
    <w:p>
      <w:pPr>
        <w:jc w:val="both"/>
        <w:ind w:left="260" w:right="4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We may elect to retain, rather than distribute as a capital gain dividend, all or a portion of our net capital gains. If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this election, we would pay tax on our retained net capital gains. In addition, to the extent we so elect, our earnings and profits (determined for U.S. federal income tax purposes) would be adjusted accordingly, and a U.S. holder generally would:</w:t>
      </w:r>
    </w:p>
    <w:p>
      <w:pPr>
        <w:spacing w:after="0" w:line="63" w:lineRule="exact"/>
        <w:rPr>
          <w:sz w:val="20"/>
          <w:szCs w:val="20"/>
          <w:color w:val="auto"/>
        </w:rPr>
      </w:pPr>
    </w:p>
    <w:p>
      <w:pPr>
        <w:ind w:left="1020" w:right="379" w:hanging="339"/>
        <w:spacing w:after="0" w:line="278" w:lineRule="auto"/>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52" w:lineRule="exact"/>
        <w:rPr>
          <w:rFonts w:ascii="Times New Roman" w:cs="Times New Roman" w:eastAsia="Times New Roman" w:hAnsi="Times New Roman"/>
          <w:sz w:val="14"/>
          <w:szCs w:val="14"/>
          <w:color w:val="auto"/>
        </w:rPr>
      </w:pPr>
    </w:p>
    <w:p>
      <w:pPr>
        <w:ind w:left="1020" w:right="359" w:hanging="339"/>
        <w:spacing w:after="0" w:line="278" w:lineRule="auto"/>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deemed to have paid its share of the capital gains tax imposed on us on the designated amounts included in the U.S. holder’s income as long-term capital gain;</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 credit or refund for the amount of tax deemed paid by it;</w:t>
      </w:r>
    </w:p>
    <w:p>
      <w:pPr>
        <w:spacing w:after="0" w:line="98" w:lineRule="exact"/>
        <w:rPr>
          <w:rFonts w:ascii="Times New Roman" w:cs="Times New Roman" w:eastAsia="Times New Roman" w:hAnsi="Times New Roman"/>
          <w:sz w:val="14"/>
          <w:szCs w:val="14"/>
          <w:color w:val="auto"/>
        </w:rPr>
      </w:pPr>
    </w:p>
    <w:p>
      <w:pPr>
        <w:ind w:left="1020" w:right="539" w:hanging="339"/>
        <w:spacing w:after="0" w:line="278" w:lineRule="auto"/>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adjusted tax basis of its capital stock by the difference between the amount of includable gains and the tax deemed to have been paid by it; and</w:t>
      </w:r>
    </w:p>
    <w:p>
      <w:pPr>
        <w:spacing w:after="0" w:line="52" w:lineRule="exact"/>
        <w:rPr>
          <w:rFonts w:ascii="Times New Roman" w:cs="Times New Roman" w:eastAsia="Times New Roman" w:hAnsi="Times New Roman"/>
          <w:sz w:val="14"/>
          <w:szCs w:val="14"/>
          <w:color w:val="auto"/>
        </w:rPr>
      </w:pPr>
    </w:p>
    <w:p>
      <w:pPr>
        <w:ind w:left="1020" w:right="479" w:hanging="339"/>
        <w:spacing w:after="0" w:line="278" w:lineRule="auto"/>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U.S. holder that is a corporation, appropriately adjust its earnings and profits for the retained capital gains in accordance with Treasury Regulations to be promulgated by the IRS.</w:t>
      </w:r>
    </w:p>
    <w:p>
      <w:pPr>
        <w:spacing w:after="0" w:line="124" w:lineRule="exact"/>
        <w:rPr>
          <w:sz w:val="20"/>
          <w:szCs w:val="20"/>
          <w:color w:val="auto"/>
        </w:rPr>
      </w:pPr>
    </w:p>
    <w:p>
      <w:pPr>
        <w:ind w:left="260" w:right="29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Passive Activity Losses and Investment Interest Limitations</w:t>
      </w:r>
      <w:r>
        <w:rPr>
          <w:rFonts w:ascii="Times New Roman" w:cs="Times New Roman" w:eastAsia="Times New Roman" w:hAnsi="Times New Roman"/>
          <w:sz w:val="13"/>
          <w:szCs w:val="13"/>
          <w:color w:val="auto"/>
        </w:rPr>
        <w:t>. Distributions we make and gain arising from the sale or exchange of our capital stock by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28" w:lineRule="exact"/>
        <w:rPr>
          <w:sz w:val="20"/>
          <w:szCs w:val="20"/>
          <w:color w:val="auto"/>
        </w:rPr>
      </w:pPr>
    </w:p>
    <w:p>
      <w:pPr>
        <w:ind w:left="260" w:right="31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Dispositions of Our Capital Stock</w:t>
      </w:r>
      <w:r>
        <w:rPr>
          <w:rFonts w:ascii="Times New Roman" w:cs="Times New Roman" w:eastAsia="Times New Roman" w:hAnsi="Times New Roman"/>
          <w:sz w:val="13"/>
          <w:szCs w:val="13"/>
          <w:color w:val="auto"/>
        </w:rPr>
        <w:t>. Except as described below under “—Taxation of Taxable U.S. Holders of Our Capital Stock—Redemption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31" w:lineRule="exact"/>
        <w:rPr>
          <w:sz w:val="20"/>
          <w:szCs w:val="20"/>
          <w:color w:val="auto"/>
        </w:rPr>
      </w:pPr>
    </w:p>
    <w:p>
      <w:pPr>
        <w:ind w:left="260" w:right="6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as described above under “—Distributions Generally”) unless the redemption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39" w:right="1440" w:bottom="1440" w:gutter="0" w:footer="0" w:header="0"/>
        </w:sectPr>
      </w:pPr>
    </w:p>
    <w:bookmarkStart w:id="104" w:name="page105"/>
    <w:bookmarkEnd w:id="104"/>
    <w:p>
      <w:pPr>
        <w:ind w:left="260" w:right="8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53" w:lineRule="exact"/>
        <w:rPr>
          <w:sz w:val="20"/>
          <w:szCs w:val="20"/>
          <w:color w:val="auto"/>
        </w:rPr>
      </w:pPr>
    </w:p>
    <w:p>
      <w:pPr>
        <w:ind w:left="1020" w:hanging="339"/>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“substantially disproportionate” with respect to the U.S. holder;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a “complete redemption” of the U.S. holder’s stock interest in us; or</w:t>
      </w:r>
    </w:p>
    <w:p>
      <w:pPr>
        <w:spacing w:after="0" w:line="98"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essentially equivalent to a dividend” with respect to the U.S. holder,</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within the meaning of Section 302(b) of the Code.</w:t>
      </w:r>
    </w:p>
    <w:p>
      <w:pPr>
        <w:spacing w:after="0" w:line="171"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42"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42"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not treated as a distribution, it will be treated as a taxable sale or exchange in the manner described under “—Dispositions of Our Capital Stock.”</w:t>
      </w:r>
    </w:p>
    <w:p>
      <w:pPr>
        <w:spacing w:after="0" w:line="124"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Tax Rates</w:t>
      </w:r>
      <w:r>
        <w:rPr>
          <w:rFonts w:ascii="Times New Roman" w:cs="Times New Roman" w:eastAsia="Times New Roman" w:hAnsi="Times New Roman"/>
          <w:sz w:val="14"/>
          <w:szCs w:val="14"/>
          <w:color w:val="auto"/>
        </w:rPr>
        <w:t>. The maximum tax rate for non-corporate taxpayers for (1) long-term capital gains, including certain “capital gain dividends,” generally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Taxation of Tax-Exempt Holders of Our Capital Stock</w:t>
      </w:r>
    </w:p>
    <w:p>
      <w:pPr>
        <w:spacing w:after="0" w:line="90" w:lineRule="exact"/>
        <w:rPr>
          <w:sz w:val="20"/>
          <w:szCs w:val="20"/>
          <w:color w:val="auto"/>
        </w:rPr>
      </w:pPr>
    </w:p>
    <w:p>
      <w:pPr>
        <w:ind w:left="260" w:right="299"/>
        <w:spacing w:after="0" w:line="257" w:lineRule="auto"/>
        <w:rPr>
          <w:sz w:val="20"/>
          <w:szCs w:val="20"/>
          <w:color w:val="auto"/>
        </w:rPr>
      </w:pPr>
      <w:r>
        <w:rPr>
          <w:rFonts w:ascii="Times New Roman" w:cs="Times New Roman" w:eastAsia="Times New Roman" w:hAnsi="Times New Roman"/>
          <w:sz w:val="14"/>
          <w:szCs w:val="14"/>
          <w:color w:val="auto"/>
        </w:rPr>
        <w:t>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39" w:right="1440" w:bottom="1440" w:gutter="0" w:footer="0" w:header="0"/>
        </w:sectPr>
      </w:pPr>
    </w:p>
    <w:bookmarkStart w:id="105" w:name="page106"/>
    <w:bookmarkEnd w:id="105"/>
    <w:p>
      <w:pPr>
        <w:ind w:left="26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42" w:lineRule="exact"/>
        <w:rPr>
          <w:sz w:val="20"/>
          <w:szCs w:val="20"/>
          <w:color w:val="auto"/>
        </w:rPr>
      </w:pPr>
    </w:p>
    <w:p>
      <w:pPr>
        <w:ind w:left="260" w:right="399"/>
        <w:spacing w:after="0" w:line="253" w:lineRule="auto"/>
        <w:rPr>
          <w:sz w:val="20"/>
          <w:szCs w:val="20"/>
          <w:color w:val="auto"/>
        </w:rPr>
      </w:pPr>
      <w:r>
        <w:rPr>
          <w:rFonts w:ascii="Times New Roman" w:cs="Times New Roman" w:eastAsia="Times New Roman" w:hAnsi="Times New Roman"/>
          <w:sz w:val="14"/>
          <w:szCs w:val="14"/>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stock is (and, we anticipate, will continue to be) publicly traded, we cannot guarantee that this will always be the case.</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Taxation of Non-U.S. Holders of Our Capital Stock</w:t>
      </w:r>
    </w:p>
    <w:p>
      <w:pPr>
        <w:spacing w:after="0" w:line="90"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43"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(including any taxable stock distributions) that are neither attributable to gains from sales or exchanges by us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49"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Except as otherwise provided below, we expect to withhold U.S. federal income tax at the rate of 30% on any distributions made to a non-U.S. holder unless:</w:t>
      </w:r>
    </w:p>
    <w:p>
      <w:pPr>
        <w:spacing w:after="0" w:line="53" w:lineRule="exact"/>
        <w:rPr>
          <w:sz w:val="20"/>
          <w:szCs w:val="20"/>
          <w:color w:val="auto"/>
        </w:rPr>
      </w:pPr>
    </w:p>
    <w:p>
      <w:pPr>
        <w:ind w:left="1020" w:right="519" w:hanging="422"/>
        <w:spacing w:after="0" w:line="278" w:lineRule="auto"/>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lower treaty rate applies and the non-U.S. holder furnishes an IRS Form W-8BEN or W-8BEN-E (or other applicable documentation) evidencing eligibility for that reduced treaty rate; or</w:t>
      </w:r>
    </w:p>
    <w:p>
      <w:pPr>
        <w:spacing w:after="0" w:line="52" w:lineRule="exact"/>
        <w:rPr>
          <w:rFonts w:ascii="Times New Roman" w:cs="Times New Roman" w:eastAsia="Times New Roman" w:hAnsi="Times New Roman"/>
          <w:sz w:val="14"/>
          <w:szCs w:val="14"/>
          <w:color w:val="auto"/>
        </w:rPr>
      </w:pPr>
    </w:p>
    <w:p>
      <w:pPr>
        <w:ind w:left="1020" w:right="899" w:hanging="422"/>
        <w:spacing w:after="0" w:line="278" w:lineRule="auto"/>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furnishes an IRS Form W-8ECI (or other applicable documentation) claiming that the distribution is income effectively connected with the non-U.S. holder’s trade or business.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39" w:right="1440" w:bottom="1440" w:gutter="0" w:footer="0" w:header="0"/>
        </w:sectPr>
      </w:pPr>
    </w:p>
    <w:bookmarkStart w:id="106" w:name="page107"/>
    <w:bookmarkEnd w:id="106"/>
    <w:p>
      <w:pPr>
        <w:ind w:left="260" w:right="2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44" w:lineRule="exact"/>
        <w:rPr>
          <w:sz w:val="20"/>
          <w:szCs w:val="20"/>
          <w:color w:val="auto"/>
        </w:rPr>
      </w:pPr>
    </w:p>
    <w:p>
      <w:pPr>
        <w:ind w:left="260" w:right="37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 and Distributions Attributable to a Sale or Exchange of United States Real Property Interests</w:t>
      </w:r>
      <w:r>
        <w:rPr>
          <w:rFonts w:ascii="Times New Roman" w:cs="Times New Roman" w:eastAsia="Times New Roman" w:hAnsi="Times New Roman"/>
          <w:sz w:val="14"/>
          <w:szCs w:val="14"/>
          <w:color w:val="auto"/>
        </w:rPr>
        <w:t>. Distributions to a non-U.S.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holder that we properly designate as capital gain dividends, other than those arising from the disposition of a USRPI, generally should not be subject to U.S. federal income taxation, unless:</w:t>
      </w:r>
    </w:p>
    <w:p>
      <w:pPr>
        <w:spacing w:after="0" w:line="63" w:lineRule="exact"/>
        <w:rPr>
          <w:sz w:val="20"/>
          <w:szCs w:val="20"/>
          <w:color w:val="auto"/>
        </w:rPr>
      </w:pPr>
    </w:p>
    <w:p>
      <w:pPr>
        <w:ind w:left="1020" w:right="339" w:hanging="422"/>
        <w:spacing w:after="0" w:line="255" w:lineRule="auto"/>
        <w:tabs>
          <w:tab w:leader="none" w:pos="1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69" w:lineRule="exact"/>
        <w:rPr>
          <w:rFonts w:ascii="Times New Roman" w:cs="Times New Roman" w:eastAsia="Times New Roman" w:hAnsi="Times New Roman"/>
          <w:sz w:val="14"/>
          <w:szCs w:val="14"/>
          <w:color w:val="auto"/>
        </w:rPr>
      </w:pPr>
    </w:p>
    <w:p>
      <w:pPr>
        <w:ind w:left="1020" w:right="339" w:hanging="422"/>
        <w:spacing w:after="0" w:line="255" w:lineRule="auto"/>
        <w:tabs>
          <w:tab w:leader="none" w:pos="1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42" w:lineRule="exact"/>
        <w:rPr>
          <w:sz w:val="20"/>
          <w:szCs w:val="20"/>
          <w:color w:val="auto"/>
        </w:rPr>
      </w:pPr>
    </w:p>
    <w:p>
      <w:pPr>
        <w:ind w:left="260" w:right="279"/>
        <w:spacing w:after="0" w:line="249" w:lineRule="auto"/>
        <w:rPr>
          <w:sz w:val="20"/>
          <w:szCs w:val="20"/>
          <w:color w:val="auto"/>
        </w:rPr>
      </w:pPr>
      <w:r>
        <w:rPr>
          <w:rFonts w:ascii="Times New Roman" w:cs="Times New Roman" w:eastAsia="Times New Roman" w:hAnsi="Times New Roman"/>
          <w:sz w:val="14"/>
          <w:szCs w:val="14"/>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51" w:lineRule="exact"/>
        <w:rPr>
          <w:sz w:val="20"/>
          <w:szCs w:val="20"/>
          <w:color w:val="auto"/>
        </w:rPr>
      </w:pPr>
    </w:p>
    <w:p>
      <w:pPr>
        <w:ind w:left="260" w:right="3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Although the law is not clear on the matter, it appears that amounts we designate as retained net capital gains in respect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capital stock should be treated with respect to non-U.S. holders 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39" w:right="1440" w:bottom="1440" w:gutter="0" w:footer="0" w:header="0"/>
        </w:sectPr>
      </w:pPr>
    </w:p>
    <w:bookmarkStart w:id="107" w:name="page108"/>
    <w:bookmarkEnd w:id="107"/>
    <w:p>
      <w:pPr>
        <w:ind w:left="260" w:right="459"/>
        <w:spacing w:after="0" w:line="28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24"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Sale of Our Capital Stock</w:t>
      </w:r>
      <w:r>
        <w:rPr>
          <w:rFonts w:ascii="Times New Roman" w:cs="Times New Roman" w:eastAsia="Times New Roman" w:hAnsi="Times New Roman"/>
          <w:sz w:val="14"/>
          <w:szCs w:val="14"/>
          <w:color w:val="auto"/>
        </w:rPr>
        <w:t>. Except as described below under “—Redemption or Repurchase by Us,” gain realized by a non-U.S. holder upon the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stock is (and, we anticipate, will continue to be) publicly traded, no assurance can be given that we will continue to be a “domestically controlled qualified investment entity.”</w:t>
      </w:r>
    </w:p>
    <w:p>
      <w:pPr>
        <w:spacing w:after="0" w:line="150" w:lineRule="exact"/>
        <w:rPr>
          <w:sz w:val="20"/>
          <w:szCs w:val="20"/>
          <w:color w:val="auto"/>
        </w:rPr>
      </w:pPr>
    </w:p>
    <w:p>
      <w:pPr>
        <w:ind w:left="260" w:right="359"/>
        <w:spacing w:after="0" w:line="262" w:lineRule="auto"/>
        <w:rPr>
          <w:sz w:val="20"/>
          <w:szCs w:val="20"/>
          <w:color w:val="auto"/>
        </w:rPr>
      </w:pPr>
      <w:r>
        <w:rPr>
          <w:rFonts w:ascii="Times New Roman" w:cs="Times New Roman" w:eastAsia="Times New Roman" w:hAnsi="Times New Roman"/>
          <w:sz w:val="14"/>
          <w:szCs w:val="14"/>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55" w:lineRule="exact"/>
        <w:rPr>
          <w:sz w:val="20"/>
          <w:szCs w:val="20"/>
          <w:color w:val="auto"/>
        </w:rPr>
      </w:pPr>
    </w:p>
    <w:p>
      <w:pPr>
        <w:ind w:left="600" w:right="339" w:firstLine="4"/>
        <w:spacing w:after="0" w:line="278" w:lineRule="auto"/>
        <w:tabs>
          <w:tab w:leader="none" w:pos="79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class of capital stock is “regularly traded,” as defined by applicable Treasury Regulations, on an established securities market such as the NYSE; and</w:t>
      </w:r>
    </w:p>
    <w:p>
      <w:pPr>
        <w:spacing w:after="0" w:line="42" w:lineRule="exact"/>
        <w:rPr>
          <w:rFonts w:ascii="Times New Roman" w:cs="Times New Roman" w:eastAsia="Times New Roman" w:hAnsi="Times New Roman"/>
          <w:sz w:val="14"/>
          <w:szCs w:val="14"/>
          <w:color w:val="auto"/>
        </w:rPr>
      </w:pPr>
    </w:p>
    <w:p>
      <w:pPr>
        <w:ind w:left="600" w:right="599" w:firstLine="4"/>
        <w:spacing w:after="0" w:line="278" w:lineRule="auto"/>
        <w:tabs>
          <w:tab w:leader="none" w:pos="79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owned, actually and constructively, 10% or less of such class of capital stock throughout the shorter of the five-year period ending on the date of the sale or other taxable disposition or the non-U.S. holder’s holding period.</w:t>
      </w:r>
    </w:p>
    <w:p>
      <w:pPr>
        <w:spacing w:after="0" w:line="126" w:lineRule="exact"/>
        <w:rPr>
          <w:sz w:val="20"/>
          <w:szCs w:val="20"/>
          <w:color w:val="auto"/>
        </w:rPr>
      </w:pPr>
    </w:p>
    <w:p>
      <w:pPr>
        <w:ind w:left="260" w:right="399"/>
        <w:spacing w:after="0" w:line="257" w:lineRule="auto"/>
        <w:rPr>
          <w:sz w:val="20"/>
          <w:szCs w:val="20"/>
          <w:color w:val="auto"/>
        </w:rPr>
      </w:pPr>
      <w:r>
        <w:rPr>
          <w:rFonts w:ascii="Times New Roman" w:cs="Times New Roman" w:eastAsia="Times New Roman" w:hAnsi="Times New Roman"/>
          <w:sz w:val="14"/>
          <w:szCs w:val="14"/>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42"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39" w:right="1440" w:bottom="1440" w:gutter="0" w:footer="0" w:header="0"/>
        </w:sectPr>
      </w:pPr>
    </w:p>
    <w:bookmarkStart w:id="108" w:name="page109"/>
    <w:bookmarkEnd w:id="108"/>
    <w:p>
      <w:pPr>
        <w:ind w:left="260" w:right="31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w:t>
      </w:r>
    </w:p>
    <w:p>
      <w:pPr>
        <w:spacing w:after="0" w:line="3" w:lineRule="exact"/>
        <w:rPr>
          <w:sz w:val="20"/>
          <w:szCs w:val="20"/>
          <w:color w:val="auto"/>
        </w:rPr>
      </w:pPr>
    </w:p>
    <w:p>
      <w:pPr>
        <w:ind w:left="260" w:right="539"/>
        <w:spacing w:after="0" w:line="255" w:lineRule="auto"/>
        <w:rPr>
          <w:sz w:val="20"/>
          <w:szCs w:val="20"/>
          <w:color w:val="auto"/>
        </w:rPr>
      </w:pPr>
      <w:r>
        <w:rPr>
          <w:rFonts w:ascii="Times New Roman" w:cs="Times New Roman" w:eastAsia="Times New Roman" w:hAnsi="Times New Roman"/>
          <w:sz w:val="14"/>
          <w:szCs w:val="14"/>
          <w:color w:val="auto"/>
        </w:rPr>
        <w:t>(1), unless such class of stock is “regularly traded” and the non-U.S. holder did not own more than 10% of such class of stock at any time during the one-year period ending on the date of the distribution described in clause (1).</w:t>
      </w:r>
    </w:p>
    <w:p>
      <w:pPr>
        <w:spacing w:after="0" w:line="141" w:lineRule="exact"/>
        <w:rPr>
          <w:sz w:val="20"/>
          <w:szCs w:val="20"/>
          <w:color w:val="auto"/>
        </w:rPr>
      </w:pPr>
    </w:p>
    <w:p>
      <w:pPr>
        <w:ind w:left="260" w:right="319"/>
        <w:spacing w:after="0" w:line="253" w:lineRule="auto"/>
        <w:rPr>
          <w:sz w:val="20"/>
          <w:szCs w:val="20"/>
          <w:color w:val="auto"/>
        </w:rPr>
      </w:pPr>
      <w:r>
        <w:rPr>
          <w:rFonts w:ascii="Times New Roman" w:cs="Times New Roman" w:eastAsia="Times New Roman" w:hAnsi="Times New Roman"/>
          <w:sz w:val="14"/>
          <w:szCs w:val="14"/>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43" w:lineRule="exact"/>
        <w:rPr>
          <w:sz w:val="20"/>
          <w:szCs w:val="20"/>
          <w:color w:val="auto"/>
        </w:rPr>
      </w:pPr>
    </w:p>
    <w:p>
      <w:pPr>
        <w:ind w:left="260" w:right="35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Taxation of Holders of the Operating Partnership’s Debt Securities</w:t>
      </w:r>
    </w:p>
    <w:p>
      <w:pPr>
        <w:spacing w:after="0" w:line="90"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The following summary describes certain material U.S. federal income tax consequences of purchasing, owning and disposing of debt securities issued by the operating partnership. This discussion assumes the debt securities will be issued with less than a statutory de minimis amount of original issue discount for U.S. federal income tax purposes. In addition, this discussion is limited to persons purchasing the debt securities for cash at original issue and at their original “issue price” within the meaning of Section 1273 of the Code (i.e., the first price at which a substantial amount of the debt securities is sold to the public for cash).</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88" w:lineRule="exact"/>
        <w:rPr>
          <w:sz w:val="20"/>
          <w:szCs w:val="20"/>
          <w:color w:val="auto"/>
        </w:rPr>
      </w:pPr>
    </w:p>
    <w:p>
      <w:pPr>
        <w:ind w:left="260" w:right="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on a debt security generally will be taxable to a U.S. holder as ordinary income at the time such interest is received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accrued, in accordance with such U.S. holder’s method of accounting for U.S. federal income tax purposes.</w:t>
      </w:r>
    </w:p>
    <w:p>
      <w:pPr>
        <w:spacing w:after="0" w:line="122" w:lineRule="exact"/>
        <w:rPr>
          <w:sz w:val="20"/>
          <w:szCs w:val="20"/>
          <w:color w:val="auto"/>
        </w:rPr>
      </w:pPr>
    </w:p>
    <w:p>
      <w:pPr>
        <w:jc w:val="both"/>
        <w:ind w:left="260" w:right="29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U.S. holder will recognize gain or loss on the sale, exchange, redemption, retirement or other taxable disposition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39" w:right="1440" w:bottom="1440" w:gutter="0" w:footer="0" w:header="0"/>
        </w:sectPr>
      </w:pPr>
    </w:p>
    <w:bookmarkStart w:id="109" w:name="page110"/>
    <w:bookmarkEnd w:id="109"/>
    <w:p>
      <w:pPr>
        <w:ind w:left="260" w:right="339"/>
        <w:spacing w:after="0" w:line="28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Non-U.S. Holders</w:t>
      </w:r>
    </w:p>
    <w:p>
      <w:pPr>
        <w:spacing w:after="0" w:line="88" w:lineRule="exact"/>
        <w:rPr>
          <w:sz w:val="20"/>
          <w:szCs w:val="20"/>
          <w:color w:val="auto"/>
        </w:rPr>
      </w:pPr>
    </w:p>
    <w:p>
      <w:pPr>
        <w:ind w:left="260" w:right="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paid on a debt security to a non-U.S. holder that is not effectively connected with the non-U.S. holder’s conduct of a trade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business within the United States generally will not be subject to U.S. federal income tax or withholding, provided that:</w:t>
      </w:r>
    </w:p>
    <w:p>
      <w:pPr>
        <w:spacing w:after="0" w:line="51" w:lineRule="exact"/>
        <w:rPr>
          <w:sz w:val="20"/>
          <w:szCs w:val="20"/>
          <w:color w:val="auto"/>
        </w:rPr>
      </w:pPr>
    </w:p>
    <w:p>
      <w:pPr>
        <w:ind w:left="1020" w:hanging="339"/>
        <w:spacing w:after="0"/>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the operating partnership’s capital or profits;</w:t>
      </w:r>
    </w:p>
    <w:p>
      <w:pPr>
        <w:spacing w:after="0" w:line="98" w:lineRule="exact"/>
        <w:rPr>
          <w:rFonts w:ascii="Times New Roman" w:cs="Times New Roman" w:eastAsia="Times New Roman" w:hAnsi="Times New Roman"/>
          <w:sz w:val="14"/>
          <w:szCs w:val="14"/>
          <w:color w:val="auto"/>
        </w:rPr>
      </w:pPr>
    </w:p>
    <w:p>
      <w:pPr>
        <w:ind w:left="1020" w:right="779" w:hanging="339"/>
        <w:spacing w:after="0" w:line="278"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related to the operating partnership through actual or constructive stock ownership; and</w:t>
      </w:r>
    </w:p>
    <w:p>
      <w:pPr>
        <w:spacing w:after="0" w:line="52" w:lineRule="exact"/>
        <w:rPr>
          <w:rFonts w:ascii="Times New Roman" w:cs="Times New Roman" w:eastAsia="Times New Roman" w:hAnsi="Times New Roman"/>
          <w:sz w:val="14"/>
          <w:szCs w:val="14"/>
          <w:color w:val="auto"/>
        </w:rPr>
      </w:pPr>
    </w:p>
    <w:p>
      <w:pPr>
        <w:ind w:left="1020" w:right="319" w:hanging="339"/>
        <w:spacing w:after="0" w:line="252"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46"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42" w:lineRule="exact"/>
        <w:rPr>
          <w:sz w:val="20"/>
          <w:szCs w:val="20"/>
          <w:color w:val="auto"/>
        </w:rPr>
      </w:pPr>
    </w:p>
    <w:p>
      <w:pPr>
        <w:ind w:left="260" w:right="399"/>
        <w:spacing w:after="0" w:line="255" w:lineRule="auto"/>
        <w:rPr>
          <w:sz w:val="20"/>
          <w:szCs w:val="20"/>
          <w:color w:val="auto"/>
        </w:rPr>
      </w:pPr>
      <w:r>
        <w:rPr>
          <w:rFonts w:ascii="Times New Roman" w:cs="Times New Roman" w:eastAsia="Times New Roman" w:hAnsi="Times New Roman"/>
          <w:sz w:val="14"/>
          <w:szCs w:val="14"/>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42" w:lineRule="exact"/>
        <w:rPr>
          <w:sz w:val="20"/>
          <w:szCs w:val="20"/>
          <w:color w:val="auto"/>
        </w:rPr>
      </w:pPr>
    </w:p>
    <w:p>
      <w:pPr>
        <w:ind w:left="260" w:right="399"/>
        <w:spacing w:after="0" w:line="262" w:lineRule="auto"/>
        <w:rPr>
          <w:sz w:val="20"/>
          <w:szCs w:val="20"/>
          <w:color w:val="auto"/>
        </w:rPr>
      </w:pPr>
      <w:r>
        <w:rPr>
          <w:rFonts w:ascii="Times New Roman" w:cs="Times New Roman" w:eastAsia="Times New Roman" w:hAnsi="Times New Roman"/>
          <w:sz w:val="14"/>
          <w:szCs w:val="14"/>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38" w:lineRule="exact"/>
        <w:rPr>
          <w:sz w:val="20"/>
          <w:szCs w:val="20"/>
          <w:color w:val="auto"/>
        </w:rPr>
      </w:pPr>
    </w:p>
    <w:p>
      <w:pPr>
        <w:ind w:left="260" w:right="379"/>
        <w:spacing w:after="0" w:line="262" w:lineRule="auto"/>
        <w:rPr>
          <w:sz w:val="20"/>
          <w:szCs w:val="20"/>
          <w:color w:val="auto"/>
        </w:rPr>
      </w:pPr>
      <w:r>
        <w:rPr>
          <w:rFonts w:ascii="Times New Roman" w:cs="Times New Roman" w:eastAsia="Times New Roman" w:hAnsi="Times New Roman"/>
          <w:sz w:val="14"/>
          <w:szCs w:val="14"/>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39" w:right="1440" w:bottom="1440" w:gutter="0" w:footer="0" w:header="0"/>
        </w:sectPr>
      </w:pPr>
    </w:p>
    <w:bookmarkStart w:id="110" w:name="page111"/>
    <w:bookmarkEnd w:id="110"/>
    <w:p>
      <w:pPr>
        <w:ind w:left="260" w:right="41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ind w:left="260" w:right="31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non-U.S. holder will not be subject to U.S. federal income tax on any gain realized upon the sale, exchange,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the Operating Partnership’s Debt Securities—Non-U.S. Holders—Payments of Interest”) unless:</w:t>
      </w:r>
    </w:p>
    <w:p>
      <w:pPr>
        <w:spacing w:after="0" w:line="68" w:lineRule="exact"/>
        <w:rPr>
          <w:sz w:val="20"/>
          <w:szCs w:val="20"/>
          <w:color w:val="auto"/>
        </w:rPr>
      </w:pPr>
    </w:p>
    <w:p>
      <w:pPr>
        <w:ind w:left="1020" w:right="399" w:hanging="339"/>
        <w:spacing w:after="0" w:line="262" w:lineRule="auto"/>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4" w:lineRule="exact"/>
        <w:rPr>
          <w:rFonts w:ascii="Times New Roman" w:cs="Times New Roman" w:eastAsia="Times New Roman" w:hAnsi="Times New Roman"/>
          <w:sz w:val="14"/>
          <w:szCs w:val="14"/>
          <w:color w:val="auto"/>
        </w:rPr>
      </w:pPr>
    </w:p>
    <w:p>
      <w:pPr>
        <w:ind w:left="1020" w:right="699" w:hanging="339"/>
        <w:spacing w:after="0" w:line="278" w:lineRule="auto"/>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w:t>
      </w:r>
    </w:p>
    <w:p>
      <w:pPr>
        <w:spacing w:after="0" w:line="126" w:lineRule="exact"/>
        <w:rPr>
          <w:sz w:val="20"/>
          <w:szCs w:val="20"/>
          <w:color w:val="auto"/>
        </w:rPr>
      </w:pPr>
    </w:p>
    <w:p>
      <w:pPr>
        <w:jc w:val="both"/>
        <w:ind w:left="260" w:right="379"/>
        <w:spacing w:after="0" w:line="262"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8" w:lineRule="exact"/>
        <w:rPr>
          <w:sz w:val="20"/>
          <w:szCs w:val="20"/>
          <w:color w:val="auto"/>
        </w:rPr>
      </w:pPr>
    </w:p>
    <w:p>
      <w:pPr>
        <w:jc w:val="both"/>
        <w:ind w:left="260" w:right="279"/>
        <w:spacing w:after="0" w:line="257"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88" w:lineRule="exact"/>
        <w:rPr>
          <w:sz w:val="20"/>
          <w:szCs w:val="20"/>
          <w:color w:val="auto"/>
        </w:rPr>
      </w:pPr>
    </w:p>
    <w:p>
      <w:pPr>
        <w:ind w:left="260" w:right="3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U.S. Holders</w:t>
      </w:r>
      <w:r>
        <w:rPr>
          <w:rFonts w:ascii="Times New Roman" w:cs="Times New Roman" w:eastAsia="Times New Roman" w:hAnsi="Times New Roman"/>
          <w:sz w:val="14"/>
          <w:szCs w:val="14"/>
          <w:color w:val="auto"/>
        </w:rPr>
        <w:t>. A U.S. holder may be subject to information reporting and backup withholding when such holder receives payments on our capital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the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68" w:lineRule="exact"/>
        <w:rPr>
          <w:sz w:val="20"/>
          <w:szCs w:val="20"/>
          <w:color w:val="auto"/>
        </w:rPr>
      </w:pPr>
    </w:p>
    <w:p>
      <w:pPr>
        <w:ind w:left="1020" w:right="719" w:hanging="339"/>
        <w:spacing w:after="0" w:line="278"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furnish the holder’s taxpayer identification number, which for an individual is ordinarily his or her social security number;</w:t>
      </w:r>
    </w:p>
    <w:p>
      <w:pPr>
        <w:spacing w:after="0" w:line="52" w:lineRule="exact"/>
        <w:rPr>
          <w:rFonts w:ascii="Times New Roman" w:cs="Times New Roman" w:eastAsia="Times New Roman" w:hAnsi="Times New Roman"/>
          <w:sz w:val="14"/>
          <w:szCs w:val="14"/>
          <w:color w:val="auto"/>
        </w:rPr>
      </w:pPr>
    </w:p>
    <w:p>
      <w:pPr>
        <w:ind w:left="1020" w:hanging="339"/>
        <w:spacing w:after="0"/>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furnishes an incorrect taxpayer identification number;</w:t>
      </w:r>
    </w:p>
    <w:p>
      <w:pPr>
        <w:spacing w:after="0" w:line="98" w:lineRule="exact"/>
        <w:rPr>
          <w:rFonts w:ascii="Times New Roman" w:cs="Times New Roman" w:eastAsia="Times New Roman" w:hAnsi="Times New Roman"/>
          <w:sz w:val="14"/>
          <w:szCs w:val="14"/>
          <w:color w:val="auto"/>
        </w:rPr>
      </w:pPr>
    </w:p>
    <w:p>
      <w:pPr>
        <w:ind w:left="1020" w:right="859" w:hanging="339"/>
        <w:spacing w:after="0" w:line="278"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withholding agent is notified by the IRS that the holder previously failed to properly report payments of interest or dividends; or</w:t>
      </w:r>
    </w:p>
    <w:p>
      <w:pPr>
        <w:spacing w:after="0" w:line="52" w:lineRule="exact"/>
        <w:rPr>
          <w:rFonts w:ascii="Times New Roman" w:cs="Times New Roman" w:eastAsia="Times New Roman" w:hAnsi="Times New Roman"/>
          <w:sz w:val="14"/>
          <w:szCs w:val="14"/>
          <w:color w:val="auto"/>
        </w:rPr>
      </w:pPr>
    </w:p>
    <w:p>
      <w:pPr>
        <w:ind w:left="1020" w:right="379" w:hanging="339"/>
        <w:spacing w:after="0" w:line="278"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26" w:lineRule="exact"/>
        <w:rPr>
          <w:sz w:val="20"/>
          <w:szCs w:val="20"/>
          <w:color w:val="auto"/>
        </w:rPr>
      </w:pPr>
    </w:p>
    <w:p>
      <w:pPr>
        <w:ind w:left="260" w:right="339"/>
        <w:spacing w:after="0" w:line="262"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39" w:right="1440" w:bottom="1440" w:gutter="0" w:footer="0" w:header="0"/>
        </w:sectPr>
      </w:pPr>
    </w:p>
    <w:bookmarkStart w:id="111" w:name="page112"/>
    <w:bookmarkEnd w:id="111"/>
    <w:p>
      <w:pPr>
        <w:ind w:left="260" w:right="29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Non-U.S. Holders</w:t>
      </w:r>
      <w:r>
        <w:rPr>
          <w:rFonts w:ascii="Times New Roman" w:cs="Times New Roman" w:eastAsia="Times New Roman" w:hAnsi="Times New Roman"/>
          <w:sz w:val="13"/>
          <w:szCs w:val="13"/>
          <w:color w:val="auto"/>
        </w:rPr>
        <w:t>. Payments of dividends on our capital stock or interest on the operating partnership’s debt securities generally will not be subject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the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36" w:lineRule="exact"/>
        <w:rPr>
          <w:sz w:val="20"/>
          <w:szCs w:val="20"/>
          <w:color w:val="auto"/>
        </w:rPr>
      </w:pPr>
    </w:p>
    <w:p>
      <w:pPr>
        <w:ind w:left="260" w:right="339"/>
        <w:spacing w:after="0" w:line="278"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6" w:lineRule="exact"/>
        <w:rPr>
          <w:sz w:val="20"/>
          <w:szCs w:val="20"/>
          <w:color w:val="auto"/>
        </w:rPr>
      </w:pPr>
    </w:p>
    <w:p>
      <w:pPr>
        <w:ind w:left="260" w:right="339"/>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Medicare Contribution Tax on Unearned Income</w:t>
      </w:r>
    </w:p>
    <w:p>
      <w:pPr>
        <w:spacing w:after="0" w:line="90" w:lineRule="exact"/>
        <w:rPr>
          <w:sz w:val="20"/>
          <w:szCs w:val="20"/>
          <w:color w:val="auto"/>
        </w:rPr>
      </w:pPr>
    </w:p>
    <w:p>
      <w:pPr>
        <w:ind w:left="260" w:right="359"/>
        <w:spacing w:after="0" w:line="257" w:lineRule="auto"/>
        <w:rPr>
          <w:sz w:val="20"/>
          <w:szCs w:val="20"/>
          <w:color w:val="auto"/>
        </w:rPr>
      </w:pPr>
      <w:r>
        <w:rPr>
          <w:rFonts w:ascii="Times New Roman" w:cs="Times New Roman" w:eastAsia="Times New Roman" w:hAnsi="Times New Roman"/>
          <w:sz w:val="14"/>
          <w:szCs w:val="14"/>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the operating partnership’s debt securities.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0"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the operating partnership’s debt securities, or (subject to the proposed Treasury Regulations discussed below) gross proceeds from the sale or other disposition of our capital stock or the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ind w:left="260" w:right="379" w:firstLine="6"/>
        <w:spacing w:after="0" w:line="249" w:lineRule="auto"/>
        <w:tabs>
          <w:tab w:leader="none" w:pos="45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6" w:lineRule="exact"/>
        <w:rPr>
          <w:sz w:val="20"/>
          <w:szCs w:val="20"/>
          <w:color w:val="auto"/>
        </w:rPr>
      </w:pPr>
    </w:p>
    <w:p>
      <w:pPr>
        <w:ind w:left="260" w:right="439"/>
        <w:spacing w:after="0" w:line="278"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capital stock or interest on the operating partnership’s debt securities.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37" w:right="1440" w:bottom="1440" w:gutter="0" w:footer="0" w:header="0"/>
        </w:sectPr>
      </w:pPr>
    </w:p>
    <w:bookmarkStart w:id="112" w:name="page113"/>
    <w:bookmarkEnd w:id="112"/>
    <w:p>
      <w:pPr>
        <w:ind w:left="26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42" w:lineRule="exact"/>
        <w:rPr>
          <w:sz w:val="20"/>
          <w:szCs w:val="20"/>
          <w:color w:val="auto"/>
        </w:rPr>
      </w:pPr>
    </w:p>
    <w:p>
      <w:pPr>
        <w:ind w:left="260" w:right="299"/>
        <w:spacing w:after="0" w:line="278"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capital stock or the operating partnership’s debt securities.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Tax Consequences</w:t>
      </w:r>
    </w:p>
    <w:p>
      <w:pPr>
        <w:spacing w:after="0" w:line="90" w:lineRule="exact"/>
        <w:rPr>
          <w:sz w:val="20"/>
          <w:szCs w:val="20"/>
          <w:color w:val="auto"/>
        </w:rPr>
      </w:pPr>
    </w:p>
    <w:p>
      <w:pPr>
        <w:ind w:left="260" w:right="439"/>
        <w:spacing w:after="0" w:line="257" w:lineRule="auto"/>
        <w:rPr>
          <w:sz w:val="20"/>
          <w:szCs w:val="20"/>
          <w:color w:val="auto"/>
        </w:rPr>
      </w:pPr>
      <w:r>
        <w:rPr>
          <w:rFonts w:ascii="Times New Roman" w:cs="Times New Roman" w:eastAsia="Times New Roman" w:hAnsi="Times New Roman"/>
          <w:sz w:val="14"/>
          <w:szCs w:val="14"/>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advisors regarding the effect of state, local and non-U.S. tax laws with respect to our tax treatment as a REIT and on an investment in our capital stock or our operating partnership’s debt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39"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SELLING SECURITYHOLDERS</w:t>
      </w:r>
    </w:p>
    <w:p>
      <w:pPr>
        <w:spacing w:after="0" w:line="173" w:lineRule="exact"/>
        <w:rPr>
          <w:sz w:val="20"/>
          <w:szCs w:val="20"/>
          <w:color w:val="auto"/>
        </w:rPr>
      </w:pPr>
    </w:p>
    <w:p>
      <w:pPr>
        <w:ind w:left="260" w:right="319"/>
        <w:spacing w:after="0" w:line="283" w:lineRule="auto"/>
        <w:rPr>
          <w:sz w:val="20"/>
          <w:szCs w:val="20"/>
          <w:color w:val="auto"/>
        </w:rPr>
      </w:pPr>
      <w:r>
        <w:rPr>
          <w:rFonts w:ascii="Times New Roman" w:cs="Times New Roman" w:eastAsia="Times New Roman" w:hAnsi="Times New Roman"/>
          <w:sz w:val="13"/>
          <w:szCs w:val="13"/>
          <w:color w:val="auto"/>
        </w:rPr>
        <w:t>If the registration statement of which this prospectus forms a part is used by selling securityholders for the resale of any securities registered thereunder pursuant to a registration rights agreement to be entered into by us with such selling securityholders or otherwise, information about such selling securityholders,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37"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3" w:lineRule="exact"/>
        <w:rPr>
          <w:sz w:val="20"/>
          <w:szCs w:val="20"/>
          <w:color w:val="auto"/>
        </w:rPr>
      </w:pPr>
    </w:p>
    <w:p>
      <w:pPr>
        <w:jc w:val="both"/>
        <w:ind w:left="260" w:right="419"/>
        <w:spacing w:after="0" w:line="262" w:lineRule="auto"/>
        <w:rPr>
          <w:sz w:val="20"/>
          <w:szCs w:val="20"/>
          <w:color w:val="auto"/>
        </w:rPr>
      </w:pPr>
      <w:r>
        <w:rPr>
          <w:rFonts w:ascii="Times New Roman" w:cs="Times New Roman" w:eastAsia="Times New Roman" w:hAnsi="Times New Roman"/>
          <w:sz w:val="14"/>
          <w:szCs w:val="14"/>
          <w:color w:val="auto"/>
        </w:rPr>
        <w:t>We, or selling securityholders, may sell the securities domestically or abroad to one or more underwriters for public offering and sale by them or may sell the securities to investors directly or through dealers or agents, or through a combination of methods. Any underwriter, dealer or agent involved in the offer and sale of the securities will be named in the applicable prospectus supplement.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Underwriters may offer and sell the securities at: (i) a fixed price or prices, which may be changed, (ii) market prices prevailing at the time of sale,</w:t>
      </w:r>
    </w:p>
    <w:p>
      <w:pPr>
        <w:spacing w:after="0" w:line="20" w:lineRule="exact"/>
        <w:rPr>
          <w:sz w:val="20"/>
          <w:szCs w:val="20"/>
          <w:color w:val="auto"/>
        </w:rPr>
      </w:pPr>
    </w:p>
    <w:p>
      <w:pPr>
        <w:ind w:left="260" w:right="319" w:firstLine="6"/>
        <w:spacing w:after="0" w:line="249" w:lineRule="auto"/>
        <w:tabs>
          <w:tab w:leader="none" w:pos="50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at the time of sale or (iv) negotiated prices. We also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46"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w:t>
      </w:r>
    </w:p>
    <w:p>
      <w:pPr>
        <w:spacing w:after="0" w:line="146" w:lineRule="exact"/>
        <w:rPr>
          <w:sz w:val="20"/>
          <w:szCs w:val="20"/>
          <w:color w:val="auto"/>
        </w:rPr>
      </w:pPr>
    </w:p>
    <w:p>
      <w:pPr>
        <w:ind w:left="260" w:right="439"/>
        <w:spacing w:after="0" w:line="252" w:lineRule="auto"/>
        <w:rPr>
          <w:sz w:val="20"/>
          <w:szCs w:val="20"/>
          <w:color w:val="auto"/>
        </w:rPr>
      </w:pPr>
      <w:r>
        <w:rPr>
          <w:rFonts w:ascii="Times New Roman" w:cs="Times New Roman" w:eastAsia="Times New Roman" w:hAnsi="Times New Roman"/>
          <w:sz w:val="14"/>
          <w:szCs w:val="14"/>
          <w:color w:val="auto"/>
        </w:rPr>
        <w:t>Unless we specify otherwise in the applicable prospectus supplement, any series of securities issued hereunder will be a new issue with no established trading market (other than the common stock, which is listed on the NYSE). If the company sells any shares of the common stock pursuant to a prospectus supplement, such shares will be listed on the NYSE, subject to official notice of issuance. We may elect to list any other securities issued hereunder on any exchange, but we are not obligated to do so. Any underwriters or agents to or through whom such securities are sold by us or our operating partnership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46" w:lineRule="exact"/>
        <w:rPr>
          <w:sz w:val="20"/>
          <w:szCs w:val="20"/>
          <w:color w:val="auto"/>
        </w:rPr>
      </w:pPr>
    </w:p>
    <w:p>
      <w:pPr>
        <w:ind w:left="260" w:right="339"/>
        <w:spacing w:after="0" w:line="252" w:lineRule="auto"/>
        <w:rPr>
          <w:sz w:val="20"/>
          <w:szCs w:val="20"/>
          <w:color w:val="auto"/>
        </w:rPr>
      </w:pPr>
      <w:r>
        <w:rPr>
          <w:rFonts w:ascii="Times New Roman" w:cs="Times New Roman" w:eastAsia="Times New Roman" w:hAnsi="Times New Roman"/>
          <w:sz w:val="14"/>
          <w:szCs w:val="14"/>
          <w:color w:val="auto"/>
        </w:rPr>
        <w:t>If indicated in the applicable prospectus supplement, we may authorize underwriters or other persons acting as our agents to solicit offers by institutions or other suitable purchasers to purchase the securities from us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46"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37" w:right="1440" w:bottom="1440" w:gutter="0" w:footer="0" w:header="0"/>
        </w:sectPr>
      </w:pPr>
    </w:p>
    <w:bookmarkStart w:id="115" w:name="page116"/>
    <w:bookmarkEnd w:id="115"/>
    <w:p>
      <w:pPr>
        <w:ind w:left="260" w:right="6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The underwriters, dealers and agents and their affiliates may be customers of, engage in transactions with and perform services for us and our operating partnership in the ordinary course of business.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39"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3" w:lineRule="exact"/>
        <w:rPr>
          <w:sz w:val="20"/>
          <w:szCs w:val="20"/>
          <w:color w:val="auto"/>
        </w:rPr>
      </w:pPr>
    </w:p>
    <w:p>
      <w:pPr>
        <w:ind w:left="260" w:right="499"/>
        <w:spacing w:after="0" w:line="257" w:lineRule="auto"/>
        <w:rPr>
          <w:sz w:val="20"/>
          <w:szCs w:val="20"/>
          <w:color w:val="auto"/>
        </w:rPr>
      </w:pPr>
      <w:r>
        <w:rPr>
          <w:rFonts w:ascii="Times New Roman" w:cs="Times New Roman" w:eastAsia="Times New Roman" w:hAnsi="Times New Roman"/>
          <w:sz w:val="14"/>
          <w:szCs w:val="14"/>
          <w:color w:val="auto"/>
        </w:rPr>
        <w:t>Venable LLP, Baltimore, Maryland, has issued an opinion to us regarding certain matters of Maryland law, including the validity of the securities covered by this prospectus. Latham &amp; Watkins LLP, Los Angeles, California has issued an opinion to us regarding certain matters with respect to the validity of the debt securities and guarantees covered by this prospectus and an opinion regarding certain tax matters described under “United States Federal Income Tax Considerations.”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37"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EXPERTS</w:t>
      </w:r>
    </w:p>
    <w:p>
      <w:pPr>
        <w:spacing w:after="0" w:line="173" w:lineRule="exact"/>
        <w:rPr>
          <w:sz w:val="20"/>
          <w:szCs w:val="20"/>
          <w:color w:val="auto"/>
        </w:rPr>
      </w:pPr>
    </w:p>
    <w:p>
      <w:pPr>
        <w:ind w:left="260" w:right="41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42" w:lineRule="exact"/>
        <w:rPr>
          <w:sz w:val="20"/>
          <w:szCs w:val="20"/>
          <w:color w:val="auto"/>
        </w:rPr>
      </w:pPr>
    </w:p>
    <w:p>
      <w:pPr>
        <w:ind w:left="260" w:right="41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L.P.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37" w:right="1440" w:bottom="1440" w:gutter="0" w:footer="0" w:header="0"/>
        </w:sectPr>
      </w:pPr>
    </w:p>
    <w:bookmarkStart w:id="118" w:name="page119"/>
    <w:bookmarkEnd w:id="118"/>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1083310</wp:posOffset>
            </wp:positionH>
            <wp:positionV relativeFrom="page">
              <wp:posOffset>180975</wp:posOffset>
            </wp:positionV>
            <wp:extent cx="5382895"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5382895" cy="13335"/>
                    </a:xfrm>
                    <a:prstGeom prst="rect">
                      <a:avLst/>
                    </a:prstGeom>
                    <a:noFill/>
                  </pic:spPr>
                </pic:pic>
              </a:graphicData>
            </a:graphic>
          </wp:anchor>
        </w:drawing>
        <w:drawing>
          <wp:anchor simplePos="0" relativeHeight="251657728" behindDoc="1" locked="0" layoutInCell="0" allowOverlap="1">
            <wp:simplePos x="0" y="0"/>
            <wp:positionH relativeFrom="page">
              <wp:posOffset>1083310</wp:posOffset>
            </wp:positionH>
            <wp:positionV relativeFrom="page">
              <wp:posOffset>220980</wp:posOffset>
            </wp:positionV>
            <wp:extent cx="538289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page">
              <wp:posOffset>3207385</wp:posOffset>
            </wp:positionH>
            <wp:positionV relativeFrom="page">
              <wp:posOffset>491490</wp:posOffset>
            </wp:positionV>
            <wp:extent cx="1134745" cy="402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134745" cy="4025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Digital Realty Trust, Inc.</w:t>
      </w:r>
    </w:p>
    <w:p>
      <w:pPr>
        <w:sectPr>
          <w:pgSz w:w="11900" w:h="16838" w:orient="portrait"/>
          <w:cols w:equalWidth="0" w:num="1">
            <w:col w:w="9019"/>
          </w:cols>
          <w:pgMar w:left="1440" w:top="1440"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$7,500,000,000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317500</wp:posOffset>
            </wp:positionV>
            <wp:extent cx="113474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181610</wp:posOffset>
            </wp:positionV>
            <wp:extent cx="113474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BNP PARIBAS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BTIG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Capital One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Deutsche Bank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Huntington Capital Markets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Jefferies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Mizuho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MUFG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Raymond James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RBC Capital Markets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Santander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Scotiabank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TD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Truist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UBS Investment Bank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277495</wp:posOffset>
            </wp:positionV>
            <wp:extent cx="538289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323850</wp:posOffset>
            </wp:positionV>
            <wp:extent cx="5382895"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9" w:name="page120"/>
    <w:bookmarkEnd w:id="119"/>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DIGITAL REALTY TRUST,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7"/>
              <w:spacing w:after="0" w:line="187"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87" w:lineRule="exact"/>
              <w:rPr>
                <w:sz w:val="20"/>
                <w:szCs w:val="20"/>
                <w:color w:val="auto"/>
              </w:rPr>
            </w:pPr>
            <w:r>
              <w:rPr>
                <w:rFonts w:ascii="Arial" w:cs="Arial" w:eastAsia="Arial" w:hAnsi="Arial"/>
                <w:sz w:val="17"/>
                <w:szCs w:val="17"/>
                <w:b w:val="1"/>
                <w:bCs w:val="1"/>
                <w:color w:val="auto"/>
                <w:w w:val="98"/>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7"/>
              <w:spacing w:after="0"/>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7,500,000,000.00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6"/>
              </w:rPr>
              <w:t>1,035,750.00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value</w:t>
            </w: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7,500,000,000.00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1,035,750.00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$ 87,244.59</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$ 948,505.41</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jc w:val="both"/>
        <w:ind w:left="220" w:right="700" w:hanging="186"/>
        <w:spacing w:after="0" w:line="224" w:lineRule="auto"/>
        <w:tabs>
          <w:tab w:leader="none" w:pos="220" w:val="left"/>
        </w:tabs>
        <w:numPr>
          <w:ilvl w:val="0"/>
          <w:numId w:val="76"/>
        </w:numPr>
        <w:rPr>
          <w:rFonts w:ascii="Arial" w:cs="Arial" w:eastAsia="Arial" w:hAnsi="Arial"/>
          <w:sz w:val="21"/>
          <w:szCs w:val="21"/>
          <w:color w:val="auto"/>
          <w:vertAlign w:val="superscript"/>
        </w:rPr>
      </w:pPr>
      <w:r>
        <w:rPr>
          <w:rFonts w:ascii="Arial" w:cs="Arial" w:eastAsia="Arial" w:hAnsi="Arial"/>
          <w:sz w:val="17"/>
          <w:szCs w:val="17"/>
          <w:color w:val="auto"/>
        </w:rPr>
        <w:t>In accordance with Rules 456(b) and 457(r) under the Securities Act of 1933, as amended (the "Securities Act"), the registrant initially deferred payment of all of the registration fees for the Registration Statement on Form S-3 (Registration Nos. 333-293494 and 333-293494-01), filed on February 17, 2026, except with respect to unsold securities that have been previously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7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ind w:left="78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9ADAF6"/>
          </w:tcPr>
          <w:p>
            <w:pPr>
              <w:ind w:left="8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6"/>
              </w:rPr>
              <w:t>Associated</w:t>
            </w: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ind w:left="160"/>
              <w:spacing w:after="0" w:line="114" w:lineRule="exact"/>
              <w:rPr>
                <w:sz w:val="20"/>
                <w:szCs w:val="20"/>
                <w:color w:val="auto"/>
              </w:rPr>
            </w:pPr>
            <w:r>
              <w:rPr>
                <w:rFonts w:ascii="Arial" w:cs="Arial" w:eastAsia="Arial" w:hAnsi="Arial"/>
                <w:sz w:val="12"/>
                <w:szCs w:val="12"/>
                <w:b w:val="1"/>
                <w:bCs w:val="1"/>
                <w:color w:val="auto"/>
              </w:rPr>
              <w:t>Filer Name</w:t>
            </w:r>
          </w:p>
        </w:tc>
        <w:tc>
          <w:tcPr>
            <w:tcW w:w="20" w:type="dxa"/>
            <w:vAlign w:val="bottom"/>
          </w:tcPr>
          <w:p>
            <w:pPr>
              <w:spacing w:after="0"/>
              <w:rPr>
                <w:sz w:val="9"/>
                <w:szCs w:val="9"/>
                <w:color w:val="auto"/>
              </w:rPr>
            </w:pPr>
          </w:p>
        </w:tc>
        <w:tc>
          <w:tcPr>
            <w:tcW w:w="5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4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11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Associated</w:t>
            </w:r>
          </w:p>
        </w:tc>
        <w:tc>
          <w:tcPr>
            <w:tcW w:w="40" w:type="dxa"/>
            <w:vAlign w:val="bottom"/>
          </w:tcPr>
          <w:p>
            <w:pPr>
              <w:spacing w:after="0"/>
              <w:rPr>
                <w:sz w:val="9"/>
                <w:szCs w:val="9"/>
                <w:color w:val="auto"/>
              </w:rPr>
            </w:pPr>
          </w:p>
        </w:tc>
        <w:tc>
          <w:tcPr>
            <w:tcW w:w="8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1"/>
                <w:szCs w:val="11"/>
                <w:color w:val="auto"/>
              </w:rPr>
            </w:pPr>
          </w:p>
        </w:tc>
        <w:tc>
          <w:tcPr>
            <w:tcW w:w="9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11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1"/>
                <w:szCs w:val="11"/>
                <w:color w:val="auto"/>
              </w:rPr>
            </w:pPr>
          </w:p>
        </w:tc>
        <w:tc>
          <w:tcPr>
            <w:tcW w:w="8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vMerge w:val="continue"/>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4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7"/>
          </w:tcPr>
          <w:p>
            <w:pPr>
              <w:ind w:left="80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right"/>
              <w:ind w:right="157"/>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Digital Realty</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Stock,</w:t>
            </w: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1, 2</w:t>
            </w: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12/23/2024</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$0.01 par</w:t>
            </w: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4"/>
                <w:szCs w:val="14"/>
                <w:color w:val="auto"/>
              </w:rPr>
            </w:pPr>
          </w:p>
        </w:tc>
        <w:tc>
          <w:tcPr>
            <w:tcW w:w="4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Trust, Inc.</w:t>
            </w: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8"/>
              </w:rPr>
              <w:t>270596</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5"/>
              </w:rPr>
              <w:t>87,244.59</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569,853,667.18</w:t>
            </w:r>
          </w:p>
        </w:tc>
        <w:tc>
          <w:tcPr>
            <w:tcW w:w="4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line="114" w:lineRule="exact"/>
              <w:rPr>
                <w:sz w:val="20"/>
                <w:szCs w:val="20"/>
                <w:color w:val="auto"/>
              </w:rPr>
            </w:pPr>
            <w:r>
              <w:rPr>
                <w:rFonts w:ascii="Arial" w:cs="Arial" w:eastAsia="Arial" w:hAnsi="Arial"/>
                <w:sz w:val="12"/>
                <w:szCs w:val="12"/>
                <w:color w:val="auto"/>
              </w:rPr>
              <w:t>value per</w:t>
            </w:r>
          </w:p>
        </w:tc>
        <w:tc>
          <w:tcPr>
            <w:tcW w:w="4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Digital Realty</w:t>
            </w:r>
          </w:p>
        </w:tc>
        <w:tc>
          <w:tcPr>
            <w:tcW w:w="20" w:type="dxa"/>
            <w:vAlign w:val="bottom"/>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700" w:type="dxa"/>
            <w:vAlign w:val="bottom"/>
            <w:shd w:val="clear" w:color="auto" w:fill="E7E7E2"/>
          </w:tcPr>
          <w:p>
            <w:pPr>
              <w:jc w:val="center"/>
              <w:spacing w:after="0" w:line="176" w:lineRule="exact"/>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12/23/2024</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vMerge w:val="continue"/>
          </w:tcPr>
          <w:p>
            <w:pPr>
              <w:spacing w:after="0"/>
              <w:rPr>
                <w:sz w:val="15"/>
                <w:szCs w:val="15"/>
                <w:color w:val="auto"/>
              </w:rPr>
            </w:pPr>
          </w:p>
        </w:tc>
        <w:tc>
          <w:tcPr>
            <w:tcW w:w="860" w:type="dxa"/>
            <w:vAlign w:val="bottom"/>
            <w:shd w:val="clear" w:color="auto" w:fill="E7E7E2"/>
          </w:tcPr>
          <w:p>
            <w:pPr>
              <w:jc w:val="right"/>
              <w:spacing w:after="0" w:line="176"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4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Trust, Inc.</w:t>
            </w:r>
          </w:p>
        </w:tc>
        <w:tc>
          <w:tcPr>
            <w:tcW w:w="20" w:type="dxa"/>
            <w:vAlign w:val="bottom"/>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270596</w:t>
            </w: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448,009.62</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06" w:lineRule="exact"/>
        <w:rPr>
          <w:sz w:val="20"/>
          <w:szCs w:val="20"/>
          <w:color w:val="auto"/>
        </w:rPr>
      </w:pPr>
    </w:p>
    <w:p>
      <w:pPr>
        <w:ind w:left="220" w:right="240" w:hanging="186"/>
        <w:spacing w:after="0" w:line="224" w:lineRule="auto"/>
        <w:tabs>
          <w:tab w:leader="none" w:pos="220" w:val="left"/>
        </w:tabs>
        <w:numPr>
          <w:ilvl w:val="0"/>
          <w:numId w:val="77"/>
        </w:numPr>
        <w:rPr>
          <w:rFonts w:ascii="Arial" w:cs="Arial" w:eastAsia="Arial" w:hAnsi="Arial"/>
          <w:sz w:val="21"/>
          <w:szCs w:val="21"/>
          <w:color w:val="auto"/>
          <w:vertAlign w:val="superscript"/>
        </w:rPr>
      </w:pPr>
      <w:r>
        <w:rPr>
          <w:rFonts w:ascii="Arial" w:cs="Arial" w:eastAsia="Arial" w:hAnsi="Arial"/>
          <w:sz w:val="17"/>
          <w:szCs w:val="17"/>
          <w:color w:val="auto"/>
        </w:rPr>
        <w:t>The Registration Statement on Form S-3 (Registration No. 333-270596) filed on March 16, 2023 (the "Prior Registration Statement") terminated effective upon the filing of a Registration Statement on Form S-3 (Registration Nos. 333-293494 and 333-293494-01) filed on February 17, 2026 (the "Current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Offset Note</w:t>
      </w:r>
    </w:p>
    <w:p>
      <w:pPr>
        <w:spacing w:after="0" w:line="67" w:lineRule="exact"/>
        <w:rPr>
          <w:sz w:val="20"/>
          <w:szCs w:val="20"/>
          <w:color w:val="auto"/>
        </w:rPr>
      </w:pPr>
    </w:p>
    <w:p>
      <w:pPr>
        <w:ind w:left="220" w:hanging="186"/>
        <w:spacing w:after="0"/>
        <w:tabs>
          <w:tab w:leader="none" w:pos="220" w:val="left"/>
        </w:tabs>
        <w:numPr>
          <w:ilvl w:val="0"/>
          <w:numId w:val="78"/>
        </w:numPr>
        <w:rPr>
          <w:rFonts w:ascii="Arial" w:cs="Arial" w:eastAsia="Arial" w:hAnsi="Arial"/>
          <w:sz w:val="21"/>
          <w:szCs w:val="21"/>
          <w:color w:val="auto"/>
          <w:vertAlign w:val="superscript"/>
        </w:rPr>
      </w:pPr>
      <w:r>
        <w:rPr>
          <w:rFonts w:ascii="Arial" w:cs="Arial" w:eastAsia="Arial" w:hAnsi="Arial"/>
          <w:sz w:val="17"/>
          <w:szCs w:val="17"/>
          <w:color w:val="auto"/>
        </w:rPr>
        <w:t>Digital Realty Trust, Inc. (the "Company") is registering shares of common stock having a proposed maximum aggregate offering price of up to</w:t>
      </w:r>
    </w:p>
    <w:p>
      <w:pPr>
        <w:ind w:left="220" w:right="340"/>
        <w:spacing w:after="0" w:line="255" w:lineRule="auto"/>
        <w:rPr>
          <w:rFonts w:ascii="Arial" w:cs="Arial" w:eastAsia="Arial" w:hAnsi="Arial"/>
          <w:sz w:val="21"/>
          <w:szCs w:val="21"/>
          <w:color w:val="auto"/>
          <w:vertAlign w:val="superscript"/>
        </w:rPr>
      </w:pPr>
      <w:r>
        <w:rPr>
          <w:rFonts w:ascii="Arial" w:cs="Arial" w:eastAsia="Arial" w:hAnsi="Arial"/>
          <w:sz w:val="16"/>
          <w:szCs w:val="16"/>
          <w:color w:val="auto"/>
        </w:rPr>
        <w:t>$7,500,000,000 pursuant to the prospectus supplement to which this Exhibit 107 relates (the "Current Prospectus Supplement"). The Company has previously registered shares of common stock having an aggregate offering price of up to $3,000,000,000, offered by means of a prospectus supplement dated December 23, 2024 (the "December 2024 Prospectus Supplement") and an accompanying prospectus dated March 16, 2023</w:t>
      </w:r>
    </w:p>
    <w:p>
      <w:pPr>
        <w:sectPr>
          <w:pgSz w:w="11900" w:h="16838" w:orient="portrait"/>
          <w:cols w:equalWidth="0" w:num="1">
            <w:col w:w="11360"/>
          </w:cols>
          <w:pgMar w:left="300" w:top="141" w:right="239" w:bottom="0" w:gutter="0" w:footer="0" w:header="0"/>
        </w:sectPr>
      </w:pPr>
    </w:p>
    <w:bookmarkStart w:id="120" w:name="page121"/>
    <w:bookmarkEnd w:id="120"/>
    <w:p>
      <w:pPr>
        <w:ind w:left="220" w:right="100"/>
        <w:spacing w:after="0" w:line="246" w:lineRule="auto"/>
        <w:rPr>
          <w:sz w:val="20"/>
          <w:szCs w:val="20"/>
          <w:color w:val="auto"/>
        </w:rPr>
      </w:pPr>
      <w:r>
        <w:rPr>
          <w:rFonts w:ascii="Arial" w:cs="Arial" w:eastAsia="Arial" w:hAnsi="Arial"/>
          <w:sz w:val="16"/>
          <w:szCs w:val="16"/>
          <w:color w:val="auto"/>
        </w:rPr>
        <w:t>pursuant to the Prior Registration Statement. In connection with the filing of the December 2024 Prospectus Supplement, the Company made a contemporaneous fee payment in the amount of $448,009.62, reflecting the fee due with respect to shares of common stock to be offered and sold pursuant to the December 2024 Prospectus Supplement that were not unsold securities registered pursuant to a prior prospectus supplement. The Prior Registration Statement terminated effective upon the filing of the Current Registration Statement. The Company subsequently filed a prospectus supplement dated February 17, 2026 (the "February 2026 Prospectus Supplement" and, together with the December 2024 Prospectus Supplement, the "Prior Prospectus Supplements") and an accompanying prospectus dated February 17, 2026, pursuant to the Current Registration Statement relating to the offer and sale of shares of common stock having an aggregate offering price of up to $1,886,352,255.50, which represented the unsold portion of the securities previously registered pursuant to the December 2024 Prospectus Supplement and Prior Registration Statement, and accordingly, the Company did not make a contemporaneous fee payment in accordance with Rule 415(a)(6). Shares of common stock having a proposed maximum aggregate offering price of $1,316,498,588.32 have been sold as of the date hereof pursuant to the February 2026 Prospectus Supplement. Shares of common stock having a proposed maximum offering price of $569,853,667.18 that are being registered pursuant to the Current Prospectus Supplement represent unsold securities previously registered pursuant to the Prior Prospectus Supplements. Pursuant to Rule 457(p) under the Securities Act, $87,244.59 of the registration fees that were paid with respect to securities that were previously registered pursuant to the Prior Prospectus Supplements and were not sold thereunder is offset against the registration fee of $1,035,750 due for this offering. The remaining balance of the registration fee, $948,505.41, has been paid in connection with the filing of the Current Prospectus Supplement. The Company has terminated the offerings that included the unsold securities under the Prior Prospectus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494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maximum aggregate offering price of the securities to which the prospectus relates is $7,500,000,000.00. The prospectus is a final prospectus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2"/>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lowerRoman"/>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44">
    <w:nsid w:val="3F6AB60F"/>
    <w:multiLevelType w:val="hybridMultilevel"/>
    <w:lvl w:ilvl="0">
      <w:lvlJc w:val="left"/>
      <w:lvlText w:val="(%1)"/>
      <w:numFmt w:val="upperLetter"/>
      <w:start w:val="2"/>
    </w:lvl>
    <w:lvl w:ilvl="1">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lvl w:ilvl="1">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lowerRoman"/>
      <w:start w:val="2"/>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decimal"/>
      <w:start w:val="3"/>
    </w:lvl>
  </w:abstractNum>
  <w:abstractNum w:abstractNumId="74">
    <w:nsid w:val="BF72B14"/>
    <w:multiLevelType w:val="hybridMultilevel"/>
    <w:lvl w:ilvl="0">
      <w:lvlJc w:val="left"/>
      <w:lvlText w:val="(%1)"/>
      <w:numFmt w:val="lowerRoman"/>
      <w:start w:val="3"/>
    </w:lvl>
  </w:abstractNum>
  <w:abstractNum w:abstractNumId="75">
    <w:nsid w:val="11447B73"/>
    <w:multiLevelType w:val="hybridMultilevel"/>
    <w:lvl w:ilvl="0">
      <w:lvlJc w:val="left"/>
      <w:lvlText w:val="1"/>
      <w:numFmt w:val="bullet"/>
      <w:start w:val="1"/>
    </w:lvl>
  </w:abstractNum>
  <w:abstractNum w:abstractNumId="76">
    <w:nsid w:val="42963E5A"/>
    <w:multiLevelType w:val="hybridMultilevel"/>
    <w:lvl w:ilvl="0">
      <w:lvlJc w:val="left"/>
      <w:lvlText w:val="1"/>
      <w:numFmt w:val="bullet"/>
      <w:start w:val="1"/>
    </w:lvl>
  </w:abstractNum>
  <w:abstractNum w:abstractNumId="77">
    <w:nsid w:val="A0382C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jpe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41" Type="http://schemas.openxmlformats.org/officeDocument/2006/relationships/hyperlink" Target="http://www.sec.gov/ix?doc=/Archives/edgar/data/1297996/000110465926015365/dlr-20251231x10k.htm" TargetMode="External"/><Relationship Id="rId42" Type="http://schemas.openxmlformats.org/officeDocument/2006/relationships/hyperlink" Target="http://www.sec.gov/ix?doc=/Archives/edgar/data/0001297996/000130817926000296/dlr015307-def14a.htm" TargetMode="External"/><Relationship Id="rId43" Type="http://schemas.openxmlformats.org/officeDocument/2006/relationships/hyperlink" Target="http://www.sec.gov/ix?doc=/Archives/edgar/data/0001297996/000119312526053164/d112316d8k.htm" TargetMode="External"/><Relationship Id="rId44" Type="http://schemas.openxmlformats.org/officeDocument/2006/relationships/hyperlink" Target="http://www.sec.gov/Archives/edgar/data/1297996/000119312504179636/d8a12b.htm" TargetMode="External"/><Relationship Id="rId55" Type="http://schemas.openxmlformats.org/officeDocument/2006/relationships/hyperlink" Target="http://www.sec.gov/Archives/edgar/data/1297996/000110465926015365/dlr-20251231x10k.htm" TargetMode="External"/><Relationship Id="rId56" Type="http://schemas.openxmlformats.org/officeDocument/2006/relationships/hyperlink" Target="http://www.sec.gov/Archives/edgar/data/1297996/000130817925000509/dlr000000-def14a.htm" TargetMode="External"/><Relationship Id="rId57" Type="http://schemas.openxmlformats.org/officeDocument/2006/relationships/hyperlink" Target="http://www.sec.gov/Archives/edgar/data/1297996/000155837025001424/dlr-20241231x10k.htm" TargetMode="External"/><Relationship Id="rId58" Type="http://schemas.openxmlformats.org/officeDocument/2006/relationships/hyperlink" Target="http://www.sec.gov/Archives/edgar/data/1297996/000119312517248824/d425847d8a12b.htm" TargetMode="External"/><Relationship Id="rId59" Type="http://schemas.openxmlformats.org/officeDocument/2006/relationships/hyperlink" Target="http://www.sec.gov/Archives/edgar/data/1297996/000119312519072090/d721065d8a12b.htm" TargetMode="External"/><Relationship Id="rId60" Type="http://schemas.openxmlformats.org/officeDocument/2006/relationships/hyperlink" Target="http://www.sec.gov/Archives/edgar/data/1297996/000119312519265151/d81096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2026-05-04T06:28:44Z</dcterms:created>
  <dcterms:modified xsi:type="dcterms:W3CDTF">2026-05-04T06:28:44Z</dcterms:modified>
</cp:coreProperties>
</file>