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333-293494</w:t>
      </w:r>
    </w:p>
    <w:p>
      <w:pPr>
        <w:spacing w:after="0" w:line="274" w:lineRule="exact"/>
        <w:rPr>
          <w:sz w:val="24"/>
          <w:szCs w:val="24"/>
          <w:color w:val="auto"/>
        </w:rPr>
      </w:pPr>
    </w:p>
    <w:tbl>
      <w:tblPr>
        <w:tblLayout w:type="fixed"/>
        <w:tblInd w:w="120" w:type="dxa"/>
        <w:tblCellMar>
          <w:top w:w="0" w:type="dxa"/>
          <w:left w:w="0" w:type="dxa"/>
          <w:bottom w:w="0" w:type="dxa"/>
          <w:right w:w="0" w:type="dxa"/>
        </w:tblCellMar>
      </w:tblPr>
      <w:tr>
        <w:trPr>
          <w:trHeight w:val="248"/>
        </w:trPr>
        <w:tc>
          <w:tcPr>
            <w:tcW w:w="180" w:type="dxa"/>
            <w:vAlign w:val="bottom"/>
            <w:vMerge w:val="restart"/>
            <w:textDirection w:val="btLr"/>
          </w:tcPr>
          <w:p>
            <w:pPr>
              <w:ind w:left="169"/>
              <w:spacing w:after="0"/>
              <w:rPr>
                <w:sz w:val="20"/>
                <w:szCs w:val="20"/>
                <w:color w:val="auto"/>
              </w:rPr>
            </w:pPr>
            <w:r>
              <w:rPr>
                <w:rFonts w:ascii="Times New Roman" w:cs="Times New Roman" w:eastAsia="Times New Roman" w:hAnsi="Times New Roman"/>
                <w:sz w:val="1"/>
                <w:szCs w:val="1"/>
                <w:b w:val="1"/>
                <w:bCs w:val="1"/>
                <w:color w:val="FF4338"/>
                <w:w w:val="40"/>
              </w:rPr>
              <w:t>TheinformationinthispreliminaryprospectussupplementrelatestoaneffectiveregistrationstatementundertheSecuritiesActof1933,asamended,</w:t>
            </w:r>
          </w:p>
        </w:tc>
        <w:tc>
          <w:tcPr>
            <w:tcW w:w="440" w:type="dxa"/>
            <w:vAlign w:val="bottom"/>
            <w:vMerge w:val="restart"/>
            <w:textDirection w:val="btLr"/>
          </w:tcPr>
          <w:p>
            <w:pPr>
              <w:ind w:left="429"/>
              <w:spacing w:after="0"/>
              <w:rPr>
                <w:sz w:val="20"/>
                <w:szCs w:val="20"/>
                <w:color w:val="auto"/>
              </w:rPr>
            </w:pPr>
            <w:r>
              <w:rPr>
                <w:rFonts w:ascii="Times New Roman" w:cs="Times New Roman" w:eastAsia="Times New Roman" w:hAnsi="Times New Roman"/>
                <w:sz w:val="1"/>
                <w:szCs w:val="1"/>
                <w:b w:val="1"/>
                <w:bCs w:val="1"/>
                <w:color w:val="FF4338"/>
                <w:w w:val="20"/>
              </w:rPr>
              <w:t>butisnotcompleteandmaybechanged.Thispreliminaryprospectussupplementandtheaccompanyingprospectusarenotanoffertosellthesesecuritiesandneitherwenorthesellingstockholdersaresolicitingofferstobuythesesecuritiesinanystateorotherjurisdictionwheretheofferorsale</w:t>
            </w:r>
          </w:p>
        </w:tc>
        <w:tc>
          <w:tcPr>
            <w:tcW w:w="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w:t>
            </w:r>
          </w:p>
        </w:tc>
        <w:tc>
          <w:tcPr>
            <w:tcW w:w="0" w:type="dxa"/>
            <w:vAlign w:val="bottom"/>
          </w:tcPr>
          <w:p>
            <w:pPr>
              <w:spacing w:after="0"/>
              <w:rPr>
                <w:sz w:val="1"/>
                <w:szCs w:val="1"/>
                <w:color w:val="auto"/>
              </w:rPr>
            </w:pPr>
          </w:p>
        </w:tc>
      </w:tr>
      <w:tr>
        <w:trPr>
          <w:trHeight w:val="2"/>
        </w:trPr>
        <w:tc>
          <w:tcPr>
            <w:tcW w:w="1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7060" w:type="dxa"/>
            <w:vAlign w:val="bottom"/>
            <w:gridSpan w:val="3"/>
            <w:textDirection w:val="btLr"/>
          </w:tcPr>
          <w:p>
            <w:pPr>
              <w:ind w:left="229"/>
              <w:spacing w:after="0"/>
              <w:rPr>
                <w:sz w:val="20"/>
                <w:szCs w:val="20"/>
                <w:color w:val="auto"/>
              </w:rPr>
            </w:pPr>
            <w:r>
              <w:rPr>
                <w:rFonts w:ascii="Times New Roman" w:cs="Times New Roman" w:eastAsia="Times New Roman" w:hAnsi="Times New Roman"/>
                <w:sz w:val="1"/>
                <w:szCs w:val="1"/>
                <w:b w:val="1"/>
                <w:bCs w:val="1"/>
                <w:color w:val="FF4338"/>
                <w:w w:val="0"/>
              </w:rPr>
              <w:t>isnotpermitted.</w:t>
            </w: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4338"/>
                <w:w w:val="99"/>
              </w:rPr>
              <w:t>Preliminary Prospectus Supplement dated June 29, 2026</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17, 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$2,346,087,437.83</w:t>
      </w: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Digital Realty Trust, Inc.</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247015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980" w:right="1000"/>
        <w:spacing w:after="0" w:line="261" w:lineRule="auto"/>
        <w:rPr>
          <w:sz w:val="20"/>
          <w:szCs w:val="20"/>
          <w:color w:val="auto"/>
        </w:rPr>
      </w:pPr>
      <w:r>
        <w:rPr>
          <w:rFonts w:ascii="Times New Roman" w:cs="Times New Roman" w:eastAsia="Times New Roman" w:hAnsi="Times New Roman"/>
          <w:sz w:val="18"/>
          <w:szCs w:val="18"/>
          <w:color w:val="auto"/>
        </w:rPr>
        <w:t>The selling stockholders identified in this prospectus supplement are selling $2,346,087,437.83 of shares of our common stock, $0.01 par value per share (“common stock”), in this offering. We are not selling any shares of common stock under this prospectus supplement and will not receive any proceeds from the sale of shares by the selling stockholders. See “Use of Proceeds.”</w:t>
      </w:r>
    </w:p>
    <w:p>
      <w:pPr>
        <w:spacing w:after="0" w:line="180" w:lineRule="exact"/>
        <w:rPr>
          <w:sz w:val="24"/>
          <w:szCs w:val="24"/>
          <w:color w:val="auto"/>
        </w:rPr>
      </w:pPr>
    </w:p>
    <w:p>
      <w:pPr>
        <w:ind w:left="980" w:right="1100"/>
        <w:spacing w:after="0" w:line="261"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real estate investment trust (“REIT”), for U.S. federal income tax purposes. To assist us in complying with certain federal income tax requirements applicable to REITs, our charter contains certain restrictions relating to the ownership and transfer of our stock, including an ownership limit of 9.8% (by value or by number of shares, whichever is more restrictive) on the outstanding shares of our common stock.</w:t>
      </w:r>
    </w:p>
    <w:p>
      <w:pPr>
        <w:spacing w:after="0" w:line="180" w:lineRule="exact"/>
        <w:rPr>
          <w:sz w:val="24"/>
          <w:szCs w:val="24"/>
          <w:color w:val="auto"/>
        </w:rPr>
      </w:pPr>
    </w:p>
    <w:p>
      <w:pPr>
        <w:ind w:left="980" w:right="13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“DLR”. The last reported sale price of our common stock on the New York Stock Exchange on June 26, 2026 was $193.00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208280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980" w:right="92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S-5 of this prospectus supplement and the matters discussed in the documents incorporated by reference in this prospectus supplement and the accompanying prospectus.</w:t>
      </w:r>
    </w:p>
    <w:p>
      <w:pPr>
        <w:spacing w:after="0" w:line="176" w:lineRule="exact"/>
        <w:rPr>
          <w:sz w:val="24"/>
          <w:szCs w:val="24"/>
          <w:color w:val="auto"/>
        </w:rPr>
      </w:pPr>
    </w:p>
    <w:p>
      <w:pPr>
        <w:ind w:left="980" w:right="1120"/>
        <w:spacing w:after="0" w:line="291" w:lineRule="auto"/>
        <w:rPr>
          <w:sz w:val="20"/>
          <w:szCs w:val="20"/>
          <w:color w:val="auto"/>
        </w:rPr>
      </w:pPr>
      <w:r>
        <w:rPr>
          <w:rFonts w:ascii="Times New Roman" w:cs="Times New Roman" w:eastAsia="Times New Roman" w:hAnsi="Times New Roman"/>
          <w:sz w:val="17"/>
          <w:szCs w:val="17"/>
          <w:b w:val="1"/>
          <w:bCs w:val="1"/>
          <w:color w:val="auto"/>
        </w:rPr>
        <w:t>Neither the U.S. Securities and Exchange Commission (the “SEC”) nor any state securities commission, nor any other regulatory body has approved or disapproved of these securities or passed on the adequacy or accuracy of this prospectus supplement and the prospectus to which it relates. Any representation to the contrary is a criminal offense.</w:t>
      </w:r>
    </w:p>
    <w:p>
      <w:pPr>
        <w:spacing w:after="0" w:line="178" w:lineRule="exact"/>
        <w:rPr>
          <w:sz w:val="24"/>
          <w:szCs w:val="24"/>
          <w:color w:val="auto"/>
        </w:rPr>
      </w:pPr>
    </w:p>
    <w:tbl>
      <w:tblPr>
        <w:tblLayout w:type="fixed"/>
        <w:tblInd w:w="210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5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1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1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4"/>
          <w:szCs w:val="24"/>
          <w:color w:val="auto"/>
        </w:rPr>
      </w:pPr>
    </w:p>
    <w:p>
      <w:pPr>
        <w:ind w:left="980"/>
        <w:spacing w:after="0"/>
        <w:tabs>
          <w:tab w:leader="none" w:pos="1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Please see the section entitled “Underwriting” for a description of the compensation payable to the underwriter.</w:t>
      </w:r>
    </w:p>
    <w:p>
      <w:pPr>
        <w:spacing w:after="0" w:line="225" w:lineRule="exact"/>
        <w:rPr>
          <w:sz w:val="24"/>
          <w:szCs w:val="24"/>
          <w:color w:val="auto"/>
        </w:rPr>
      </w:pPr>
    </w:p>
    <w:p>
      <w:pPr>
        <w:ind w:left="980" w:right="960"/>
        <w:spacing w:after="0" w:line="282" w:lineRule="auto"/>
        <w:rPr>
          <w:sz w:val="20"/>
          <w:szCs w:val="20"/>
          <w:color w:val="auto"/>
        </w:rPr>
      </w:pPr>
      <w:r>
        <w:rPr>
          <w:rFonts w:ascii="Times New Roman" w:cs="Times New Roman" w:eastAsia="Times New Roman" w:hAnsi="Times New Roman"/>
          <w:sz w:val="18"/>
          <w:szCs w:val="18"/>
          <w:color w:val="auto"/>
        </w:rPr>
        <w:t>The underwriter expects to deliver the shares to purchasers on or about         , 2026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200025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Morgan Stanley</w:t>
      </w:r>
    </w:p>
    <w:p>
      <w:pPr>
        <w:sectPr>
          <w:pgSz w:w="11900" w:h="16838" w:orient="portrait"/>
          <w:cols w:equalWidth="0" w:num="1">
            <w:col w:w="11140"/>
          </w:cols>
          <w:pgMar w:left="320" w:top="225" w:right="439" w:bottom="1440" w:gutter="0" w:footer="0" w:header="0"/>
        </w:sect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2026.</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39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 and the Prospectus</w:t>
            </w:r>
          </w:p>
        </w:tc>
        <w:tc>
          <w:tcPr>
            <w:tcW w:w="4840" w:type="dxa"/>
            <w:vAlign w:val="bottom"/>
            <w:gridSpan w:val="3"/>
          </w:tcPr>
          <w:p>
            <w:pPr>
              <w:spacing w:after="0"/>
              <w:rPr>
                <w:sz w:val="24"/>
                <w:szCs w:val="24"/>
                <w:color w:val="auto"/>
              </w:rPr>
            </w:pP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8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1480" w:type="dxa"/>
            <w:vAlign w:val="bottom"/>
            <w:tcBorders>
              <w:top w:val="single" w:sz="8" w:color="0000EE"/>
            </w:tcBorders>
            <w:gridSpan w:val="15"/>
          </w:tcPr>
          <w:p>
            <w:pPr>
              <w:spacing w:after="0"/>
              <w:rPr>
                <w:sz w:val="17"/>
                <w:szCs w:val="17"/>
                <w:color w:val="auto"/>
              </w:rPr>
            </w:pPr>
          </w:p>
        </w:tc>
        <w:tc>
          <w:tcPr>
            <w:tcW w:w="6380" w:type="dxa"/>
            <w:vAlign w:val="bottom"/>
            <w:gridSpan w:val="8"/>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7300" w:type="dxa"/>
            <w:vAlign w:val="bottom"/>
            <w:gridSpan w:val="16"/>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800" w:type="dxa"/>
            <w:vAlign w:val="bottom"/>
            <w:gridSpan w:val="21"/>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940" w:type="dxa"/>
            <w:vAlign w:val="bottom"/>
            <w:gridSpan w:val="7"/>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668"/>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16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7160" w:type="dxa"/>
            <w:vAlign w:val="bottom"/>
            <w:gridSpan w:val="15"/>
            <w:vMerge w:val="restart"/>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1640" w:type="dxa"/>
            <w:vAlign w:val="bottom"/>
            <w:tcBorders>
              <w:bottom w:val="single" w:sz="8" w:color="0000EE"/>
            </w:tcBorders>
            <w:gridSpan w:val="11"/>
            <w:vMerge w:val="continue"/>
          </w:tcPr>
          <w:p>
            <w:pPr>
              <w:spacing w:after="0"/>
              <w:rPr>
                <w:sz w:val="14"/>
                <w:szCs w:val="14"/>
                <w:color w:val="auto"/>
              </w:rPr>
            </w:pPr>
          </w:p>
        </w:tc>
        <w:tc>
          <w:tcPr>
            <w:tcW w:w="7160" w:type="dxa"/>
            <w:vAlign w:val="bottom"/>
            <w:gridSpan w:val="15"/>
            <w:vMerge w:val="continue"/>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80" w:type="dxa"/>
            <w:vAlign w:val="bottom"/>
            <w:gridSpan w:val="20"/>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200" w:type="dxa"/>
            <w:vAlign w:val="bottom"/>
            <w:gridSpan w:val="5"/>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6580" w:type="dxa"/>
            <w:vAlign w:val="bottom"/>
            <w:gridSpan w:val="10"/>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6600" w:type="dxa"/>
            <w:vAlign w:val="bottom"/>
            <w:gridSpan w:val="11"/>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420" w:type="dxa"/>
            <w:vAlign w:val="bottom"/>
            <w:gridSpan w:val="9"/>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Related Guarantees</w:t>
            </w:r>
          </w:p>
        </w:tc>
        <w:tc>
          <w:tcPr>
            <w:tcW w:w="4860" w:type="dxa"/>
            <w:vAlign w:val="bottom"/>
            <w:gridSpan w:val="4"/>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Restrictions on Ownership and Transfer</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Partnership Agreement of Digital Realty Trust, L.P.</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Provisions of Maryland Law and of the Charter and Bylaws of Digital Realty Trust, Inc.</w:t>
            </w:r>
          </w:p>
        </w:tc>
        <w:tc>
          <w:tcPr>
            <w:tcW w:w="1800" w:type="dxa"/>
            <w:vAlign w:val="bottom"/>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1840" w:type="dxa"/>
            <w:vAlign w:val="bottom"/>
            <w:tcBorders>
              <w:top w:val="single" w:sz="8" w:color="0000EE"/>
            </w:tcBorders>
            <w:gridSpan w:val="8"/>
          </w:tcPr>
          <w:p>
            <w:pPr>
              <w:spacing w:after="0"/>
              <w:rPr>
                <w:sz w:val="17"/>
                <w:szCs w:val="17"/>
                <w:color w:val="auto"/>
              </w:rPr>
            </w:pPr>
          </w:p>
        </w:tc>
        <w:tc>
          <w:tcPr>
            <w:tcW w:w="5240" w:type="dxa"/>
            <w:vAlign w:val="bottom"/>
            <w:gridSpan w:val="6"/>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380" w:type="dxa"/>
            <w:vAlign w:val="bottom"/>
            <w:gridSpan w:val="17"/>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800" w:type="dxa"/>
            <w:vAlign w:val="bottom"/>
            <w:gridSpan w:val="21"/>
          </w:tcPr>
          <w:p>
            <w:pPr>
              <w:spacing w:after="0"/>
              <w:rPr>
                <w:sz w:val="17"/>
                <w:szCs w:val="17"/>
                <w:color w:val="auto"/>
              </w:rPr>
            </w:pPr>
          </w:p>
        </w:tc>
        <w:tc>
          <w:tcPr>
            <w:tcW w:w="2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prospectus or any applicable free writing prospectus in making a decision about whether to invest in our common stock. We, the selling stockholders and the underwriter have not authorized any other person to provide you with different or additional information. If anyone provides you with different or additional information, you should not rely on it. The distribution of this prospectus supplement and the accompanying prospectus and the offering of the common stock in certain jurisdictions may be restricted by law. If you possess this prospectus supplement and the accompanying prospectus, you should find out about and observe these restrictions. This prospectus supplement and the accompanying prospectus do not constitute an offer to sell, or a solicitation of an offer to purchase, any securities in any jurisdiction where it is unlawful to make such offer or solicitation or where the person making the offer or sale is not qualified to do so or to any person to whom it is not permitted to make such</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offer or sale. You should assume that the information appearing in this prospectus supplement, the accompanying prospectus, any applicable free writing prospectus and the documents incorporated by reference herein or therein is accurate only as of their respective dates or on the date or dates which are specified in these documents. Our business, financial condition, liquidity, results of operations and prospects may have changed since those dates. The description set forth in this prospectus supplement replaces and supplements, where inconsistent, the description of the general terms and provisions set forth in the accompanying prospectus.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00"/>
          </w:cols>
          <w:pgMar w:left="320" w:top="455"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 AND THE PROSPECTUS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also adds to, changes and updates information contained in the accompanying prospectus and the documents incorporated by reference into this prospectus supplement and the accompanying prospectus. The second part, the accompanying prospectus, gives more general information about the securities we may offer from time to time, some of which does not apply to the common stock the selling stockholders are offering. 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w:t>
      </w:r>
    </w:p>
    <w:p>
      <w:pPr>
        <w:spacing w:after="0" w:line="19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prospectus in making your investment decision. You should also read and consider the information contained in the documents identified under the heading “Incorporation by Reference.”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supplement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supplement to “our operating partnership” or “the operating partnership” refer to Digital Realty Trust, L.P. together with its consolidated subsidiaries.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references in this prospectus supplement to: “global revolving credit facility” refer to our operating partnership’s $4.2 billion senior unsecured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revolving credit facility and global senior credit agreement, as amended; “Yen revolving credit facility” refer to our operating partnership’s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¥42,511,000,000 (approximately $268 million based on exchange rates at March 31, 2026) senior unsecured revolving credit facility and Yen credit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as amended; “revolving credit facilities” or “global revolving credit facilities” refer to our global revolving credit facility and our Yen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revolving credit facility, collectively; “2025-27 Euro term facility” or “term facility” refer to the €375,000,000 three-year senior unsecured term loan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facility of Digital Dutch Finco B.V.</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make statements in this prospectus supplement, the accompanying prospectus and the documents incorporated herein and therein by reference that are forward-looking statements within the meaning of the federal securities laws. In particular, statements pertaining to our capital resources, expected use of borrowings under our credit facilities, expected use of proceeds from this offering,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w:t>
      </w:r>
    </w:p>
    <w:p>
      <w:pPr>
        <w:spacing w:after="0" w:line="1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data centers or decreases in information technology spending;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rental rates, increased operating costs or increased vacancy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or available supply of data center capacity;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obligations or restrictions under our contracts with our customers;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develop and lease new properties and development capacity, and delays or unexpected costs in development of properties;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and local economic, credit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or procurement disruptions, or increased supply chain costs;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periods of heightened inflation on our costs, such as operating and general and administrative expenses, interest expense and real estate acquisition and construction costs;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customers’ and our suppliers’ operations during an epidemic, pandemic, or other global events;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significant customers, bankruptcy or insolvency of a major customer or a significant number of smaller customers, or defaults on or non-renewal of leases by customers;</w:t>
      </w:r>
    </w:p>
    <w:p>
      <w:pPr>
        <w:spacing w:after="0" w:line="67"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conditions, geopolitical turmoil, political instability, civil disturbances, restrictive governmental actions or nationalization in the countries in which we operate;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data center capacity that we lease or sublease from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cyberattacks, security breaches and data privacy breaches;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an international business and acquiring or operating properties in foreign jurisdictions and unfamiliar metropolitan areas;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realize the intended benefits from, or disruptions to our plans and operations or unknown or contingent liabilities related to, our recent and future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integrate and operate acquired or developed properties or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properties to acquire and completing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joint venture investments, including as a result of our lack of control of such investments;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necessary debt and equity financing, and our dependence on external sources of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fluctuations and changes in foreign currency exchange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our growth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 excess of our insurance coverage;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talent;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risks related to natural disasters and our inability to achieve our sustainability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operating performance of anticipated near-term acquisitions and descriptions relating to these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rules and regulations applicable to our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Realty Trust, Inc.’s failure to maintain its status as a REIT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Realty Trust, L.P.’s failure to qualify as a partnership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certain business activities;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state, federal and international laws and regulations, including related to taxation, real estate and zoning laws, and increases in real property tax rates;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financial, accounting, legal or regulatory issues or litigation that may affect us;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additional risks and factors discussed in reports filed with the SEC by us from time to time, including those discussed under the heading “Risk Factors” in our most recently filed reports on Forms 10-K and 10-Q.</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The risks included here are not exhaustive, and additional factors could adversely affect our business and financial performance, including factors and risks included in other sections of this prospectus supplement, the accompanying prospectus or the documents incorporated by reference herein or therein. Moreover, we operate in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very competitive and rapidly changing environment. New risk factors emerge from time to time and it is not possible for management to identify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For a further discussion of these and other factors that could impact our future results, performance or transactions, see the section entitled “Risk Factors” in this prospectus supplement, in the accompanying prospectus and in our Combined Annual Report on Form 10-K for the year ended December 31, 2025, as may be updated by subsequent filings with the SEC that are incorporated by reference in this prospectus supplement and the accompanying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summary together with the more detailed information regarding our company and the financial statements appearing elsewhere in this prospectus supplement and the accompanying prospectus or incorporated by reference in this prospectus supplement and the accompanying prospectus, including under the caption “Risk Factors.”</w:t>
      </w: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Digital Realty Trust, Inc., through its controlling interest in Digital Realty Trust, L.P. and its subsidiaries, is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federal income tax purposes, and our operating partnership is the entity through which we conduct our business and own our assets.</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As of March 31, 2026, our portfolio included 309 data centers, including 89 data centers held as investments in unconsolidated entities, with approximately 2,408 megawatts of uninterruptible power supply-backed utility power dedicated to our operated data center capacity, excluding space under active development and space held for development. As of March 31, 2026, our portfolio, including the 89 data centers held as investments in unconsolidated entities, was approximately 89.4% leased, excluding space under active development and space held for development.</w:t>
      </w:r>
    </w:p>
    <w:p>
      <w:pPr>
        <w:spacing w:after="0" w:line="183"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Digital Realty Trust, Inc. was incorporated in the state of Maryland on March 9, 2004. Digital Realty Trust, L.P. was organized in the state of Maryland on July 21, 2004. Our principal executive offices are located at 601 West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Floor 32, Austin, Texas 78701. Our telephone number is (737) 281-0101. Our website is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Purchase of Blackstone’s Interest in Digital Carver Dulles 9 and Digital Carver Brickyard Joint Ventures</w:t>
      </w:r>
    </w:p>
    <w:p>
      <w:pPr>
        <w:spacing w:after="0" w:line="119" w:lineRule="exact"/>
        <w:rPr>
          <w:sz w:val="20"/>
          <w:szCs w:val="20"/>
          <w:color w:val="auto"/>
        </w:rPr>
      </w:pPr>
    </w:p>
    <w:p>
      <w:pPr>
        <w:ind w:left="300" w:right="60" w:firstLine="426"/>
        <w:spacing w:after="0" w:line="269" w:lineRule="auto"/>
        <w:rPr>
          <w:sz w:val="20"/>
          <w:szCs w:val="20"/>
          <w:color w:val="auto"/>
        </w:rPr>
      </w:pPr>
      <w:r>
        <w:rPr>
          <w:rFonts w:ascii="Times New Roman" w:cs="Times New Roman" w:eastAsia="Times New Roman" w:hAnsi="Times New Roman"/>
          <w:sz w:val="17"/>
          <w:szCs w:val="17"/>
          <w:color w:val="auto"/>
        </w:rPr>
        <w:t>On June 29, 2026, the company entered into an agreement to purchase from affiliates of Blackstone Inc. (collectively, “Blackstone” or the “selling stockholders”) all of Blackstone’s blended 64% interests in the Digital Carver Dulles 9 and Digital Carver Brickyard joint ventures (the “joint ventures”) (resulting in each of the joint ventures becoming a wholly owned subsidiary of the operating partnership) for consideration consisting of $1,231 million in cash and a number of shares of the company’s non-voting common stock calculated by dividing $2,346,087,437.83 by the last reported sale price of the company’s common stock on the New York Stock Exchange on June 29, 2026, rounded down the nearest whole number. Pursuant to the terms of the Articles Supplementary governing the non-voting common stock, each share of non-voting common stock will automatically convert into one share of the company’s common stock upon its transfer by the selling stockholders or one of their affiliates to a person that is not affiliated with the selling stockholders. The non-voting common stock will have rights and preferences that are identical to the company’s existing common stock, except that it will have no voting rights and it will automatically convert into common stock upon such transfer. The purchase is expected to be completed on June 30, 2026 and is subject to customary closing conditions. This offering is conditioned upon the occurrence of the completion of the purchase and the issuance of the non-voting common stock to the selling stockholders.</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61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joint ventures are developing three hyperscale data centers totaling 288 megawatts of expected critical IT capacity located in Northern Virginia, the world’s largest data center market. Upon the completion of the purchase, the company will have acquired Blackstone’s 80% interest in two data centers in Manassas and Blackstone’s 50% interest in the Digital Dulles campus in Sterling, each with 96 megawatts of IT capacity, at a gross value of $7.8 billion (including assumed debt and estimated remaining capital expenditures to complete the ongoing development), reflecting an estimated initial stabilized capitalization rate of over 6.5%. Two of the data centers are expected to stabilize in the first half of 2027, with the third expected to stabilize in the first half of 2028. The three data centers are 100% leased to three distinct investment-grade hyperscale customers. Through this transaction, the company will increase its exposure to newly developed capacity in the world’s largest data center market, supported by 15-year leases with a blended average Aa3/AA- credit-rating and 3.6% annual rent escalators (in each case, weighted by annualized rent), that are expected to enhance the company’s growth. We expect the purchase of these interests to be leverage neutral and accretive to core funds from operations (“Core FFO”) per share in each of 2027 and 2028, as development is completed and rents commence.</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1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On April 30, 2026, the operating partnership acquired approximately 1,440 acres of land for development at Astra Enterprise Park, located near Kansas City for approximately $377.6 million in cash and 517,475 common units of partnership interest in the operating partnership. The operating partnership has entered into an agreement with the local utility for 600 megawatts of utility power to be provided by early 2028, and two gigawatts expected at full capacity.</w:t>
      </w:r>
    </w:p>
    <w:p>
      <w:pPr>
        <w:spacing w:after="0" w:line="180"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On June 22, 2026, the company agreed to issue 3,425,031 shares of its common stock to purchase approximately 16% of the interests in the company’s Teraco joint venture pursuant to an existing put right exercised by certain of the joint venture’s third party partners. The purchase will increase the company’s interest in Africa’s leading data center platform to 77%. The company has agreed to provide the applicable sellers resale registration rights with respect to the common stock to be issued. Completion of the repurchase transaction is expected to occur in the second half of 2026, subject to customary closing conditions and regulatory approvals. As of March 31, 2026, the Teraco joint venture had over 29,000 cross-connects and 126 megawatts in existing capacity with an additional 41 megawatts under construction.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At-the-Market Program Activity</w:t>
      </w:r>
    </w:p>
    <w:p>
      <w:pPr>
        <w:spacing w:after="0" w:line="119" w:lineRule="exact"/>
        <w:rPr>
          <w:sz w:val="20"/>
          <w:szCs w:val="20"/>
          <w:color w:val="auto"/>
        </w:rPr>
      </w:pPr>
    </w:p>
    <w:p>
      <w:pPr>
        <w:ind w:left="300" w:right="260" w:firstLine="426"/>
        <w:spacing w:after="0" w:line="256" w:lineRule="auto"/>
        <w:rPr>
          <w:sz w:val="20"/>
          <w:szCs w:val="20"/>
          <w:color w:val="auto"/>
        </w:rPr>
      </w:pPr>
      <w:r>
        <w:rPr>
          <w:rFonts w:ascii="Times New Roman" w:cs="Times New Roman" w:eastAsia="Times New Roman" w:hAnsi="Times New Roman"/>
          <w:sz w:val="18"/>
          <w:szCs w:val="18"/>
          <w:color w:val="auto"/>
        </w:rPr>
        <w:t>From April 29, 2026 through June 29, 2026, the company sold 6,158,839 shares of its common stock under its “at the market” equity program, resulting in net proceeds of approximately $1.2 billion after deducting commissions. The company used and intends to use the net proceeds from the sale of such shares to temporarily repay borrowings outstanding under its global revolving credit facilities, acquire additional properties or businesses, fund development opportunities, and to provide for working capital and other general corporate purposes, including potentially for the repayment of other debt or the repurchase, redemption, or retirement of outstanding debt securities, or a combination of the foregoing.</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Digital Realty Trust, Inc., a Maryland corporation.</w:t>
            </w:r>
          </w:p>
        </w:tc>
      </w:tr>
      <w:tr>
        <w:trPr>
          <w:trHeight w:val="59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shares.</w:t>
            </w:r>
            <w:r>
              <w:rPr>
                <w:rFonts w:ascii="Times New Roman" w:cs="Times New Roman" w:eastAsia="Times New Roman" w:hAnsi="Times New Roman"/>
                <w:sz w:val="26"/>
                <w:szCs w:val="26"/>
                <w:color w:val="auto"/>
                <w:vertAlign w:val="superscript"/>
              </w:rPr>
              <w:t>(1)</w:t>
            </w:r>
          </w:p>
        </w:tc>
      </w:tr>
      <w:tr>
        <w:trPr>
          <w:trHeight w:val="32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Shares of common stock to be outstanding after this </w:t>
            </w: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r>
      <w:tr>
        <w:trPr>
          <w:trHeight w:val="238"/>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tcPr>
          <w:p>
            <w:pPr>
              <w:spacing w:after="0"/>
              <w:rPr>
                <w:sz w:val="20"/>
                <w:szCs w:val="20"/>
                <w:color w:val="auto"/>
              </w:rPr>
            </w:pPr>
          </w:p>
        </w:tc>
      </w:tr>
      <w:tr>
        <w:trPr>
          <w:trHeight w:val="45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and common units</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common units of partnership interest in our operating partnership</w:t>
            </w:r>
          </w:p>
        </w:tc>
      </w:tr>
      <w:tr>
        <w:trPr>
          <w:trHeight w:val="364"/>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upon completion of this offering</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(“common units”).</w:t>
            </w:r>
            <w:r>
              <w:rPr>
                <w:rFonts w:ascii="Times New Roman" w:cs="Times New Roman" w:eastAsia="Times New Roman" w:hAnsi="Times New Roman"/>
                <w:sz w:val="26"/>
                <w:szCs w:val="26"/>
                <w:color w:val="auto"/>
                <w:vertAlign w:val="superscript"/>
              </w:rPr>
              <w:t>(2)</w:t>
            </w:r>
          </w:p>
        </w:tc>
      </w:tr>
      <w:tr>
        <w:trPr>
          <w:trHeight w:val="32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common stock in this offering. We will not receive any proceeds from the sale of shares of</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our common stock by the selling stockholders. See “Use of Proceeds” in this prospectus</w:t>
            </w:r>
          </w:p>
        </w:tc>
      </w:tr>
      <w:tr>
        <w:trPr>
          <w:trHeight w:val="234"/>
        </w:trPr>
        <w:tc>
          <w:tcPr>
            <w:tcW w:w="3920" w:type="dxa"/>
            <w:vAlign w:val="bottom"/>
          </w:tcPr>
          <w:p>
            <w:pPr>
              <w:spacing w:after="0"/>
              <w:rPr>
                <w:sz w:val="20"/>
                <w:szCs w:val="20"/>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supplement.</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NYSE symbol</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6"/>
              </w:rPr>
              <w:t>“DLR”</w:t>
            </w:r>
          </w:p>
        </w:tc>
        <w:tc>
          <w:tcPr>
            <w:tcW w:w="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54"/>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Our charter contains restrictions on the ownership and transfer of our stock that are</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intended to assist us in complying with the requirements for qualification as a REIT.</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Among other things, our charter provides that, subject to certain exceptions, no person or</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entity may actually or beneficially own, or be deemed to own by virtue of the applicable</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constructive ownership provisions of the Internal Revenue Code of 1986, as amended,</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more than 9.8% (in value or in number of shares, whichever is more restrictive) of the</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outstanding shares of our common stock or 9.8% in value of the aggregate outstanding</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shares of all classes and series of our stock. See “Restrictions on Ownership and Transfer”</w:t>
            </w:r>
          </w:p>
        </w:tc>
      </w:tr>
      <w:tr>
        <w:trPr>
          <w:trHeight w:val="234"/>
        </w:trPr>
        <w:tc>
          <w:tcPr>
            <w:tcW w:w="3920" w:type="dxa"/>
            <w:vAlign w:val="bottom"/>
          </w:tcPr>
          <w:p>
            <w:pPr>
              <w:spacing w:after="0"/>
              <w:rPr>
                <w:sz w:val="20"/>
                <w:szCs w:val="20"/>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the accompanying prospectus.</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and the purchasers of our</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common stock may lose their entire investment. Before deciding to invest in our common</w:t>
            </w:r>
          </w:p>
        </w:tc>
      </w:tr>
      <w:tr>
        <w:trPr>
          <w:trHeight w:val="216"/>
        </w:trPr>
        <w:tc>
          <w:tcPr>
            <w:tcW w:w="3920" w:type="dxa"/>
            <w:vAlign w:val="bottom"/>
          </w:tcPr>
          <w:p>
            <w:pPr>
              <w:spacing w:after="0"/>
              <w:rPr>
                <w:sz w:val="18"/>
                <w:szCs w:val="18"/>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 please carefully read the section entitled “Risk Factors” beginning on page S-5 of</w:t>
            </w:r>
          </w:p>
        </w:tc>
      </w:tr>
      <w:tr>
        <w:trPr>
          <w:trHeight w:val="234"/>
        </w:trPr>
        <w:tc>
          <w:tcPr>
            <w:tcW w:w="3920" w:type="dxa"/>
            <w:vAlign w:val="bottom"/>
          </w:tcPr>
          <w:p>
            <w:pPr>
              <w:spacing w:after="0"/>
              <w:rPr>
                <w:sz w:val="20"/>
                <w:szCs w:val="20"/>
                <w:color w:val="auto"/>
              </w:rPr>
            </w:pPr>
          </w:p>
        </w:tc>
        <w:tc>
          <w:tcPr>
            <w:tcW w:w="6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this prospectus supplement, including the risks incorporated therein from our most recent</w:t>
            </w:r>
          </w:p>
        </w:tc>
      </w:tr>
    </w:tbl>
    <w:p>
      <w:pPr>
        <w:ind w:left="4340" w:right="520"/>
        <w:spacing w:after="0" w:line="260" w:lineRule="auto"/>
        <w:rPr>
          <w:sz w:val="20"/>
          <w:szCs w:val="20"/>
          <w:color w:val="auto"/>
        </w:rPr>
      </w:pPr>
      <w:r>
        <w:rPr>
          <w:rFonts w:ascii="Times New Roman" w:cs="Times New Roman" w:eastAsia="Times New Roman" w:hAnsi="Times New Roman"/>
          <w:sz w:val="18"/>
          <w:szCs w:val="18"/>
          <w:color w:val="auto"/>
        </w:rPr>
        <w:t>Annual Report on Form 10-K and our other periodic reports filed with the SEC and incorporated by reference herein.</w:t>
      </w:r>
    </w:p>
    <w:p>
      <w:pPr>
        <w:spacing w:after="0" w:line="208" w:lineRule="exact"/>
        <w:rPr>
          <w:sz w:val="20"/>
          <w:szCs w:val="20"/>
          <w:color w:val="auto"/>
        </w:rPr>
      </w:pPr>
    </w:p>
    <w:p>
      <w:pPr>
        <w:ind w:left="720" w:right="320" w:hanging="422"/>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non-voting common stock to be issued to the selling stockholders in the Blackstone acquisition, which will automatically convert into common stock upon transfer in connection with this offering.</w:t>
      </w:r>
    </w:p>
    <w:p>
      <w:pPr>
        <w:ind w:left="720" w:hanging="422"/>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4,327,660 units held by limited partners, 1,377,592 outstanding vested and unvested long-term incentive units issued under our incentive award plans, 216,451 outstanding vested class C units and 777,302 outstanding vested and unvested class D units, which subject to limits in the partnership agreement</w:t>
      </w: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60"/>
          </w:cols>
          <w:pgMar w:left="320" w:top="455" w:right="7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84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81" w:lineRule="auto"/>
        <w:rPr>
          <w:sz w:val="20"/>
          <w:szCs w:val="20"/>
          <w:color w:val="auto"/>
        </w:rPr>
      </w:pPr>
      <w:r>
        <w:rPr>
          <w:rFonts w:ascii="Times New Roman" w:cs="Times New Roman" w:eastAsia="Times New Roman" w:hAnsi="Times New Roman"/>
          <w:sz w:val="17"/>
          <w:szCs w:val="17"/>
          <w:color w:val="auto"/>
        </w:rPr>
        <w:t>of our operating partnership, may be exchanged for cash or, at our option, shares of our common stock on a one-for-one basis. Excludes (i) 3,401,680 units potentially issuable upon conversion of our series J cumulative redeemable perpetual preferred units, (ii) 3,663,324 units potentially issuable upon conversion of our series K cumulative redeemable preferred units and (iii) 5,315,484 units potentially issuable upon conversion of our series L cumulative redeemable preferred units, in each case, in connection with specified change of control transactions.</w:t>
      </w: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other information contained or incorporated by reference in this prospectus supplement, the accompanying prospectus and any “free writing prospectus” we authorize to be delivered to you, you should carefully consider the risks described below and incorporated herein by reference to our Combined Annual Report on Form 10-K for the year ended December 31, 2025 and other subsequent filings of Digital Realty Trust, Inc. and Digital Realty Trust, L.P. under the Securities Exchange Act of 1934, as amended (the “Exchange Act”), in evaluating our company, our properties and our business before making a decision to invest in our common stock. These risks are not the only ones faced by us. Additional risks not presently known to us or that we currently deem immaterial could also materially and adversely affect our financial condition, results of operations, business and prospects. The trading price of our common stock could decline due to any of these risks, and you may lose all or part of your investment. This prospectus supplement, the accompanying prospectus and the documents incorporated herein and therein by reference also contain forward-looking statements that involve risks and uncertainties. Actual results could differ materially from those anticipated in these forward-looking statements as a result of certain factors, including the risks faced by us described below and elsewhere in this prospectus supplement, the accompanying prospectus and the documents incorporated herein and therein by reference. Please refer to the section entitled “Forward-Looking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available for distribution to stockholders may not be sufficient to make distributions at expected levels, and we may need to borrow in order to make such distributions; consequently, we may not be able to make such distributions in full.</w:t>
      </w:r>
    </w:p>
    <w:p>
      <w:pPr>
        <w:spacing w:after="0" w:line="5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If cash available for distribution generated by our assets is less than our estimate or if such cash available for distribution decreases in future periods from expected levels, our inability to make the expected distributions could result in a decrease in the market price of our common stock.</w:t>
      </w:r>
    </w:p>
    <w:p>
      <w:pPr>
        <w:spacing w:after="0" w:line="16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Distributions made by us will be authorized and determined by our board of directors in its sole discretion out of funds legally available therefor and will be dependent upon a number of factors, including restrictions under applicable law and our capital requirements. We may not be able to make or sustain distributions in the future.</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Distributions we make out of our current or accumulated earnings and profits will be treated as dividends for U.S. federal income tax purposes. To the extent that we decide to make distributions in excess of our current and accumulated earnings and profits, such distributions would generally be considered a return of capital for U.S. federal income tax purposes to the extent of the holder’s adjusted tax basis in its shares. A return of capital is not taxable, but it has the effect of reducing the holder’s adjusted tax basis in its investment. To the extent that distributions exceed our current and accumulated earnings and profits, as well as the adjusted tax basis of a holder’s shares, such excess amount will be treated as a gain from the sale or exchange of such stock. See “United States Federal Income Tax Considerations-Taxation of Taxable U.S. Holders of Our Capital Stock” in the accompanying prospectus.</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we borrow to fund distributions, our future interest costs would increase, thereby reducing our earnings and cash available for distribution from what they otherwise would have been.</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outstanding indebtedness that involves significant debt service obligations, limits our operational and financial flexibility, exposes us to interest rate fluctuations and exposes us to the risk of default under our debt obligations.</w:t>
      </w:r>
    </w:p>
    <w:p>
      <w:pPr>
        <w:spacing w:after="0" w:line="5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March 31, 2026, we had a total combined indebtedness, including finance lease obligations, of approximately $18.3 billion. As of April 30, 2026, our global revolving credit facility had a total outstanding balance of approximately $569.7 million, excluding committed letters of credit of $92.2 million, leaving approximately $3.5 billion available for use. There are no limits on the amount of indebtedness we may incur</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other than limits contained in our existing debt financing agreements or future agreements that we may enter into or as may be set forth in any policy limiting the amount of indebtedness we may incur adopted by our board of directors. A substantial level of indebtedness could have adverse consequences for our business, financial condition and results of operations because it could, among other things:</w:t>
      </w:r>
    </w:p>
    <w:p>
      <w:pPr>
        <w:spacing w:after="0" w:line="81" w:lineRule="exact"/>
        <w:rPr>
          <w:sz w:val="20"/>
          <w:szCs w:val="20"/>
          <w:color w:val="auto"/>
        </w:rPr>
      </w:pPr>
    </w:p>
    <w:p>
      <w:pPr>
        <w:ind w:left="1080" w:right="2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debt service payments, thereby reducing our cash flow available to fund working capital, capital expenditures and other general corporate purposes, including to make distributions on our common stock as currently contemplated or as necessary to maintain our qualification as a REIT;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certain debt, coverage and other financial metrics at specified levels, thereby reducing our financial flexibility;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financial obligations, including repaying borrowings under our global revolving credit facilities and term facility;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increases in interest rates for our variable rate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on favorable terms or at all to expand our business or ease liquidity constraints;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all or a portion of our indebtedness on or before maturity on the same or more favorable terms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competitors that have less indebtedness;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risk of property losses as the result of foreclosure actions initiated by lenders in the event we should incur mortgage or other secured debt obligations and default under such obligations;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dispose of one or more of our properties at disadvantageous prices in order to service our indebtedness or to raise funds to pay such indebtedness at maturity.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and other factors may affect the value of our common stock.</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One of the factors that will influence the price of our common stock will be the dividend yield on our common stock relative to market interest rates. Increases in market interest rates could cause the market price of our common stock to decrease. The market price of the shares of our common stock will also depend on many other factors, which may change from time to time, including:</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attractiveness of REIT securities in comparison to the securities of other companies, taking into account, among other things, the higher tax rates imposed on certain dividends paid by REITs;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or regulation;</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conditions in the financial or real estate markets and geopolitical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performance and prospects.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over the last several years, prices of equity securities in the U.S. trading markets have been experiencing extreme price fluctuations, and the market prices of our common stock have also fluctuated significantly during this period. As a result of these and other factors, investors who purchase our common stock in this offering may experience a decrease, which could be substantial and rapid, in the market price of our common stock, including decreases unrelated to our operating performance or prospects.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global revolving credit facilities and term facility may limit our ability to pay distributions to our common stockholders.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Our global revolving credit facilities and our term facility prohibit us from making distributions to our stockholders, or repurchasing, redeeming, retiring, defeasing or otherwise acquiring for value any shares of our capital stock, including our common stock, after the occurrence and during the continuance of an event of default, except in limited circumstances including as necessary to enable us to maintain our qualification as a REIT and to avoid the payment of income or excise tax. Consequently, after the occurrence and during the continuance of an event of default under our global revolving credit facilities or term facility, we may not be able to pay all or a portion of the dividends payable to the holders of our common stock.</w:t>
      </w:r>
    </w:p>
    <w:p>
      <w:pPr>
        <w:spacing w:after="0" w:line="183"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In addition, after the occurrence and during the continuance of an event of default under our global revolving credit facilities or term facility, as applicable, we would be unable to make any additional borrowings under such facilities and any amounts that we have borrowed thereunder could become immediately due and payable. The agreements governing our future debt instruments may also include restrictions on our ability to pay dividends to holders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available for future sale could adversely affect the market price of our common stock.</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cannot predict whether future issuances of shares of our common stock or the availability of shares for resale in the open market will decrease the market price per share of our common stock. Sales of a substantial number of shares of our common stock in the public market, the issuance of substantial additional shares or the perception that such sales or issuances might occur could materially adversely affect the market price of the shares of our common stock. In addition, the sale of shares in this offering by the selling stockholders and any future resales of such shares, as well as future issuances of shares of our common stock, could create market overhang and/or dilute existing stockholders, which could depress the trading price of our common stock. Some of the potential share issuances that may adversely affect the market price of the shares of our common stock could include: the exchange of our operating partnership’s units for our common stock, the granting, exercise or vesting of any options, restricted stock or restricted stock units or long-term incentive units in our operating partnership granted to certain directors, executive officers and other employees under our incentive award plans, the issuance of our common stock upon conversion of our outstanding preferred stock (in connection with specified change of control transactions), the issuance of our common stock or our operating partnership’s units in connection with property, portfolio or business acquisitions (including acquisitions or other strategic transactions for which the consideration may be paid in whole or in part in shares of our common stock, such as the Astra Enterprise Park land acquisition, the Columbia Capital acquisition and the purchase of interests in our Teraco joint venture) and other issuances of our common stock, including issuances pursuant to our “at-the-market” equity program, our securities exchangeable for or convertible into our common stock, our operating partnership’s units or our operating partnership’s securities exchangeable for or convertible into our common stock. Any such issuances (and any subsequent resales, including resales following the expiration of applicable lock-up restrictions) could be dilutive to existing stockholders and could adversely affect the trading price of our common stock.</w:t>
      </w:r>
    </w:p>
    <w:p>
      <w:pPr>
        <w:spacing w:after="0" w:line="19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granted certain holders of units of our operating partnership certain registration rights with respect to the shares of our common stock for which their units may be redeemed or exchanged pursuant to the partnership agreement of our operating partnership. In addition, we have agreed to provide resale registration rights in connection with certain transactions for which equity consideration is or may be issued (including the Columbia Capital acquisition and the Teraco joint venture purchase described above). These registration rights have required, and may in the future require, us to file a “shelf” registration statement covering shares of common stock issuable or issued in such transactions and, depending on the terms of these and any future registration rights arrangements, we may be required to file additional registration statements or prospectus supplements covering additional shares of our common stock, which could further increase the number of shares available for resale.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In addition, the trading volume in our common stock may fluctuate and cause significant price variations to occur. If the market price of our common stock declines significantly, you may be unable to resell your shares at or above the public offering price. We cannot assure you that the market price of our common stock will not fluctuate or decline significantly in the future.</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Some of the factors that could negatively affect the market price of our common stock or result in fluctuations in the market price or trading volume of our common stock include:</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 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funds from operations or earnings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the real estate industry or the technology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purchasers of our shares to demand a higher yield;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additional debt we incur or equity or equity-linked securities we issue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other risk factors presented or incorporated by reference in this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in the future to pay a dividend partially in shares of our own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and geopolitical conditions.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which would be senior to our common stock upon liquidation, and/or preferred equity securities, which may be senior to our common stock for purposes of distributions or upon liquidation, may adversely affect the market price of our common stock.</w:t>
      </w:r>
    </w:p>
    <w:p>
      <w:pPr>
        <w:spacing w:after="0" w:line="51"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 the future, we may attempt to increase our capital resources by making offerings of debt or preferred equity securities, including medium-term notes, exchangeable notes, trust preferred securities, senior or subordinated notes and preferred stock, and entering into new loan agreements. Upon liquidation, holders of our debt securities and shares of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Holders of our common stock are not entitled to preemptive rights or other protections against dilution. Holders of our series J cumulative redeemable preferred stock, series K cumulative redeemable preferred stock and series L cumulative redeemable preferred stock have a preference on liquidating distributions and a preference on dividend payments that could limit our ability to pay a dividend or make another distribution to the holders of our common stock.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stock holdings in 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earnings and cash distributions will affect the market price of shares of our common stock.</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the extent that the market value of a REIT’s equity securities is based primarily upon market perception of the REIT’s growth potential and its current and potential future cash distributions, whether from operations, sales,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acquisitions, development or refinancing and is secondarily based upon the value of the underlying assets, shares of our common stock may trade at prices that are higher or lower than the net asset value per share. To the extent we retain operating cash flow for investment purposes, working capital reserves or other purposes rather than distributing the cash flow to stockholders, these retained funds, while increasing the value of our underlying assets, may negatively impact the market price of our common stock. Our failure to meet market expectations with regard to future earnings and cash distributions would likely adversely affect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Related to the Blackstone Acquisition</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development-stage hyperscale data centers to be acquired in the Blackstone joint venture acquisition may not be completed on schedule or within budget, and the anticipated benefits of the acquisition may not be realized.</w:t>
      </w:r>
    </w:p>
    <w:p>
      <w:pPr>
        <w:spacing w:after="0" w:line="5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joint ventures we will wholly own following the purchase from Blackstone own three hyperscale data centers that have not yet been completed, and development-stage projects are subject to various risks, including construction delays, cost overruns, supply chain disruptions, failure to obtain necessary permits or approvals, labor shortages and other factors beyond our control. As a part of our underwriting of the Blackstone acquisition, we developed an estimate of the initial stabilized capitalization rate for the data centers we will wholly-own following such acquisition. We calculate the estimated stabilized capitalization rate as the percentage of the gross value of the purchase price represented by the estimated initial full year stabilized net operating income. This estimate is based on a number of assumptions, including the timely and on-budget completion of all space to be constructed and estimated stabilized operating expenses. If development costs are higher than expected or completion is delayed, the timing and amount of cash flows from these properties could be adversely affected, including if one or more tenants fails to commence paying rent on the expected schedule or if the data centers do not achieve full operational status as expected. Although the three hyperscale data centers are currently leased to subsidiaries of investment-grade rated parent entities, the parent entities are not parties to the leases and may not be legally obligated to satisfy the lease obligations of their subsidiaries upon a default. In the event of a default by a lessee, there can be no assurance that the parent entity would choose or be obligated to cure such default. In addition, market conditions for data center leasing in Northern Virginia could change materially. As a result, our expectations regarding the initial stabilized capitalization rate and that the acquisition of Blackstone’s interests in the Digital Carver Dulles 9 and Digital Carver Brickyard joint ventures will be accretive to Core FFO per share in each of 2027 and 2028, as development is completed and rents commence, are subject to numerous risks and uncertainties, and there can be no assurance that these anticipated benefits will be realized on the expected timeline, including in 2027 and 2028, or at all.</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This offering may not be consummated if the Blackstone joint venture acquisition closing does not occur.</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shares of common stock to be sold in this offering will be issued to the selling stockholders only upon the occurrence of the closing of the Blackstone joint venture acquisition. Accordingly, the closing of this offering is conditioned upon the closing of the Blackstone acquisition and the issuance of the non-voting common stock to the selling stockholders. If the Blackstone joint venture acquisition does not close, whether due to the failure of any closing condition or the termination of the purchase agreement, this offering will not be consummated. In such event, any offer or sale of shares that has been made in reliance on this prospectus supplement will be rescinded and investors will not receive any shares. Investors should be aware that they are, in effect, committing to purchase shares that the selling stockholders do not yet own at the time of pricing, and there is a risk that the Blackstone joint venture acquisition may not occur. In addition, if the Blackstone joint venture acquisition is delayed beyond June 30, 2026, settlement of this offering will be similarly delayed, which could cause investors to suffer opportunity costs and could adversely affect the market price of our common stock. Neither the company, the selling stockholders nor the underwriter can provide any assurance that the Blackstone joint venture acquisition will occur on June 30, 2026 (or that settlement of this offering will occur) or at all.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our common stock in this offering. We will not receive any proceeds from the sale of shares of our common stock by the selling stockholders.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agreed to pay 50% of offering expenses of the selling stockholders (including offering discounts and underwriting commissions and fees and disbursements of the selling stockholders’ counsel), subject to a cap of $30.0 million. The selling stockholders will bear all remaining offering expenses in excess of the company’s expense cap.</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named below are offering to sell an aggregate of $2,346,087,437.83 of shares of our common stock.</w:t>
      </w:r>
    </w:p>
    <w:p>
      <w:pPr>
        <w:spacing w:after="0" w:line="225"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The percentages of beneficial ownership prior to and following the offering set forth below are based on a total of 357,665,753 shares of our common stock outstanding as of June 25, 2026. We have determined beneficial ownership in accordance with the rules of the SEC.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680" w:type="dxa"/>
            <w:vAlign w:val="bottom"/>
          </w:tcPr>
          <w:p>
            <w:pPr>
              <w:spacing w:after="0"/>
              <w:rPr>
                <w:sz w:val="13"/>
                <w:szCs w:val="13"/>
                <w:color w:val="auto"/>
              </w:rPr>
            </w:pPr>
          </w:p>
        </w:tc>
        <w:tc>
          <w:tcPr>
            <w:tcW w:w="14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74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Offering</w:t>
            </w:r>
            <w:r>
              <w:rPr>
                <w:rFonts w:ascii="Times New Roman" w:cs="Times New Roman" w:eastAsia="Times New Roman" w:hAnsi="Times New Roman"/>
                <w:sz w:val="10"/>
                <w:szCs w:val="10"/>
                <w:b w:val="1"/>
                <w:bCs w:val="1"/>
                <w:color w:val="auto"/>
              </w:rPr>
              <w:t>(1)</w:t>
            </w:r>
          </w:p>
        </w:tc>
        <w:tc>
          <w:tcPr>
            <w:tcW w:w="68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21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 After the Offering</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2740" w:type="dxa"/>
            <w:vAlign w:val="bottom"/>
          </w:tcPr>
          <w:p>
            <w:pPr>
              <w:spacing w:after="0"/>
              <w:rPr>
                <w:sz w:val="12"/>
                <w:szCs w:val="12"/>
                <w:color w:val="auto"/>
              </w:rPr>
            </w:pPr>
          </w:p>
        </w:tc>
        <w:tc>
          <w:tcPr>
            <w:tcW w:w="130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80" w:type="dxa"/>
            <w:vAlign w:val="bottom"/>
          </w:tcPr>
          <w:p>
            <w:pPr>
              <w:spacing w:after="0"/>
              <w:rPr>
                <w:sz w:val="12"/>
                <w:szCs w:val="12"/>
                <w:color w:val="auto"/>
              </w:rPr>
            </w:pPr>
          </w:p>
        </w:tc>
        <w:tc>
          <w:tcPr>
            <w:tcW w:w="1480" w:type="dxa"/>
            <w:vAlign w:val="bottom"/>
            <w:gridSpan w:val="2"/>
          </w:tcPr>
          <w:p>
            <w:pPr>
              <w:jc w:val="center"/>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280" w:type="dxa"/>
            <w:vAlign w:val="bottom"/>
            <w:tcBorders>
              <w:top w:val="single" w:sz="8" w:color="auto"/>
            </w:tcBorders>
            <w:gridSpan w:val="2"/>
          </w:tcPr>
          <w:p>
            <w:pPr>
              <w:jc w:val="right"/>
              <w:ind w:right="7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Blackstone</w:t>
            </w:r>
            <w:r>
              <w:rPr>
                <w:rFonts w:ascii="Times New Roman" w:cs="Times New Roman" w:eastAsia="Times New Roman" w:hAnsi="Times New Roman"/>
                <w:sz w:val="23"/>
                <w:szCs w:val="23"/>
                <w:color w:val="auto"/>
                <w:vertAlign w:val="superscript"/>
              </w:rPr>
              <w:t>(2)</w:t>
            </w:r>
          </w:p>
        </w:tc>
        <w:tc>
          <w:tcPr>
            <w:tcW w:w="27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18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non-voting common stock to be issued to the selling stockholders in the Blackstone acquisition, which will automatically convert into common stock upon transfer in connection with this offering.</w:t>
      </w:r>
    </w:p>
    <w:p>
      <w:pPr>
        <w:ind w:left="540" w:right="20" w:hanging="424"/>
        <w:spacing w:after="0" w:line="253"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$947,855,214.04 of shares to be held directly by BIP US Nucleus Aggregator L.P., $947,844,000.71 of shares to be held directly by BREP US Nucleus Aggregator L.P., $74,744,380.55 of shares to be held directly by BXPE Nucleus US Holdco L.P., $6,623,015.61 of shares to be held directly by BXPE Nucleus Lux Holdco L.P. and $369,020,826.92 of shares to be held directly by BTO Nucleus Holdings DE L.P. The number of shares offered by each of the foregoing selling stockholders will be determined by dividing such dollar amounts by the closing price per share of our common stock on the New York Stock Exchange on June 29, 2026, rounded down to the nearest whole number.</w:t>
      </w:r>
    </w:p>
    <w:p>
      <w:pPr>
        <w:spacing w:after="0" w:line="187"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general partner of BIP US Nucleus Aggregator, L.P. is Blackstone Infrastructure Associates Non-ECI L.P. The general partner of Blackstone Infrastructure Associates Non-ECI L.P. is BIA GP L.P. The general partner of BIA GP L.P. is BIA GP L.L.C. The sole member of BIA GP L.L.C. is Blackstone Holdings III L.P. The general partner of Blackstone Holdings III L.P. is Blackstone Holdings III GP Management L.L.C.</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general partner of BREP US Nucleus Aggregator L.P. is BREP US Nucleus Aggregator GP LLC. Blackstone Real Estate Associates X L.P. is the managing member of BREP US Nucleus Aggregator GP LLC. The general partner of Blackstone Real Estate Associates X L.P. is BREA X L.L.C. The managing member of BREA X L.L.C. is Blackstone Holdings II L.P. The general partner of Blackstone Holdings II L.P. is Blackstone Holdings I/II GP L.L.C.</w:t>
      </w:r>
    </w:p>
    <w:p>
      <w:pPr>
        <w:spacing w:after="0" w:line="18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Blackstone Private Equity Strategies Associates L.P. is the general partner of each of BXPE Nucleus Lux Holdco L.P. and BXPE Nucleus US Holdco L.P. The general partner of Blackstone Private Equity Strategies Associates L.P. is BXPEA L.L.C. The managing member of BXPEA L.L.C. is Blackstone Holdings II L.P. The general partner of Blackstone Holdings II L.P. is Blackstone Holdings I/II GP L.L.C.</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BTO Holdings Manager IV L.L.C. is the general partner of BTO Nucleus Holdings DE L.P. The sole member of BTO Holdings Manager IV L.L.C. is BTO DE GP – NQ L.L.C. The sole member of BTO DE GP – NQ L.L.C. is Blackstone Holdings II L.P. The general partner of Blackstone Holdings II L.P. is Blackstone Holdings I/II GP L.L.C.</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Blackstone Inc. is the sole member of Blackstone Holdings I/II GP L.L.C. and Blackstone Holdings III GP Management L.L.C. The sole holder of the Series II preferred stock of Blackstone Inc. is Blackstone Group Management L.L.C. Blackstone Group Management L.L.C. is wholly-owned by Blackstone’s senior managing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directors and controlled by its founder, Stephen A. Schwarzman. Each of the Blackstone entities described in this footnote and Mr. Schwarzman (other than to the extent it or he directly holds securities as described herein) may be deemed to beneficially own the securities directly or indirectly controlled by such Blackstone entities or him, but each disclaims beneficial ownership of such securities. The address of each of such Blackstone entities and Mr. Schwarzman is c/o Blackstone Inc., 345 Park Avenue, New York, New York 10154.</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described under “Prospectus Supplement Summary—Recent Developments,” on June 29, 2026, the company entered into an agreement to purchase from Blackstone all of Blackstone’s interests in the joint ventures. For more information about the company’s relationship with Blackstone and its affiliates, see “Certain Relationships and Related Party Transactions” in our definitive proxy statement on Schedule 14A, filed with the SEC on April 17, 2026, which is incorporated herein by reference.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Morgan Stanley &amp; Co. LLC is acting as the sole underwriter of the offering. Subject to the terms and conditions set forth in an underwriting agreement among us, the selling stockholders and the underwriter, the selling stockholders have agreed to sell to the underwriter, and the underwriter has agreed to purchase from the selling stockholders,         shares of common stock.</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 against certain liabilities, including liabilities under the Securities Act of 1933, as amended (the “Securities Act”), or to contribute to payments the underwriter may be required to make in respect of those liabilities.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underwriter is offering the shares, subject to prior sale, when, as and if issued to and accepted by it, subject to approval of legal matters by its counsel, including the closing of the Blackstone acquisition,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 by the selling stockholders.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Commissions and Discounts</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directly to the public at the public offering price on the cover of this prospectus supplement. After this offering, the underwriter may change the offering price and other selling terms.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50% of offering expenses of the selling stockholders (including offering discounts and underwriting commissions and fees and disbursements of the selling stockholders’ counsel), subject to a cap of $30.0 million. The selling stockholders will bear all remaining offering expenses in excess of the company’s expense cap.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ind w:left="120"/>
        <w:spacing w:after="0" w:line="312" w:lineRule="auto"/>
        <w:rPr>
          <w:sz w:val="20"/>
          <w:szCs w:val="20"/>
          <w:color w:val="auto"/>
        </w:rPr>
      </w:pPr>
      <w:r>
        <w:rPr>
          <w:rFonts w:ascii="Times New Roman" w:cs="Times New Roman" w:eastAsia="Times New Roman" w:hAnsi="Times New Roman"/>
          <w:sz w:val="17"/>
          <w:szCs w:val="17"/>
          <w:color w:val="auto"/>
        </w:rPr>
        <w:t>We, our operating partnership, and each of our executive officers have agreed that, without the prior written consent of the underwriter, we and they will not, and will not publicly disclose an intention to, during the period ending 30 days after the date of this prospectus supplement (the “restricted period”):</w:t>
      </w:r>
    </w:p>
    <w:p>
      <w:pPr>
        <w:spacing w:after="0" w:line="45" w:lineRule="exact"/>
        <w:rPr>
          <w:sz w:val="20"/>
          <w:szCs w:val="20"/>
          <w:color w:val="auto"/>
        </w:rPr>
      </w:pPr>
    </w:p>
    <w:p>
      <w:pPr>
        <w:ind w:left="1080" w:right="24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or otherwise dispose of (or enter into any transaction which is designed to, or would reasonably be expected to, result in the disposition of (whether by actual disposition or effective economic disposition due to cash settlement or otherwise) by us or any of our affiliates, or any person in privity with us or any of our affiliates), directly or indirectly, any shares of common stock, shares of non-voting common stock, limited partnership units of our operating partnership, or any securities convertible into, or exercisable, or exchangeable for, any of the foregoing;</w:t>
      </w:r>
    </w:p>
    <w:p>
      <w:pPr>
        <w:spacing w:after="0" w:line="88"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other arrangement that transfers, in whole or in part, any of the economic consequences of ownership of any shares of our common stock or limited partnership units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operating partnership, or any securities convertible into, or exercisable, or exchangeable for any of the foregoing, whether settled by delivery of such securities or other securities;</w:t>
      </w:r>
    </w:p>
    <w:p>
      <w:pPr>
        <w:spacing w:after="0" w:line="67" w:lineRule="exact"/>
        <w:rPr>
          <w:sz w:val="20"/>
          <w:szCs w:val="20"/>
          <w:color w:val="auto"/>
        </w:rPr>
      </w:pPr>
    </w:p>
    <w:p>
      <w:pPr>
        <w:ind w:left="1080" w:right="4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or make a demand for or exercise of any registration in respect of, the offering of any of our common stock or limited partnership units of our operating partnership, or any securities convertible into, or exercisable, or exchangeable for any of the foregoing (except for a registration statement on Form S-4 relating to an acquisition of a real property company or a registration statement on Form S-8 in connection with shares of common stock authorized for issuance pursuant to the terms of any plan in effect as of the date of this prospectus supplement); or</w:t>
      </w:r>
    </w:p>
    <w:p>
      <w:pPr>
        <w:spacing w:after="0" w:line="88"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increase a put equivalent position or liquidate or decrease a call equivalent position within the meaning of Section 16 of the Exchange Act.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the underwriter has agreed in the underwriting agreement that the lock-up agreement applicable to us does not apply to:</w:t>
      </w:r>
    </w:p>
    <w:p>
      <w:pPr>
        <w:spacing w:after="0" w:line="131" w:lineRule="exact"/>
        <w:rPr>
          <w:sz w:val="20"/>
          <w:szCs w:val="20"/>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stock options, restricted stock, restricted stock units or long-term incentive units in our operating partnership (“LTIP Units”) to our employees, consultants or directors pursuant to the terms of a plan in effect as of the date of this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issuing shares of common stock or operating partnership units, as applicable pursuant to: (i) the exercise, vesting, settlement, conversion or redemption, as applicable, of such options, restricted stock units and LTIP Units; (ii) the redemption of units outstanding on the date of this prospectus supplement, including units issued upon conversion of LTIP Units outstanding on the date of this prospectus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we will notify the underwriter promptly in writing upon receipt by us or our operating partnership of any notice of redemption with respect to such units (other than with respect to the redemption of LTIP Units) or (iii) the exercise, vesting, settlement, conversion or redemption, as applicable, of any stock options, restricted stock units or LTIP Units outstanding as of the date of this prospectus supplement;</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shares of common stock pursuant to our dividend reinvestment plan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common stock pursuant to our employee stock purchase plan (if any);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 shares of common stock or securities convertible into or exchangeable or exercisable for shares of common stock in connection with other acquisitions of real property or real property companies and (b) shares of common stock upon conversion or exchange of any securities issued pursuant to (a) above;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shares of common stock in connection with the Columbia Capital acquisition described in “Prospectus Supplement Summary— Recent Developments.”;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shelf registration statements in connection with existing contractual commitments;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shares of common stock upon the conversion of any of our perpetual preferred stock pursuant to a delisting change of control transaction.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notwithstanding the foregoing, the underwriter has agreed that the following shall not apply to the lock-up agreements with our officers:</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valid contract, instruction or plan that satisfies the requirements of Rule 10b5-1 under the Exchange Act (a “10b5-1 Plan”);</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(A) to an immediate family member; (B) to one or more trusts of which the sole beneficiaries thereof are the undersigned and/or the undersigned’s immediate family members; (C)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and (D) in a transaction consummated in accordance with a 10b5-1 Plan existing or entered into prior to the date of the lock-up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any such transfer,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1" w:lineRule="auto"/>
        <w:rPr>
          <w:sz w:val="20"/>
          <w:szCs w:val="20"/>
          <w:color w:val="auto"/>
        </w:rPr>
      </w:pPr>
      <w:r>
        <w:rPr>
          <w:rFonts w:ascii="Times New Roman" w:cs="Times New Roman" w:eastAsia="Times New Roman" w:hAnsi="Times New Roman"/>
          <w:sz w:val="18"/>
          <w:szCs w:val="18"/>
          <w:color w:val="auto"/>
        </w:rPr>
        <w:t>transferee has agreed in writing to be bound by the relevant lock-up agreement, any such transfer does not involve a disposition for value and any required filing reporting any such transfer with the SEC pursuant to Section 16 of the Exchange Act shall briefly note the applicable circumstances that cause such exception to apply and explain that such filing relates solely to transfers within such exceptions; and</w:t>
      </w:r>
    </w:p>
    <w:p>
      <w:pPr>
        <w:spacing w:after="0" w:line="85" w:lineRule="exact"/>
        <w:rPr>
          <w:sz w:val="20"/>
          <w:szCs w:val="20"/>
          <w:color w:val="auto"/>
        </w:rPr>
      </w:pPr>
    </w:p>
    <w:p>
      <w:pPr>
        <w:ind w:left="1080" w:right="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the right of redemption with respect to outstanding common units, long-term incentive units, Class C units or Class D units issued under our incentive award plans,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shares of common stock issued upon such redemption shall be considered restricted for purposes of the lock-up agreement and shall not be further transferred except in accordance with such agreement.</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underwriter, in its sole discretion, may release the common stock and other securities subject to the lock-up agreements described above in whole or in part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are listed on the New York Stock Exchange under the symbol “DLR”.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it is required to purchase in the offering.</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New York Stock Exchange, in the over-the-counter market or otherwise.</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offering, the underwriter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underwriter and certain of its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business activities, the underwriter and certain of its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certain of its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Morgan Stanley &amp; Co. LLC or its affiliates are a sales agent and/or forward seller under our sales agreement, pursuant to which we can issue and sell shares of our common stock having an aggregate offering price of up to $7.5 billion from time to time through them by means of ordinary brokers’ transactions at market prices, in negotiated transactions or in transactions that are deemed to be “at-the-market” offerings, including sales made to or through a market maker other than on an exchange, in block transactions or by any other method permitted by law, at prices related to the prevailing market prices or at negotiated prices subject to certain minimum prices.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the underwriter or its affiliates in the past have leased, currently lease and in the future may lease space from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 is not required to comply with the disclosure requirements of NI 33-105 regarding underwriter conflicts of interest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This prospectus supplement has only been prepared in the context of a public offering in France pursuant to an exemption under Article L. 411-2 1° of the French Monetary and Financial Code (Code monétaire et financier) and the Prospectus Regulation and therefore this prospectus supplement has not been approved by, registered or filed with the Autorité des Marchés Financiers (the “AMF”). Therefore, the Shares may not be, directly or indirectly, offered or caused to be offered or sold to the public in France (offre au public de titres financiers) other than to a limited number of investors acting for their own account (cercle restreint d’investisseurs agissant pour compte propre) in accordance with Articles L.411-2 and D.411-4 of the French Monetary and Financial Code (Code monétaire et financier) or to qualified investors (investisseurs qualifiés) within the meaning of Article 2(e) of the Prospectus Regulation and Article L.411-2 of the French Monetary and Financial Code.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any other offering or marketing material or information relating to the shares has not been and will not be released, issued or distributed or caused to be released, issued or distributed, directly or indirectly, to the public in France or used in connection with any offer for subscription or sales of the Shares to the public in France other than pursuant to an exemption under the Prospectus Regulation. Offers, sales and distributions have only been and shall only be made in France to a limited number of investors acting for their own account or qualified investors in accordance with Articles L.411-1, L.411-2, L.762-1, D.411-4, D.754- 1, D.764-1 of the French Monetary and Financial Code and applicable regulations thereunder.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except that the Shares may be offered to the public in the United Kingdom at any time:</w:t>
      </w:r>
    </w:p>
    <w:p>
      <w:pPr>
        <w:spacing w:after="0" w:line="67" w:lineRule="exact"/>
        <w:rPr>
          <w:sz w:val="20"/>
          <w:szCs w:val="20"/>
          <w:color w:val="auto"/>
        </w:rPr>
      </w:pPr>
    </w:p>
    <w:p>
      <w:pPr>
        <w:ind w:left="1080" w:right="1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of the POATR);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underwriter nominated by the company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will be passed upon for us by Latham &amp; Watkins LLP, Los Angeles, California and for the underwriter by Goodwin Procter LLP, Boston, Massachusetts. Venable LLP, Baltimore, Maryland, will issue an opinion to us regarding certain matters of Maryland law, including the validity of the common stock offered hereby.</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00"/>
          </w:cols>
          <w:pgMar w:left="320" w:top="455"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Digital Realty Trust, Inc.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Digital Realty Trust, L.P. and its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The SEC maintains a web site that contains reports, proxy and information statements, and other information regarding registrants that file electronically with the SEC at www.sec.gov. In addition, we maintain a web site that contains information about us at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Nos. 333-293494 and 333-293494-01), of which this prospectus supplement and the accompanying prospectus are a part, including exhibits, schedules and amendments filed with, or incorporated by reference in, such registration statement, under the Securities Act. This prospectus supplement and the accompanying prospectus do not contain all of the information set forth in the registration statement and exhibits and schedules to the registration statement. For further information with respect to our company,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The registration statement, including the exhibits and schedules to the registration statement, is available to you on the SEC’s web site at www.sec.gov.</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SEC allows us to “incorporate by reference” certain information we file with the SEC,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this information. We incorporate by reference into this prospectus supplement and the accompanying prospectus the following documents (except for any document or portion thereof deemed to be “furnished” and not filed in accordance with SEC rules and regulations):</w:t>
      </w:r>
    </w:p>
    <w:p>
      <w:pPr>
        <w:spacing w:after="0" w:line="73" w:lineRule="exact"/>
        <w:rPr>
          <w:sz w:val="20"/>
          <w:szCs w:val="20"/>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Digital Realty Trust, Inc. and Digital Realty Trust, L.P. for the year ended December 31, 2025;</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the Definitive Proxy Statement on </w:t>
      </w:r>
      <w:hyperlink r:id="rId44">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Digital Realty Trust, Inc. filed with the SEC on April 17, 2026;</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auto"/>
          </w:rPr>
          <w:t xml:space="preserve">the Combined Quarterly Report on Form 10-Q of Digital Realty Trust, Inc. and Digital Realty Trust, L.P. for the quarter ended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40" w:hanging="424"/>
        <w:spacing w:after="0" w:line="282" w:lineRule="auto"/>
        <w:tabs>
          <w:tab w:leader="none" w:pos="1080" w:val="left"/>
        </w:tabs>
        <w:numPr>
          <w:ilvl w:val="0"/>
          <w:numId w:val="15"/>
        </w:numPr>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auto"/>
          </w:rPr>
          <w:t xml:space="preserve">the Combined Current Reports on Form 8-K of Digital Realty Trust, Inc. and Digital Realty Trust, L.P. filed with the SEC on </w:t>
        </w:r>
        <w:r>
          <w:rPr>
            <w:rFonts w:ascii="Times New Roman" w:cs="Times New Roman" w:eastAsia="Times New Roman" w:hAnsi="Times New Roman"/>
            <w:sz w:val="18"/>
            <w:szCs w:val="18"/>
            <w:u w:val="single" w:color="auto"/>
            <w:color w:val="0000EE"/>
          </w:rPr>
          <w:t>February 17,</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 xml:space="preserve">May 4, 2026 </w:t>
        </w:r>
      </w:hyperlink>
      <w:hyperlink r:id="rId4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 xml:space="preserve">June 22, 2026 </w:t>
        </w:r>
      </w:hyperlink>
      <w:hyperlink r:id="rId46">
        <w:r>
          <w:rPr>
            <w:rFonts w:ascii="Times New Roman" w:cs="Times New Roman" w:eastAsia="Times New Roman" w:hAnsi="Times New Roman"/>
            <w:sz w:val="18"/>
            <w:szCs w:val="18"/>
            <w:color w:val="000000"/>
          </w:rPr>
          <w:t>(excluding Item 7.01);</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Report on Form 8-K of Digital Realty Trust, Inc. filed with the SEC on </w:t>
      </w:r>
      <w:hyperlink r:id="rId49">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Digital Realty Trust, Inc.’s common stock, par value $0.01 per share, contained in Digital Realty Trust, Inc.’s Registration Statement on </w:t>
      </w:r>
      <w:hyperlink r:id="rId5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October 28, 2004 (file number 001-32336), including any amendment or reports filed for the purpose of updating this description;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with the SEC pursuant to Sections 13(a), 13(c), 14 or 15(d) of the Exchange Act after the date of this prospectus supplement and prior to the termination of this offering (excluding any portions of such documents that are deemed “furnished” to the SEC pursuant to applicable rules and regulations).</w:t>
      </w:r>
    </w:p>
    <w:p>
      <w:pPr>
        <w:spacing w:after="0" w:line="176" w:lineRule="exact"/>
        <w:rPr>
          <w:rFonts w:ascii="Times New Roman" w:cs="Times New Roman" w:eastAsia="Times New Roman" w:hAnsi="Times New Roman"/>
          <w:sz w:val="18"/>
          <w:szCs w:val="18"/>
          <w:color w:val="auto"/>
        </w:rPr>
      </w:pPr>
    </w:p>
    <w:p>
      <w:pPr>
        <w:jc w:val="both"/>
        <w:ind w:left="120" w:right="80"/>
        <w:spacing w:after="0" w:line="264" w:lineRule="auto"/>
        <w:rPr>
          <w:sz w:val="20"/>
          <w:szCs w:val="20"/>
          <w:color w:val="auto"/>
        </w:rPr>
      </w:pPr>
      <w:r>
        <w:rPr>
          <w:rFonts w:ascii="Times New Roman" w:cs="Times New Roman" w:eastAsia="Times New Roman" w:hAnsi="Times New Roman"/>
          <w:sz w:val="18"/>
          <w:szCs w:val="18"/>
          <w:color w:val="auto"/>
        </w:rPr>
        <w:t>We will provide without charge to each person to whom a prospectus supplement is delivered, on written or oral request of that person, a copy of any or all of the documents we are incorporating by reference into this prospectus supplement, other than exhibits to those documents unless those exhibits are specifically incorporated by reference into those documents. A written request should be addressed to Investor Relations, Digital Realty Trust, Inc., 601 West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Floor 32, Austin, Texas 78701.</w:t>
      </w:r>
    </w:p>
    <w:p>
      <w:pPr>
        <w:spacing w:after="0" w:line="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1"/>
          <w:szCs w:val="41"/>
          <w:b w:val="1"/>
          <w:bCs w:val="1"/>
          <w:color w:val="auto"/>
        </w:rPr>
        <w:t>Digital Realty Trust, Inc.</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Common Stock, Preferred Stock, Depositary Shares, Warrants and Guarantees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1"/>
          <w:szCs w:val="41"/>
          <w:b w:val="1"/>
          <w:bCs w:val="1"/>
          <w:color w:val="auto"/>
        </w:rPr>
        <w:t>Digital Realty Trust, L.P.</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6"/>
          <w:szCs w:val="16"/>
          <w:color w:val="auto"/>
        </w:rPr>
        <w:t>We may from time to time offer, in one or more series or classes, separately or together, and in amounts, at prices and on terms to be set forth in one or more supplements to this prospectus, the following securities: (i) shares of Digital Realty Trust, Inc.’s common stock, par value $0.01 per share, (ii) shares of Digital Realty Trust, Inc.’s preferred stock, par value $0.01 per share, (iii) depositary shares representing entitlement to all rights and preferences of fractions of shares of Digital Realty Trust, Inc.’s preferred stock of a specified series and represented by depositary receipts, (iv) warrants to purchase shares of Digital Realty Trust, Inc.’s common stock or preferred stock or depositary shares and (v) debt securities of Digital Realty Trust, L.P., which may be fully and unconditionally guaranteed by Digital Realty Trust, Inc.</w:t>
      </w:r>
    </w:p>
    <w:p>
      <w:pPr>
        <w:spacing w:after="0" w:line="186"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6"/>
          <w:szCs w:val="16"/>
          <w:color w:val="auto"/>
        </w:rPr>
        <w:t>This prospectus also covers delayed delivery contracts that may be issued by Digital Realty Trust, Inc. or Digital Realty Trust, L.P. under which the counterparty may be required to purchase common stock, preferred stock, depositary shares or warrants to purchase common stock, preferred stock or depositary shares of Digital Realty Trust, Inc. or debt securities of Digital Realty Trust, L.P. (including guarantees of the debt securities by Digital Realty Trust, Inc.). Delayed delivery contracts may be issued together with the specific securities to which they relate. In addition, securities registered hereunder may be sold separately, together or as units with other securities registered hereunder.</w:t>
      </w:r>
    </w:p>
    <w:p>
      <w:pPr>
        <w:spacing w:after="0" w:line="186" w:lineRule="exact"/>
        <w:rPr>
          <w:sz w:val="20"/>
          <w:szCs w:val="20"/>
          <w:color w:val="auto"/>
        </w:rPr>
      </w:pPr>
    </w:p>
    <w:p>
      <w:pPr>
        <w:ind w:left="120" w:right="80"/>
        <w:spacing w:after="0" w:line="298" w:lineRule="auto"/>
        <w:rPr>
          <w:sz w:val="20"/>
          <w:szCs w:val="20"/>
          <w:color w:val="auto"/>
        </w:rPr>
      </w:pPr>
      <w:r>
        <w:rPr>
          <w:rFonts w:ascii="Times New Roman" w:cs="Times New Roman" w:eastAsia="Times New Roman" w:hAnsi="Times New Roman"/>
          <w:sz w:val="16"/>
          <w:szCs w:val="16"/>
          <w:color w:val="auto"/>
        </w:rPr>
        <w:t>We refer to the common stock, preferred stock, depositary shares, warrants and debt securities (together with any related guarantees) registered hereunder collectively as the “securities” in this prospectus. We will offer our securities in amounts, at prices and on terms determined at the time of the offering of any such security.</w:t>
      </w:r>
    </w:p>
    <w:p>
      <w:pPr>
        <w:spacing w:after="0" w:line="16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6"/>
          <w:szCs w:val="16"/>
          <w:color w:val="auto"/>
        </w:rPr>
        <w:t>The specific terms of each series or class of the securities will be set forth in the applicable prospectus supplement and will include, as applicable: (i) in the case of common stock, any public offering price; (ii) in the case of preferred stock, the specific title and any dividend, liquidation, redemption, conversion, voting and other rights and any public offering price; (iii) in the case of depositary shares, the fractional share of preferred stock represented by each such depositary share; (iv) in the case of warrants, the duration, offering price, exercise price and detachability; and (v) in the case of debt securities and, as applicable, related guarantees, the specific terms of such debt securities and related guarantees. In addition, because Digital Realty Trust, Inc. is organized and conducts its operations so as to qualify as a real estate investment trust, or REIT, for U.S. federal income tax purposes, the specific terms of any securities may include limitations on actual or constructive ownership and restrictions on transfer of the securities, in each case as may be appropriate to preserve Digital Realty Trust, Inc.’s status as a REIT.</w:t>
      </w:r>
    </w:p>
    <w:p>
      <w:pPr>
        <w:spacing w:after="0" w:line="190"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6"/>
          <w:szCs w:val="16"/>
          <w:color w:val="auto"/>
        </w:rPr>
        <w:t>The securities may be offered directly by us, through agents designated from time to time by us, or to or through underwriters or dealers. These securities also may be offered by securityholders, if so provided in a prospectus supplement hereto. We will provide specific information about any selling securityholders in one or more supplements to this prospectus.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entitled “Plan of Distribution” and “About this Prospectus” for more information. No securities may be sold without delivery of this prospectus and the applicable prospectus supplement describing the method and terms of the offering of such series of securities.</w:t>
      </w:r>
    </w:p>
    <w:p>
      <w:pPr>
        <w:spacing w:after="0" w:line="184" w:lineRule="exact"/>
        <w:rPr>
          <w:sz w:val="20"/>
          <w:szCs w:val="20"/>
          <w:color w:val="auto"/>
        </w:rPr>
      </w:pPr>
    </w:p>
    <w:p>
      <w:pPr>
        <w:ind w:left="120"/>
        <w:spacing w:after="0" w:line="298" w:lineRule="auto"/>
        <w:rPr>
          <w:sz w:val="20"/>
          <w:szCs w:val="20"/>
          <w:color w:val="auto"/>
        </w:rPr>
      </w:pPr>
      <w:r>
        <w:rPr>
          <w:rFonts w:ascii="Times New Roman" w:cs="Times New Roman" w:eastAsia="Times New Roman" w:hAnsi="Times New Roman"/>
          <w:sz w:val="16"/>
          <w:szCs w:val="16"/>
          <w:color w:val="auto"/>
        </w:rPr>
        <w:t>Digital Realty Trust, Inc.’s common stock, series J preferred stock, series K preferred stock and series L preferred stock currently trade on the New York Stock Exchange, or NYSE, under the symbols “DLR”, “ “DLR Pr J”, “DLR Pr K”, or “DLR Pr L”, respectively.</w:t>
      </w:r>
    </w:p>
    <w:p>
      <w:pPr>
        <w:spacing w:after="0" w:line="151" w:lineRule="exact"/>
        <w:rPr>
          <w:sz w:val="20"/>
          <w:szCs w:val="20"/>
          <w:color w:val="auto"/>
        </w:rPr>
      </w:pPr>
    </w:p>
    <w:p>
      <w:pPr>
        <w:ind w:left="120" w:right="220"/>
        <w:spacing w:after="0" w:line="300" w:lineRule="auto"/>
        <w:rPr>
          <w:sz w:val="20"/>
          <w:szCs w:val="20"/>
          <w:color w:val="auto"/>
        </w:rPr>
      </w:pPr>
      <w:r>
        <w:rPr>
          <w:rFonts w:ascii="Times New Roman" w:cs="Times New Roman" w:eastAsia="Times New Roman" w:hAnsi="Times New Roman"/>
          <w:sz w:val="19"/>
          <w:szCs w:val="19"/>
          <w:b w:val="1"/>
          <w:bCs w:val="1"/>
          <w:color w:val="auto"/>
        </w:rPr>
        <w:t>Investing in our securities involves risks. See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beginning on page 3 of this prospectus and any similar section contained in the applicable prospectus supplement for certain risk factors you should consider before investing in our securities.</w:t>
      </w:r>
    </w:p>
    <w:p>
      <w:pPr>
        <w:spacing w:after="0" w:line="140" w:lineRule="exact"/>
        <w:rPr>
          <w:sz w:val="20"/>
          <w:szCs w:val="20"/>
          <w:color w:val="auto"/>
        </w:rPr>
      </w:pPr>
    </w:p>
    <w:p>
      <w:pPr>
        <w:ind w:left="120" w:right="16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United States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is February 17, 2026.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ectPr>
          <w:pgSz w:w="11900" w:h="16838" w:orient="portrait"/>
          <w:cols w:equalWidth="0" w:num="1">
            <w:col w:w="11100"/>
          </w:cols>
          <w:pgMar w:left="320" w:top="455" w:right="4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07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89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5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83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84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8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Related Guarantees</w:t>
            </w:r>
          </w:p>
        </w:tc>
        <w:tc>
          <w:tcPr>
            <w:tcW w:w="66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Restrictions on Ownership and Transfer</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Partnership Agreement of Digital Realty Trust, L.P.</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Provisions of Maryland Law and of the Charter and Bylaws of Digital Realty Trust, Inc.</w:t>
            </w:r>
          </w:p>
        </w:tc>
        <w:tc>
          <w:tcPr>
            <w:tcW w:w="3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1840" w:type="dxa"/>
            <w:vAlign w:val="bottom"/>
            <w:tcBorders>
              <w:top w:val="single" w:sz="8" w:color="0000EE"/>
            </w:tcBorders>
            <w:gridSpan w:val="5"/>
          </w:tcPr>
          <w:p>
            <w:pPr>
              <w:spacing w:after="0"/>
              <w:rPr>
                <w:sz w:val="17"/>
                <w:szCs w:val="17"/>
                <w:color w:val="auto"/>
              </w:rPr>
            </w:pPr>
          </w:p>
        </w:tc>
        <w:tc>
          <w:tcPr>
            <w:tcW w:w="704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10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18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Documents by Reference.”</w:t>
      </w:r>
    </w:p>
    <w:p>
      <w:pPr>
        <w:spacing w:after="0" w:line="19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to “our operating partnership” or “the operating partnership” refer to Digital Realty Trust, L.P. together with its consolidated subsidiaries.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w:t>
      </w:r>
    </w:p>
    <w:p>
      <w:pPr>
        <w:spacing w:after="0" w:line="158"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Digital Realty Trust, Inc. was incorporated in the state of Maryland on March 9, 2004. Digital Realty Trust, L.P. was organized in the state of Maryland on July 21, 2004. Our principal executive offices are located at 2323 Bryan Street, Suite 1800, Dallas, Texas 75201. Our telephone number is (214)</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231-1350. Our website is www.digitalrealty.com. The information found on, or otherwise accessible through, our website is not incorporated into, and does not form a part of, this prospectus or any other report or document we file with or furnish to the SEC.</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455"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acquiring any offered securities pursuant to this prospectus, you should carefully consider the information contained or incorporated by reference in this prospectus or in any accompanying prospectus supplement, including, without limitation, the risk factors incorporated by reference to the company’s and the operating partnership’s most recent combined Annual Report on Form 10-K and any subsequent Quarterly Reports on Form 10-Q or Current Reports on Form 8-K we file after the date of this prospectus, and the other information contained or incorporated by reference in this prospectus, as updated by our subsequent filings under the Securities Exchange Act of 1934, as amended, or the Exchange Act, and the risk factors and other information contained in the applicable prospectus supplement before acquiring any of such securities. The occurrence of any of these risks might cause you to lose all or a part of your investment in the offered securities.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The SEC maintains a web site that contains reports, proxy and information statements and other information about issuers, such as us, who file electronically with the SEC at www.sec.gov.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we maintain a website that contains information about us at www.digitalrealty.com. The information found on, or otherwise accessible through, this website is not incorporated into, and does not form a part of, this prospectus or any other report or document we file with or furnish to the SEC.</w:t>
      </w:r>
    </w:p>
    <w:p>
      <w:pPr>
        <w:spacing w:after="0" w:line="176"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Digital Realty Trust, Inc. and Digital Realty Trust, L.P. for the year ended December 31, 2025;</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Definitive Proxy Statement on </w:t>
      </w:r>
      <w:hyperlink r:id="rId6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Digital Realty Trust, Inc. filed with the SEC on April 25, 2025 (solely to the extent specifically incorporated by reference into the combined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Digital Realty Trust, Inc. and Digital Realty Trust, L.P. for the year ended December 31, 2024);</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Digital Realty Trust, Inc.’s common stock, par value $0.01 per share, contained in Digital Realty Trust, Inc.’s Registration Statement on </w:t>
      </w:r>
      <w:hyperlink r:id="rId5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October 28, 2004 (file number 001-32336), including any amendment or reports filed for the purpose of updating this description;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Digital Realty Trust, Inc.’s Series J Cumulative Redeemable Preferred Stock, par value $0.01 per share, contained in Digital Realty Trust, Inc.’s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4, 2017 (file number 001-32336), including any amendments or reports filed for the purpose of updating this description;</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Digital Realty Trust, Inc.’s Series K Cumulative Redeemable Preferred Stock, par value $0.01 per share, contained in Digital Realty Trust, Inc.’s Registration Statement on </w:t>
      </w:r>
      <w:hyperlink r:id="rId6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12, 2019 (file number 001-32336), including any amendments or reports filed for the purpose of updating this description;</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Digital Realty Trust, Inc.’s Series L Cumulative Redeemable Preferred Stock, par value $0.01 per share, contained in Digital Realty Trust, Inc.’s Registration Statement on </w:t>
      </w:r>
      <w:hyperlink r:id="rId6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October 9, 2019 (file number 001-32336), including any amendments or reports filed for the purpose of updating this description;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with the SEC pursuant to Sections 13(a), 13(c), 14 or 15(d) of the Exchange Act after the date of this prospectus and prior to the termination of the offering of the underlying securities (excluding any portions of such documents that are deemed “furnished” to the SEC pursuant to applicable rules and regulations).</w:t>
      </w:r>
    </w:p>
    <w:p>
      <w:pPr>
        <w:spacing w:after="0" w:line="176" w:lineRule="exact"/>
        <w:rPr>
          <w:rFonts w:ascii="Times New Roman" w:cs="Times New Roman" w:eastAsia="Times New Roman" w:hAnsi="Times New Roman"/>
          <w:sz w:val="18"/>
          <w:szCs w:val="18"/>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those exhibits are specifically incorporated by reference into those documents. A written request should be addressed to Investor Relations, Digital Realty Trust, Inc., 2323 Bryan Street, Suite 1800, Dallas, Texas 75201.</w:t>
      </w:r>
    </w:p>
    <w:p>
      <w:pPr>
        <w:spacing w:after="0" w:line="11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disclose the intended use of proceeds from the sale of any securities under this prospectus in the applicable prospectus supplement. We will not receive any proceeds from sales of securities by selling securityholders.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The following description of Digital Realty Trust, Inc.’s common stock sets forth certain general terms and provisions of the common stock to which any prospectus supplement may relate and will apply to the common stock offered by this prospectus unless we provide otherwise in the applicable prospectus supplement. The description of Digital Realty Trust, Inc.’s common stock set forth below and in any prospectus supplement does not purport to be complete and is subject to and qualified in its entirety by reference to the applicable provisions of Digital Realty Trust, Inc.’s charter and bylaws.</w:t>
      </w:r>
    </w:p>
    <w:p>
      <w:pPr>
        <w:spacing w:after="0" w:line="162"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charter provides that it may issue up to 502,000,000 shares of its common stock, par value $0.01 per share, or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of February 9, 2026, 343,615,444 shares of the common stock were issued and outstanding, excluding:</w:t>
      </w:r>
    </w:p>
    <w:p>
      <w:pPr>
        <w:spacing w:after="0" w:line="66"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 million shares available for future issuance under our incentive award plans;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1,791,403 shares issuable upon redemption of outstanding vested long-term incentive units (including class C profits interest units of our operating partnership, or class C units, and class D profits interest units of our operating partnership, or class D units) issued under our incentive award plans;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427,561 shares issuable upon redemption of outstanding unvested long-term incentive units (excluding unvested class D units) issued under our incentive award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4,044,535 shares issuable upon redemption of outstanding common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648,044 shares issuable upon vesting of restricted stock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182,572 shares potentially issuable upon redemption of outstanding unvested class D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37,128 shares potentially issuable upon redemption of unvested market performance-based restricted stock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465,609 shares potentially issuable upon achievement of a market or financial performance condition for unvested class D units;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69,903 shares potentially issuable upon achievement of a market or financial performance condition for unvested performance-based restricted stock units;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of 3,401,680, 3,663,324, and 5,315,484 shares of common stock potentially issuable upon conversion of the company’s series J preferred stock, series K preferred stock and series L preferred stock respectively, in each case upon the occurrence of specified change in control transactions as described in “Description of Preferred Stock” below.</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All outstanding shares of the common stock are duly authorized, fully paid and nonassessable. Subject to the preferential rights of any other class or series of 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w:t>
      </w:r>
    </w:p>
    <w:p>
      <w:pPr>
        <w:spacing w:after="0" w:line="19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 to Increase Authorized Stock and Issue Additional Shares of the Common Stock</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Ownership and Transfer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REITs, the company has adopted certain restrictions relating to the ownership and transfer of the common stock. See “Restrictions on Ownership and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Equiniti Trust Company,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the company issues.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relating to that class or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9, 2026, 8,000,000 shares of the company’s series J preferred stock, 8,400,000 shares of the company’s series K preferred stock and 13,800,000 shares of the company’s series L preferred stock were issued and outstanding. No other shares of the company’s preferred stock are currently outstanding.</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 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preferences and other terms of the preferred stock of each class or series will be fixed by the articles supplementary relating to such class or series.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prospectus supplement, relating to each class or series, will describe the terms of the preferred stock, including, where applicable, the following:</w:t>
      </w:r>
    </w:p>
    <w:p>
      <w:pPr>
        <w:spacing w:after="0" w:line="112"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such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such preferred stock offered, the liquidation preference per share and the offering price of such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such preferred stock;</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preferred stock is cumulative or not and, if cumulative, the date from which dividends on such preferred stock shall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such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such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such preferred stock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such preferred stock will be converted into the common stock, including the conversion price (or manner of calculation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additional material U.S. federal income tax consequences, if any, applicable to an investment in such 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actual and constructive ownership and restrictions on transfer;</w:t>
      </w:r>
    </w:p>
    <w:p>
      <w:pPr>
        <w:spacing w:after="0" w:line="27" w:lineRule="exact"/>
        <w:rPr>
          <w:rFonts w:ascii="Times New Roman" w:cs="Times New Roman" w:eastAsia="Times New Roman" w:hAnsi="Times New Roman"/>
          <w:sz w:val="18"/>
          <w:szCs w:val="18"/>
          <w:color w:val="auto"/>
        </w:rPr>
      </w:pPr>
    </w:p>
    <w:p>
      <w:pPr>
        <w:ind w:left="1080" w:right="100" w:hanging="424"/>
        <w:spacing w:after="0" w:line="260"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such preferred stock as to dividend rights and rights upon liquidation, dissolution or winding up of the affairs of the company;</w:t>
      </w:r>
    </w:p>
    <w:p>
      <w:pPr>
        <w:spacing w:after="0" w:line="86"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such class or series of preferred stock as to dividend rights and rights upon liquidation, dissolution or winding up of the affairs of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of such preferred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such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with respect to dividend rights and rights upon liquidation, dissolution or winding up of the company, rank: (i) 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any shares of any class or series of preferred stock are convertible into common stock will be described in the applicable prospectus supplement relating thereto. Such terms will include the number of shares of the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 to Increase or Decrease Authorized Stock and Issue Additional Shares of Preferred Stock</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Ownership and Transfer</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assist the company in complying with certain U.S. federal income tax requirements applicable to REITs, the company has adopted certain restrictions relating to the ownership and transfer of the company’s series J preferred stock, series K preferred stock and series L preferred stock. The company expects to adopt similar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restrictions with respect to any class or series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5.250% Series J Cumulative Redeemable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J preferred stock as a series of the company’s preferred stock, designated as the 5.250% Series J Cumulative Redeemable Preferred Stock. The series J preferred stock is validly issued, fully paid and nonassessable.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J preferred stock is currently listed on the NYSE as “DLR Pr J”.</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J preferred stock ranks, with respect to dividend rights and rights upon the company’s liquidation, dissolution or winding-up:</w:t>
      </w:r>
    </w:p>
    <w:p>
      <w:pPr>
        <w:spacing w:after="0" w:line="131" w:lineRule="exact"/>
        <w:rPr>
          <w:sz w:val="20"/>
          <w:szCs w:val="20"/>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the common stock and to any other class or series of the company’s stock expressly designated as ranking junior to the series J preferred stock;</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 any class or series of the company’s stock expressly designated as ranking on parity with the series J preferred stock, including the company’s series K preferred stock and series L preferred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any other class or series of the company’s stock expressly designated as ranking senior to the series J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Rate and Payment Date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Holders of series J preferred stock are entitled to receive cumulative cash dividends on the series J preferred stock from and including the date of original 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the company has earnings, whether or not there are funds legally available for the payment of such dividends and whether or not such dividends are authorized or declared.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the series J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series J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in cash sufficient for the payment thereof is set apart, no shares of series J preferred stock may be redeemed unless all outstanding shares of series J preferred stock are simultaneously redeemed; provided, that the foregoing restriction does not prevent the company from taking action necessary to preserve the company’s status as a REIT. Any partial redemption will be on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Optional Redemption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(as defined below), the company may, at its option, redeem the series J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J preferred stock (whether its optional redemption right or its special optional redemption right), the holders of series J preferred stock will not have the conversion right described below.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“Change of Control” is when, after the original issuance of the series J preferred stock, the following have occurred and are continuing:</w:t>
      </w:r>
    </w:p>
    <w:p>
      <w:pPr>
        <w:spacing w:after="0" w:line="131" w:lineRule="exact"/>
        <w:rPr>
          <w:sz w:val="20"/>
          <w:szCs w:val="20"/>
          <w:color w:val="auto"/>
        </w:rPr>
      </w:pPr>
    </w:p>
    <w:p>
      <w:pPr>
        <w:ind w:left="1080" w:hanging="424"/>
        <w:spacing w:after="0" w:line="25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Maturity, Sinking Fund or Mandatory Redemption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series J preferred stock has no stated maturity date and the company is not required to redeem the series J preferred stock at any time. Accordingly, the series J preferred stock will remain outstanding indefinitely, unless the company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Holders of series J preferred stock generally have no voting rights. However, if the company is in arrears on dividends on the series J preferred stock for six 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company’s next annual meeting of stockholders and each subsequent annual meeting of stockholders for the election of two additional directors to serve on the company’s board of directors until all unpaid dividends with respect to the series J preferred stock and any other class or series of parity preferred stock have been paid or declared and a sum sufficient for the payment thereof set aside for payment. In addition, the company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the occurrence of a Change of Control, each holder of series J preferred stock will have the right (unless, prior to the Change of Control Conversion Date, the company has provided or provides notice of its election to redeem the series J preferred stock) to convert some or all of the series J preferred stock held by such holder on the date the series J preferred stock is to be converted, which we refer to as the Change of Control Conversion Date, into a number of shares of common stock per share of series J preferred stock to be converted equal to the lesser of:</w:t>
      </w:r>
    </w:p>
    <w:p>
      <w:pPr>
        <w:spacing w:after="0" w:line="85" w:lineRule="exact"/>
        <w:rPr>
          <w:sz w:val="20"/>
          <w:szCs w:val="20"/>
          <w:color w:val="auto"/>
        </w:rPr>
      </w:pPr>
    </w:p>
    <w:p>
      <w:pPr>
        <w:ind w:left="1080" w:right="2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dividends will be included in this sum) by (ii) the Common Stock Price (as defined below);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0.42521 (i.e., the Share Cap), subject to certain adjustments;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subject, in each case, to provisions for the receipt of alternative consideration as described in the articles supplementary relating to the Series J preferred stock.</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prior to the Change of Control Conversion Date, the company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the common stock in connection with the Change of Control and any shares of series J preferred stock selected for redemption that have been tendered for conversion will be redeemed on the related date of redemption instead of converted on the Change of Control Conversion Date.</w:t>
      </w:r>
    </w:p>
    <w:p>
      <w:pPr>
        <w:spacing w:after="0" w:line="18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Except as provided above in connection with a Change of Control, the series J preferred stock is not convertible into or exchangeable for any other securities or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series J preferred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5.850% Series K Cumulative Redeemable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and a duly authorized committee thereof approved articles supplementary, a copy of which has been previously filed with the SEC and which is incorporated by reference as an exhibit to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registration statement of which this prospectus is a part, creating the series K preferred stock as a series of DLR’s preferred stock, designated as the 5.850% Series K Cumulative Redeemable Preferred Stock. The series K preferred stock is validly issued, fully paid and nonassessable.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K preferred stock is currently listed on the NYSE as “DLR Pr 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K preferred stock ranks, with respect to dividend rights and rights upon the company’s liquidation, dissolution or winding-up:</w:t>
      </w:r>
    </w:p>
    <w:p>
      <w:pPr>
        <w:spacing w:after="0" w:line="131" w:lineRule="exact"/>
        <w:rPr>
          <w:sz w:val="20"/>
          <w:szCs w:val="20"/>
          <w:color w:val="auto"/>
        </w:rPr>
      </w:pPr>
    </w:p>
    <w:p>
      <w:pPr>
        <w:ind w:left="1080" w:right="3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the common stock and to any other class or series of stock expressly designated as ranking junior to the series K preferred stock;</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 any class or series of stock expressly designated as ranking on parity with the series K preferred stock, including the company’s series J preferred stock and series L preferred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any other class or series of stock expressly designated as ranking senior to the series K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Rate and Payment Date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Holders of series K preferred stock are entitled to receive cumulative cash dividends on the series K preferred stock from and including the date of original issue, payable quarterly in arrears on or about the last calendar day of March, June, September and December of each year, at the rate of 5.850% per annum of the $25.00 liquidation preference per share (equivalent to an annual amount of $1.4625 per share). Dividends on the series K preferred stock will accrue whether or not the company has earnings, whether or not there are funds legally available for the payment of such dividends and whether or not such dividends are authorized or declared.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the series K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series K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the company from taking action necessary to preserve its status as a REIT. Any partial redemption will be on a pro rata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Optional Redemption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(as defined below), the company may, at its option, redeem the series K preferred stock, in whole or in part within 120 days after the first date on which such Change of Control occurred, by paying $25.00 per share, plus any accrued and unpaid dividends to, but not including, the date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redemption. If, prior to the Change of Control Conversion Date (as defined below), the company exercises any of its redemption rights relating to the series K preferred stock (whether its optional redemption right or its special optional redemption right), the holders of series K preferred stock will not have the conversion right described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“Change of Control” is when, after the original issuance of the series K preferred stock, the following have occurred and are continuing:</w:t>
      </w:r>
    </w:p>
    <w:p>
      <w:pPr>
        <w:spacing w:after="0" w:line="131" w:lineRule="exact"/>
        <w:rPr>
          <w:sz w:val="20"/>
          <w:szCs w:val="20"/>
          <w:color w:val="auto"/>
        </w:rPr>
      </w:pPr>
    </w:p>
    <w:p>
      <w:pPr>
        <w:ind w:left="1080" w:right="20" w:hanging="424"/>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92"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Maturity, Sinking Fund or Mandatory Redemption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series K preferred stock has no stated maturity date and the company is not required to redeem the series K preferred stock at any time. Accordingly, the series K preferred stock will remain outstanding indefinitely, unless the company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Holders of series K preferred stock generally have no voting rights. However, if the company is in arrears on dividends on the series K preferred stock for six 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until all unpaid dividends with respect to the series K preferred stock and any other class or series of parity preferred stock have been paid or declared and a sum sufficient for the payment thereof set aside for payment. In addition, the company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Upon the occurrence of a Change of Control, each holder of series K preferred stock will have the right (unless, prior to the Change of Control Conversion Date, the company has provided or provides notice of its election to redeem the series K preferred stock) to convert some or all of the series K preferred stock held by such holder on the date the series K preferred stock is to be converted, which we refer to as the Change of Control Conversion Date, into a number of shares of common stock per share of series K preferred stock to be converted equal to the lesser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0.43611 (i.e., the Share Cap), subject to certain adjustments;</w:t>
      </w:r>
    </w:p>
    <w:p>
      <w:pPr>
        <w:spacing w:after="0" w:line="225"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subject, in each case, to provisions for the receipt of alternative consideration as described in the articles supplementary relating to the Series K preferred stock.</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5"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7"/>
          <w:szCs w:val="17"/>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If, prior to the Change of Control Conversion Date, the company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the common stock in connection with the Change of Control and any shares of series K preferred stock selected for redemption that have been tendered for conversion will be redeemed on the related date of redemption instead of converted on the Change of Control Conversion Date.</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Except as provided above in connection with a Change of Control, the series K preferred stock is not convertible into or exchangeable for any other securities or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series K preferred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5.200% Series L Cumulative Redeemable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L preferred stock as a series of the company’s preferred stock, designated as the 5.200% Series L Cumulative Redeemable Preferred Stock. The series L preferred stock is validly issued, fully paid and nonassessable.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L preferred stock is currently listed on the NYSE as “DLR Pr 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L preferred stock ranks, with respect to dividend rights and rights upon the company’s liquidation, dissolution or winding-up:</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the common stock and to any other class or series of stock expressly designated as ranking junior to the series L preferred stock;</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 any class or series of stock expressly designated as ranking on parity with the series L preferred stock, including the company’s series J preferred stock and series K preferred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any other class or series of stock expressly designated as ranking senior to the series L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Rate and Payment Date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Holders of series L preferred stock are entitled to receive cumulative cash dividends on the series L preferred stock from and including the date of original 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the company has earnings, whether or not there are funds legally available for the payment of such dividends and whether or not such dividends are authorized or declared.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the series L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series L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the company from taking action necessary to preserve its status as a REIT. Any partial redemption will be on a pro rata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Optional Redemption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(as defined below) the company may, at its option, redeem the series L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L preferred stock (whether its optional redemption right or its special optional redemption right), the holders of series L preferred stock will not have the conversion right described below.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“Change of Control” is when, after the original issuance of the series L preferred stock, the following have occurred and are continuing:</w:t>
      </w:r>
    </w:p>
    <w:p>
      <w:pPr>
        <w:spacing w:after="0" w:line="131" w:lineRule="exact"/>
        <w:rPr>
          <w:sz w:val="20"/>
          <w:szCs w:val="20"/>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89" w:lineRule="exact"/>
        <w:rPr>
          <w:sz w:val="20"/>
          <w:szCs w:val="20"/>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Maturity, Sinking Fund or Mandatory Redemption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series L preferred stock has no stated maturity date and the company is not required to redeem the series L preferred stock at any time. Accordingly, the series L preferred stock will remain outstanding indefinitely, unless the company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Holders of series L preferred stock generally have no voting rights. However, if the company is in arrears on dividends on the series L preferred stock for six 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of directors until all unpaid dividends with respect to the series L preferred stock and any other class or series of parity preferred stock have been paid or declared and a sum sufficient for the payment thereof set aside for payment. In addition, the company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Upon the occurrence of a Change of Control, each holder of series L preferred stock will have the right (unless, prior to the Change of Control Conversion Date, the company has provided or provides notice of its election to redeem the series L preferred stock) to convert some or all of the series L preferred stock held by such holder on the date the series L preferred stock is to be converted, which we refer to as the Change of Control Conversion Date, into a number of shares of common stock per share of series L preferred stock to be converted equal to the lesser of:</w:t>
      </w:r>
    </w:p>
    <w:p>
      <w:pPr>
        <w:spacing w:after="0" w:line="207" w:lineRule="exact"/>
        <w:rPr>
          <w:sz w:val="20"/>
          <w:szCs w:val="20"/>
          <w:color w:val="auto"/>
        </w:rPr>
      </w:pPr>
    </w:p>
    <w:p>
      <w:pPr>
        <w:jc w:val="both"/>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60"/>
        <w:spacing w:after="0" w:line="282" w:lineRule="auto"/>
        <w:rPr>
          <w:sz w:val="20"/>
          <w:szCs w:val="20"/>
          <w:color w:val="auto"/>
        </w:rPr>
      </w:pPr>
      <w:r>
        <w:rPr>
          <w:rFonts w:ascii="Times New Roman" w:cs="Times New Roman" w:eastAsia="Times New Roman" w:hAnsi="Times New Roman"/>
          <w:sz w:val="18"/>
          <w:szCs w:val="18"/>
          <w:color w:val="auto"/>
        </w:rPr>
        <w:t>payment and prior to the corresponding series L preferred stock dividend payment date, in which case no additional amount for such accrued and unpaid dividends will be included in this sum) by (ii) the Common Stock Price (as defined below); and</w:t>
      </w:r>
    </w:p>
    <w:p>
      <w:pPr>
        <w:spacing w:after="0" w:line="18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0.38518 (i.e., the Share Cap), subject to certain adjustments;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subject, in each case, to provisions for the receipt of alternative consideration as described in the articles supplementary relating to the Series L preferred stock.</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5"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7"/>
          <w:szCs w:val="17"/>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5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prior to the Change of Control Conversion Date, the company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the common stock in connection with the Change of Control and any shares of series L preferred stock selected for redemption that have been tendered for conversion will be redeemed on the related date of redemption instead of converted on the Change of Control Conversion Date.</w:t>
      </w:r>
    </w:p>
    <w:p>
      <w:pPr>
        <w:spacing w:after="0" w:line="183"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Except as provided above in connection with a Change of Control, the series L preferred stock is not convertible into or exchangeable for any other securities or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series L preferred stock is Equiniti Trust Company,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may, at its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the company,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summary of the terms of the depositary shares contained in this prospectus shall apply unless otherwise specified on a supplement to this prospectus. This summary, as modified by any supplement to this prospectus, does not purport to be complete and is subject to, and qualified in its entirety by, the provisions of the deposit agreement, the company’s charter and the form of articles supplementary for the applicable series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the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87"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the company) that it is not feasible to make such distribution, in which case the depositary may (with the company’s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the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the company redeems any preferred stock held by the depositary, the depositary will redeem as of the same redemption date the number of depositary shares representing the preferred stock so redeemed. The depositary will mail the notice of redemption promptly upon receipt of such notice from the company and not less than 30 nor more than 60 days prior to the date fixed for redemption of the preferred stock and the depositary shares to the record holders of the depositary receipts.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the company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Preferred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Deposit Agreement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and from time to time be amended by agreement between the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the preferred stock and all money and other property, if any, represented thereby, except in order to comply with mandatory provisions of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deposit agreement will be permitted to be terminated by the company upon not less than 30 days prior written notice to the applicable depositary if</w:t>
      </w:r>
    </w:p>
    <w:p>
      <w:pPr>
        <w:spacing w:after="0" w:line="27" w:lineRule="exact"/>
        <w:rPr>
          <w:sz w:val="20"/>
          <w:szCs w:val="20"/>
          <w:color w:val="auto"/>
        </w:rPr>
      </w:pPr>
    </w:p>
    <w:p>
      <w:pPr>
        <w:ind w:left="120" w:hanging="4"/>
        <w:spacing w:after="0" w:line="25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is necessary to preserve the company’s status as a REIT or (ii)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The company will agree that if the deposit agreement is terminated to preserve the company’s status as a REIT, then it will use its best efforts to list the preferred stock issued upon surrender of the related depositary shares on a national securities exchange. In addition, the deposit agreement will automatically terminate if (i) all outstanding depositary shares thereunder shall have been redeemed, (ii) there shall have been a final distribution in respect of the related preferred stock in connection with any liquidation, dissolution or winding-up of the company and such distribution shall have been distributed to the holders of depositary receipts evidencing the depositary shares representing such preferred stock or (iii) each share of the related preferred stock shall have been converted into stock of the company not so represented by depositary shares.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Charges of Depositary</w:t>
      </w:r>
    </w:p>
    <w:p>
      <w:pPr>
        <w:spacing w:after="0" w:line="12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company will pay all transfer and other taxes and governmental charges arising solely from the existence of the depositary arrangements. The company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notices, reports and proxy soliciting material from the company which are delivered to the depositary and which the company is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the company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87"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Neither the depositary nor the company assumes any obligation or will be subject to any liability under the deposit agreement to holders of depositary receipts other than for its negligence or willful misconduct. Neither the depositary nor the company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The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7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the company, on the other hand, the depositary shall be entitled to act on such claims, requests or instructions received from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Resignation and Removal of Depositary</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the company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may issue warrants for the purchase of the common stock, preferred stock or depositary shares of Digital Realty Trust, Inc., and may issue warrants independently or together with common stock, preferred stock, depositary shares or debt securities or attached to or separate from such securities. The company will issue each series of warrants under a separate warrant agreement, and may appoint a bank or trust company as warrant agent, all as specified in the applicable prospectus supplement. Any warrant agent will act solely as the company’s agent in connection with the warrants and will not act for or on behalf of warrant holders.</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that may be offered under this registration statement. Further terms of the warrants and applicable warrant agreements will be set forth in the applicable prospectus supplement.</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warrants in respect of which this prospectus is being delivered, including, where applicable,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such warrants;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such warrants are issued and the number of such warrants issued with each such offered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upon exercise of such warrants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changes to or adjustments in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U.S. federal income tax considerations;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transferability, exercise and exchange of such warrants.</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Warrant certificates will be exchangeable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securities purchasable upon such exercise or to any dividend payments or voting rights, as applicable, as to which holders of the shares of the common stock or preferred stock purchasable upon such exercise may be entitled.</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for cash such number of shares of common stock, shares of preferred stock, or depository shares, at such exercise price as shall, in each case, be set forth, or be determinable as set forth, in the applicable prospectus supplement relating to the warrants offered thereby. Unless otherwise specified in the applicable prospectus supplement, warrants may be exercised at any time up to 5:00 p.m. New York City time on the expiration date set forth in applicable prospectus supplement. After 5:00 p.m. New York City time on the expiration date, unexercised warrants will be void.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Warrants may be exercised as set forth in the applicable prospectus supplement relating to the warrants. Upon receipt of payment and the warrant certificate properly completed and duly executed at the corporate trust office of the warrant agent or any other office indicated in the applicable prospectus supplement, the company will, as soon as practicable, forward the securities purchasable upon such exercise. If less than all of the warrants are presented by such warrant certificate of exercise, a new warrant certificate will be issued for the remaining amount of warrants.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RELATED GUARANTEES</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the general terms and provisions of our operating partnership’s debt securities and related guarantees by Digital Realty Trust, Inc., if applicable. When our operating partnership offers to sell a particular series of debt securities, we will describe the specific terms of the series in a supplement to this prospectus, including the terms of any related guarantees by Digital Realty Trust, Inc. and the terms, if any,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debt securities may be offered in the form of either senior debt securities or subordinated debt securities. Unless otherwise specified in a prospectus supplement, the debt securities will be the direct, unsecured obligations of Digital Realty Trust, L.P., and will rank equally in right of payment with all of Digital Realty Trust, L.P.’s other unsecured and unsubordinated indebtedness. The debt securities that are sold may be exchangeable for and/or convertible into common stock or any of the other securities that may be sold under this prospectus.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issued under an indenture between us and Computershare Trust Company, N.A., successor to Wells Fargo Bank, National Association, as trustee, or the trustee. We have summarized select portions of the indenture below. The summary is not complete. We have filed the indenture as an exhibit to the registration statement of which this prospectus is a part, and you should read the indenture and our debt securities carefully for provisions that may be important to you. Capitalized terms used in the summary and not defined in this prospectus have the meaning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the company’s board of directors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Unless otherwise specified in a prospectus supplement, the indenture will designate Computershare Trust Company, N.A. as the trustee for the indenture with respect to one or more series of our operating partnership’s debt securities and related guarantees of our company, if applicable. Computershare Trust Company, N.A., or any other specified trustee, may resign or be removed with respect to one or more series of our debt securities, and a successor trustee may be appointed to act with respect to that series.</w:t>
      </w:r>
    </w:p>
    <w:p>
      <w:pPr>
        <w:spacing w:after="0" w:line="3"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Unless otherwise specified in a supplement to this prospectus, the debt securities will be our operating partnership’s direct, unsecured obligations and will rank equally with all of its other unsecured and unsubordinated indebtedness, and may be fully and unconditionally guaranteed by the company. We can issue an unlimited amount of our operating partnership’s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such series of debt securities, to the extent applicable:</w:t>
      </w:r>
    </w:p>
    <w:p>
      <w:pPr>
        <w:spacing w:after="0" w:line="7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debt securities of that particular series from the debt securities of any other series);</w:t>
      </w:r>
    </w:p>
    <w:p>
      <w:pPr>
        <w:spacing w:after="0" w:line="130" w:lineRule="exact"/>
        <w:rPr>
          <w:rFonts w:ascii="Times New Roman" w:cs="Times New Roman" w:eastAsia="Times New Roman" w:hAnsi="Times New Roman"/>
          <w:sz w:val="18"/>
          <w:szCs w:val="18"/>
          <w:color w:val="auto"/>
        </w:rPr>
      </w:pPr>
    </w:p>
    <w:p>
      <w:pPr>
        <w:ind w:left="5540" w:right="440" w:hanging="4884"/>
        <w:spacing w:after="0" w:line="454" w:lineRule="auto"/>
        <w:tabs>
          <w:tab w:leader="none" w:pos="10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debt securities of the series will be issued; 26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debt securities of the series may be redeemed, in whole or in part, at our option;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debt securities of the series will be repurchased by us at the option of the holders thereof and other detailed terms and provisions of such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debt securities shall be issuable;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debt securities of the series and whether the debt securities will be issuable as global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of the series that shall be payable upon declaration of acceleration of the maturity thereof pursuant to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of the series, which may be in U.S. dollars or any foreign currency;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premium, if any, and interest, if any, on, the debt securities of the series will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and premium, if any, and interest, if any, on, the debt securities of the series are to be made in one or more currencies or currency units other than that or those in which such debt securities are denominated, the manner in which the exchange rate with respect to such payments will be determined;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if any, on the debt securities of the series will be determined, if such amounts may be determined by reference to an index based on a currency or currencies or by reference to a commodity, commodity index, stock exchange index or financial index;</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debt securities of the series or the guarantees, if any, thereof;</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 of the series;</w:t>
      </w:r>
    </w:p>
    <w:p>
      <w:pPr>
        <w:spacing w:after="0" w:line="27" w:lineRule="exact"/>
        <w:rPr>
          <w:rFonts w:ascii="Times New Roman" w:cs="Times New Roman" w:eastAsia="Times New Roman" w:hAnsi="Times New Roman"/>
          <w:sz w:val="18"/>
          <w:szCs w:val="18"/>
          <w:color w:val="auto"/>
        </w:rPr>
      </w:pPr>
    </w:p>
    <w:p>
      <w:pPr>
        <w:ind w:left="1080" w:right="120" w:hanging="424"/>
        <w:spacing w:after="0" w:line="260"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depositaries, interest rate calculation agents, exchange rate calculation agents or other agents, if any, with respect to the debt securities of the series, if other than as described in this prospectus or the indenture;</w:t>
      </w:r>
    </w:p>
    <w:p>
      <w:pPr>
        <w:spacing w:after="0" w:line="86"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of any debt securities of the series, including if applicable, the conversion price, the conversion period, the securities or other property into which such debt securities will be convertible, provisions as to whether conversion will be mandatory, at the option of the holders thereof or at our option, the events requiring an adjustment of the conversion price and provisions affecting conversion if such debt securities are redeemed;</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senior debt securities or subordinated debt securities and, if applicable, the subordination terms thereof;</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are entitled to the benefits of a guarantee pursuant to the indenture, the terms of such guarantee and whether any such guarantee is made on a senior or subordinated basis and, if applicable, the subordination terms of any such guarantee;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additional material U.S. federal income tax consequences, if any, applicable to an investment in such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the series (which terms may supplement, modify or delete any provision of the indenture insofar as it applies to such series) .</w:t>
      </w:r>
    </w:p>
    <w:p>
      <w:pPr>
        <w:spacing w:after="0" w:line="16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addition, the indenture does not limit our operating partnership’s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issue debt securities of our operating partnership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our operating partnership’s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as depositary, or a nominee (we will refer to any debt security represented by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of the certificate to the new holder or the issuance by us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require the depositary to agree to follow the following procedures with respect to book-entry debt securities.</w:t>
      </w:r>
    </w:p>
    <w:p>
      <w:pPr>
        <w:spacing w:after="0" w:line="22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8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the depositary and the depositary’s book-entry system from sources we believe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Digital Realty Trust, L.P. and Digital Realty Trust, Inc. may consolidate with, or sell, lease or convey all or substantially all of their respective assets to, or merge with or into, any other entity, provided that the following conditions are met:</w:t>
      </w:r>
    </w:p>
    <w:p>
      <w:pPr>
        <w:spacing w:after="0" w:line="67" w:lineRule="exact"/>
        <w:rPr>
          <w:sz w:val="20"/>
          <w:szCs w:val="20"/>
          <w:color w:val="auto"/>
        </w:rPr>
      </w:pPr>
    </w:p>
    <w:p>
      <w:pPr>
        <w:ind w:left="1080" w:right="4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Realty Trust, L.P. or Digital Realty Trust, Inc., as the case may be, shall be the continuing entity, or the successor entity (if other than Digital Realty Trust, L.P. or Digital Realty Trust, Inc., as the case may be)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shall be delivered to the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Debt securities issued by Digital Realty Trust, L.P. will be fully and unconditionally guaranteed by Digital Realty Trust, Inc. The applicable prospectus supplement relating to a series of debt securities will provide that those debt securities will have the benefit of a guarantee by Digital Realty Trust,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any debt security of that series when due and payable;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our company;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accompanying this prospectus.</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320" w:top="455" w:right="5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holders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131" w:lineRule="exact"/>
        <w:rPr>
          <w:sz w:val="20"/>
          <w:szCs w:val="20"/>
          <w:color w:val="auto"/>
        </w:rPr>
      </w:pPr>
    </w:p>
    <w:p>
      <w:pPr>
        <w:ind w:left="1080" w:right="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or covenant defeasance.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include: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 and Events of Default</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“Foreign Government Obligations” </w:t>
      </w:r>
      <w:r>
        <w:rPr>
          <w:rFonts w:ascii="Times New Roman" w:cs="Times New Roman" w:eastAsia="Times New Roman" w:hAnsi="Times New Roman"/>
          <w:sz w:val="18"/>
          <w:szCs w:val="18"/>
          <w:color w:val="auto"/>
        </w:rPr>
        <w:t>means, with respect to debt securities of any series that are denominated in a currency other than U.S. dollars:</w:t>
      </w:r>
    </w:p>
    <w:p>
      <w:pPr>
        <w:spacing w:after="0" w:line="133" w:lineRule="exact"/>
        <w:rPr>
          <w:sz w:val="20"/>
          <w:szCs w:val="20"/>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without regard to conflict of law principles that would result in the application of any law other than the law of the State of New York.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22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with respect to restrictions on ownership and transfer of Digital Realty Trust, Inc.’s stock sets forth certain general terms and provisions of the company’s charter documents to which any prospectus supplement may relate. This summary does not purport to be complete and is subject to and qualified in its entirety by reference to the company’s charter documents, as amended and supplemented from time to time, including any articles supplementary relating to any issuance of preferred stock pursuant to this prospectus. Copies of the company’s existing charter documents are filed with the SEC and are incorporated by reference as exhibits to the registration statement of which this prospectus is a part. Any amendment or supplement to the company’s charter documents relating to an issuance of securities pursuant to this prospectus shall be filed with the SEC and shall be incorporated by reference as an exhibit to the applicable prospectus supplement. See “Where You Can Find More Information.”</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order for the company to qualify as a REIT under the Internal Revenue Code of 1986, as amended, or the Code, the company’s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company’s charter contains restrictions on the ownership and transfer of the common stock, preferred stock and capital stock that are intended to assist the company in complying with these requirements and continuing to qualify as a REIT. The relevant sections of the company’s charter provide that, subject to the exceptions described below, no person or entity may beneficially own, or be deemed to own by virtue of the applicable constructive ownership provisions of the Code, more than 9.8% (by value or by number of shares, whichever is more restrictive) of the outstanding shares of the common stock or of any series of preferred stock, or more than 9.8% of the value of the company’s outstanding capital stock. The company refers to these restrictions as the “common stock ownership limit,” the “preferred stock ownership limit” and the “aggregate stock ownership limit,” respectively. A person or entity that becomes subject to one of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the common stock, any series of the company’s preferred stock, or the company’s capital stock, as applicable, or is referred to as a “purported record transferee” if, had the violative transfer been effective, the person or entity would have been solely a record owner of the common stock, any series of the company’s preferred stock, or the company’s capital stock, as applicable.</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9.8% of the common stock or any series of the company’s preferred stock or less than 9.8% of the value of the company’s outstanding capital stock (or the acquisition of an interest in an entity that owns, actually or constructively, the company’s capital stock) by an individual or entity could, nevertheless, cause that individual or entity, or another individual or entity, to own constructively more than 9.8% of the company’s outstanding common stock or a series of the company’s preferred stock or capital stock, as applicable, and thereby subject such stock to the applicable ownership limit.</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may, in its sole discretion waive, prospectively or retroactively, the common stock ownership limit or aggregate stock ownership limit with respect to the beneficial ownership of a particular stockholder if it determines that such waiver will not cause any individual’s beneficial ownership of shares of the company’s capital stock to violate the aggregate stock ownership limit and that any exemption from the applicable ownership limit will not jeopardize the company’s status as a REIT.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may, in its sole discretion waive, prospectively or retroactively, the common stock ownership limit or aggregate stock ownership limit with respect to the constructive ownership of a particular stockholder if it determines that such stockholder does not and will not own, actually or constructively, an interest in a tenant of the company (or a tenant of any entity owned in whole or in part by the company) that would cause the company to own, actually or constructively, more than a 9.8% interest (as set forth in Section 856(d)(2)(B) of the Code) in such tenant or that any such ownership would not cause the company to fail to qualify as a REIT under the Code.</w:t>
      </w:r>
    </w:p>
    <w:p>
      <w:pPr>
        <w:spacing w:after="0" w:line="183"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may also, in its sole discretion waive, prospectively or retroactively, the preferred stock ownership limit with respect to a particular stockholder if it determines that such waiver will not: (1) cause any individual’s beneficial ownership of shares of the company’s capital stock to violate the aggregate stock ownership limit, or (2) jeopardize the company’s status as a REIT.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a condition of the company’s waiver, the company’s board of directors may require an opinion of counsel or IRS ruling satisfactory to the company’s board of directors, and/or representations or undertakings from the applicant with respect to preserving the company’s REIT status.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a waiver of an ownership limit or at any other time, the company’s board of directors may increase the applicable ownership limit for one or more persons and decrease the applicable ownership limit for all other persons and entities; provided, however, that the decreased ownership limit will not be effective for any person or entity whose percentage ownership in the common stock, any series of the company’s preferred stock or capital stock, as applicable, exceeds the decreased ownership limit until such time as such person or entity’s percentage ownership equals or falls below the decreased ownership limit; but any further acquisition of the company’s common, preferred or capital stock, as applicable, in excess of such percentage ownership will be in violation of the applicable ownership limit. Additionally, the new ownership limit, as applicable, may not allow five or fewer stockholders to beneficially own more than 49% in value of the company’s outstanding capital stock.</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charter further prohibits:</w:t>
      </w:r>
    </w:p>
    <w:p>
      <w:pPr>
        <w:spacing w:after="0" w:line="131" w:lineRule="exact"/>
        <w:rPr>
          <w:sz w:val="20"/>
          <w:szCs w:val="20"/>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beneficially or constructively owning shares of the company’s stock that would result in our being “closely held” under Section 856(h) of the Code or otherwise cause the company to fail to qualify as a REIT;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transferring shares of the company’s capital stock if such transfer would result in shares of the company’s stock being beneficially owned by fewer than 100 persons (determined without reference to any rules of attribution).</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person who acquires or attempts or intends to acquire beneficial or constructive ownership of shares of the company’s stock that will or may violate any of the foregoing restrictions on transferability and ownership will be required to give notice immediately to the company and provide the company with such other information as it may request in order to determine the effect of such transfer on the company’s status as a REIT. The foregoing provisions on transferability and ownership will not apply if the company’s board of directors determines that it is no longer in the company’s best interests to attempt to qualify, or to continue to qualify, as a REIT.</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Pursuant to the company’s charter, if any purported transfer of the company’s stock or any other event would otherwise result in any person violating the ownership limits or such other limit as established by the company’s board of directors or would result in the company being “closely held” under Section 856(h) of the Code or otherwise failing to qualify as a REIT, then that number of shares in excess of the applicable ownership limit or causing us to be “closely held” or otherwise to fail to qualify as a REIT (rounded up to the nearest whole share) will be automatically transferred to, and held by, a trust for the exclusive benefit of one or more charitable organizations selected by the company and the intended transferee will acquire no rights in such shares. The automatic transfer will be effective as of the close of business on the business day prior to the date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violative transfer or other event that results in the transfer to the trust. Any dividend or other distribution paid to the purported record transferee that are owed by the purported record transferee to the trust as described above, must be repaid to the trustee upon demand for distribution to the beneficiary of the trust, and the trustee may reduce the amount payable to the purported record transferee upon the sale of the shares transferred to the trustee (as described below) by the amount of any such dividends or other distributions which have not been repaid to the trustee. If the transfer to the trust as described above is not automatically effective, for any reason, to prevent a violation of the applicable ownership limit or the company’s being “closely held” or otherwise failing to qualify as a REIT, then the company’s charter provides that the transfer of the shares in excess of the ownership limit will be void. If any transfer would result in shares of the company’s stock being beneficially owned by fewer than 100 persons, then any such purported transfer will be void and of no force or effect and the intended transferee will acquire no rights in the shares.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Shares of the company’s stock transferred to the trustee are deemed offered for sale to the company, or the company’s designee, at a price per share equal to the lesser of (1) the price paid by the purported record transferee for the shares (or, if the event which resulted in the transfer to the trust did not involve a purchase of such shares of the company’s stock at market price, the last sales price reported on the NYSE on the trading day immediately preceding the day of the event which resulted in the transfer of such shares of the company’s stock to the trust) and (2)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The company will pay the amount of such reduction to the trustee for the benefit of the charitable beneficiary. The company has the right to accept such offer until the trustee has sold the shares of the company’s stock held in the trust pursuant to the clauses discussed below. Upon a sale to the company, the interest of the charitable beneficiary in the shares sold terminates and the trustee must distribute the net proceeds of the sale to the purported record transferee and any dividends or other distributions held by the trustee with respect to such stock will be paid to the charitable beneficiary.</w:t>
      </w:r>
    </w:p>
    <w:p>
      <w:pPr>
        <w:spacing w:after="0" w:line="194"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If the company does not buy the shares, the trustee must, within 20 days of receiving notice from the company of the transfer of shares to the trust, sell the shares to a person or entity designated by the trustee who could own the shares without violating the common stock ownership limit or the preferred stock ownership limit, as applicable, and the aggregate stock ownership limit or such other limit as established by the company’s board of directors.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After that, the trustee must distribute to the purported record transferee an amount equal to the lesser of (1) the price paid by the purported record transferee or owner for the shares (or, if the event which resulted in the transfer to the trust did not involve a purchase of such shares at market price, the last sales price reported on the NYSE on the trading day immediately preceding the day of the event which resulted in the transfer of such shares of the company’s stock to the trust) and (2) the sales proceeds (net of commissions and other expenses of sale) received by the trustee for the shares. The trustee may reduce the amount payable to the purported record transferee by the amount of dividends and distributions which have been paid to the purported record transferee and are owed by the purported record transferee to the trustee. Any net sales proceeds in excess of the amount payable to the purported record transferee will be immediately paid to the charitable beneficiary, together with any dividends or other distributions thereon. In addition, if prior to discovery by the company that shares of the company’s stock have been transferred to a trust, such shares of stock are sold by a purported record transferee, then such shares shall be deemed to have been sold on behalf of the trust and to the extent that the purported record transferee received an amount for or in respect of such shares that exceeds the amount that such purported record transferee was entitled to receive, such excess amount shall be paid to the trustee upon demand. The purported beneficial transferee or purported record transferee has no rights in the shares held by the trustee.</w:t>
      </w:r>
    </w:p>
    <w:p>
      <w:pPr>
        <w:spacing w:after="0" w:line="192"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The trustee will be designated by the company and will be unaffiliated with the company and with any purported record transferee or purported beneficial transferee. Prior to the sale of any shares in excess of the common stock ownership limit, the preferred stock ownership limit or the aggregate stock ownership limit by the trust, the trustee will receive, in trust for the beneficiary, all dividends and other distributions paid by the company with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the shares in excess of the applicable ownership limit, and may also exercise all voting rights with respect to such shares.</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Subject to Maryland law, effective as of the date that the shares have been transferred to the trust, the trustee will have the authority, at the trustee’s sole discretion:</w:t>
      </w:r>
    </w:p>
    <w:p>
      <w:pPr>
        <w:spacing w:after="0" w:line="67" w:lineRule="exact"/>
        <w:rPr>
          <w:sz w:val="20"/>
          <w:szCs w:val="20"/>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rescind as void any vote cast by a purported record transferee prior to the company’s discovery that the shares have been transferred to the trust;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recast the vote in accordance with the desires of the trustee acting for the benefit of the beneficiary of the trust.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if the company has already taken irreversible corporate action, then the trustee may not rescind and recast the vote.</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addition, if the company’s board of directors or other permitted designees determine in good faith that a proposed transfer would violate the restrictions on ownership and transfer of the company’s stock set forth in the company’s charter, the company’s board of directors or other permitted designees will take such action as it deems or they deem advisable to refuse to give effect to or to prevent such transfer, including, but not limited to, causing the company to redeem shares of common stock or preferred stock, refusing to give effect to the transfer on the company’s books or instituting proceedings to enjoin the transfer.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beneficial owner or constructive owner of shares of the company’s stock and any person or entity (including the stockholder of record) who is holding shares of the company’s stock for a beneficial owner must, on request, provide the company with a completed questionnaire containing the information regarding the ownership of such shares, as set forth in the applicable Treasury Regulations. In addition, any person or entity that is a beneficial owner or constructive owner of shares of the company’s stock and any person or entity (including the stockholder of record) who is holding shares of the company’s stock for a beneficial owner or constructive owner shall, on request, be required to disclose to the company in writing such information as the company may request in order to determine the effect, if any, of such stockholder’s actual and constructive ownership of shares of the company’s stock on the company’s status as a REIT and to ensure compliance with the common stock ownership limit, the preferred stock ownership limit and the aggregate stock ownership limit, or as otherwise permitted by the company’s board of directors.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certificates representing shares of the company’s common stock and preferred stock bear a legend referring to the restrictions described above.</w:t>
      </w:r>
    </w:p>
    <w:p>
      <w:pPr>
        <w:spacing w:after="0" w:line="225"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These restrictions on ownership and transfer could delay, defer or prevent a transaction or a change of control of the company that might involve a premium price for the company’s stock or otherwise be in the best interest of the company’s stockholders.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PARTNERSHIP AGREEMENT OF DIGITAL REALTY TRUST, L.P.</w:t>
      </w:r>
    </w:p>
    <w:p>
      <w:pPr>
        <w:spacing w:after="0" w:line="227"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of certain terms and provisions of the Nineteenth Amended and Restated Agreement of Limited Partnership of Digital Realty Trust, L.P., as amended, which we refer to as the partnership agreement, and is subject to, and qualified in its entirety by, the partnership agreement, a copy of which is filed as an exhibit to the registration statement of which this prospectus is a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Under the partnership agreement, Digital Realty Trust, Inc., as the operating partnership’s sole general partner, exercises exclusive and complete responsibility and discretion in the operating partnership’s day-to-day management and control, can cause the operating partnership to enter into major transactions including acquisitions, dispositions and refinancings, subject to certain limited exceptions, and may not be removed as general partner by the limited partners. The limited partners do not have voting rights relating to the operating partnership’s operation and management, except in connection with matters, as described more fully below, involving amendments to the partnership agreement and transfers of the general partner’s interest.</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limited partners expressly acknowledged that Digital Realty Trust, Inc., as the operating partnership’s general partner, is acting for the benefit of the operating partnership, its limited partners and Digital Realty Trust, Inc.’s stockholders collectively. Neither Digital Realty Trust, Inc. nor its board of directors is under any obligation to give priority to the separate interests of the limited partners or Digital Realty Trust, Inc.’s stockholders in deciding whether to cause the operating partnership to take or decline to take any actions. If there is a conflict between the interests of Digital Realty Trust, Inc.’s stockholders on one hand and the operating partnership’s limited partners on the other, Digital Realty Trust, Inc. will endeavor in good faith to resolve the conflict in a manner not adverse to either Digital Realty Trust, Inc.’s stockholders or the operating partnership’s limited partners; provided, however, that for so long as Digital Realty Trust, Inc. owns a controlling interest in the operating partnership, any conflict that cannot be resolved in a manner not adverse to either Digital Realty Trust, Inc.’s stockholders or the operating partnership’s limited partners will be resolved in favor of Digital Realty Trust, Inc.’s stockholders. Digital Realty Trust, Inc. is not liable under the partnership agreement to the operating partnership or to any partner for monetary damages for losses sustained, liabilities incurred, or benefits not derived by limited partners in connection with such decisions, provided, that it has acted in good faith.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Interests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Except in connection with a transaction described in “—Termination Transactions” below, Digital Realty Trust, Inc., as general partner, may not voluntarily withdraw from, or transfer or assign all or any portion of its interest in, the operating partnership without the consent of the holders of a majority of the limited partnership interests. Any transfer of units by the limited partners, except to immediate family members, to a trust for the benefit of a charitable beneficiary, to a lending institution as collateral for a bona fide loan or to an affiliate or member of such limited partner, will be subject to a right of first refusal by Digital Realty Trust, Inc. All transfers must be made only to “accredited investors” as defined under Rule 501 of the Securities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the Partnership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Amendments to the partnership agreement may be proposed by Digital Realty Trust, Inc., as general partner, or by limited partners owning at least 25% of the units held by limited partners.</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Generally, the partnership agreement may not be amended, modified or terminated without the approval of limited partners (other than limited partners 50% or more of whose equity is owned, directly or indirectly, by Digital Realty Trust, Inc. as general partner) holding a majority of all outstanding units held by limited partners.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general partner, Digital Realty Trust, Inc. has the power to unilaterally make certain amendments to the partnership agreement without obtaining the consent of the limited partners as may be required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Digital Realty Trust, Inc.’s obligations as general partner or surrender any right or power granted to it as general partner for the benefit of the limited partners;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issuance of additional units or the admission, substitution, termination or withdrawal of partners in accordance with the partnership agreement;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or amend the designations, rights, powers, duties and preferences of the holders of any additional units issued in accordance with the partnership agreement;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a change of an inconsequential nature that does not adversely affect the limited partners in any material respect, or cure any ambiguity, correct or supplement any provisions of the partnership agreement not inconsistent with law or with other provisions of the partnership agreement, or make other changes concerning matters under the partnership agreement that will not otherwise be inconsistent with the partnership agreement or law;</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requirements, conditions or guidelines of federal or state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changes that are reasonably necessary for Digital Realty Trust, Inc., as general partner, to maintain its status as a REIT;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manner in which capital accounts are computed.</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Amendments that would, among other things, convert a limited partner’s interest into a general partner’s interest, modify the limited liability of a limited partner, alter a partner’s right to receive any distributions or allocations of profits or losses, adversely alter or modify the redemption rights or alter the protections of the limited partners in connection with termination transactions described below must be approved by each limited partner that would be adversely affected by such amendment.</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addition, without the written consent of a majority of the units held by limited partners (other than limited partners 50% or more of whose equity is owned, directly or indirectly, by Digital Realty Trust, Inc. as general partner), Digital Realty Trust, Inc., as general partner, may not do any of the following:</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in contravention of an express prohibition or limitation contained in the partnership agreement;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act that would subject a limited partner to liability as a general partner in any jurisdiction or any liability not contemplated in the partnership agreement;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mortgage, loan or other agreement that prohibits or restricts, or has the effect of prohibiting or restricting, the ability of a limited partner to exercise its redemption/exchange rights explained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conduct any business other than in connection with its role as the operating partnership’s general partner and its operation as a REIT;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 interest in real or personal property other than through the operating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from the operating partnership or transfer any portion of its general partnership interest;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relieved of its obligations under the partnership agreement following any permitted transfer of its general partnership interest.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to Unitholders</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partnership agreement provides that holders of common units are entitled to receive quarterly distributions of available cash on a pro rata basis in accordance with their respective percentage interests. Digital Realty Trust, Inc., as the sole holder of the operating partnership’s series J preferred units, series K preferred units and series L preferred units receives distributions from the operating partnership with respect to such preferred units in order to make the distributions to series J preferred stockholders, series K preferred stockholders and series L preferred stockholders of Digital Realty Trust, Inc.</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Redemption/Exchange Rights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Limited partners have the right to require the operating partnership to redeem part or all of their units for cash based upon the fair market value of an equivalent number of shares of Digital Realty Trust, Inc. common stock at the time of the redemption. Alternatively, Digital Realty Trust, Inc. may elect to acquire those units in exchange for shares of Digital Realty Trust, Inc. common stock. Digital Realty Trust, Inc.’s acquisition will be on a one-for-one basis, subject to adjustment in the event of stock splits, stock dividends, issuances of stock rights, specified extraordinary distributions and similar events. Digital Realty Trust, Inc. presently anticipates that it will elect to issue shares of its common stock in exchange for units in connection with each redemption request, rather than having the operating partnership redeem the units for cash. With each redemption or exchange, Digital Realty Trust, Inc.’s percentage ownership interest in the operating partnership increases. Limited partners who hold units may exercise this redemption right from time to time, in whole or in part, except when, as a consequence of shares of Digital Realty Trust, Inc. common stock being issued, any person’s actual or constructive stock ownership would exceed Digital Realty Trust, Inc.’s ownership limits, or any other limit as provided in its charter or as otherwise determined by its board of directors.</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if the number of units delivered by a limited partner for redemption would, if exchanged for common stock, exceed 9.8% of Digital Realty Trust, Inc.’s outstanding common stock and $50.0 million in gross value (based on a unit value equal to the trailing ten-day daily price of Digital Realty Trust, Inc. common stock) and Digital Realty Trust, Inc. is eligible to file a registration statement on Form S-3 under the Securities Act, then it may also elect to redeem the units with the proceeds from a public offering or private placement of its common stock. In the event it elects this option, Digital Realty Trust, Inc. may require the other limited partners also to elect whether or not to participate. If it does so, any limited partner who does not elect to participate will not be permitted to redeem units for the subsequent 12 months, subject to limited exceptions. Participating limited partners will receive on the redemption date the lesser of the cash the operating partnership would otherwise be required to pay for such units or the net proceeds per share in the public offering, but will have a limited opportunity to withdraw their units from the redemption immediately prior to the pricing of the public offering. Except as described above, a limited partner is not entitled to redeem common units, either for cash or shares of Digital Realty Trust, Inc. common stock, if exchanging the common units for shares of Digital Realty Trust, Inc. common stock would violate the ownership limits set forth in Digital Realty Trust, Inc.’s charter.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Partnership Right to Call Limited Partner Interests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any time a limited partner owns fewer than 20,000 units or if a limited partners owns (i) partnership units that were granted as profit interest units to such limited partner on or after September 21, 2018 and/or (ii) partnership units that were acquired by such limited partner as a result of the conversion of profits interest units that were granted to such limited partner on after September 21, 2018, then at any time following the second anniversary of the date on which such limited partner ceases to provide services to the partnership, the general partner shall have the right, but not the obligation, from time to time to redeem all outstanding units owned by such limited partner.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Common Units, Preferred Units, Common Stock, Preferred Stock or Convertible Securities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the operating partnership’s sole general partner, Digital Realty Trust, Inc. has the ability to cause the operating partnership to issue additional units representing general and limited partnership interests. These additional units may include preferred limited partnership units. In addition, Digital Realty Trust, Inc. may issue additional shares of its common stock or convertible securities, but only if it causes the operating partnership to issue to it partnership interests or rights, options, warrants or convertible or exchangeable securities of the operating partnership having designations, preferences and other rights, so that the economic interests of the operating partnership’s interests issued are substantially similar to the economic interests of the securities that Digital Realty Trust, Inc. has issued.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Digital Realty Trust, Inc. is the operating partnership’s “partnership representative” for U.S. federal income tax purposes and, as such, it has authority under the Code to handle tax audits and other proceedings on the operating partnership’s behalf. Further, as the operating partnership’s general partner, Digital Realty Trust, Inc. generally has the authority to make tax elections under the Code on the operating partnership’s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Allocations of Net Income and Net Losses to Partners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operating partnership’s net income will generally be allocated to Digital Realty Trust, Inc. to the extent of the accrued preferred return on its preferred units, and then to Digital Realty Trust, Inc., as general partner, and the limited partners in accordance with the respective percentage interests in the common units issued by the operating partnership. Net loss will generally be allocated to Digital Realty Trust, Inc., as general partner, and the limited partners in accordance with the respective common percentage interests in the operating partnership until the limited partner’s capital is reduced to zero and any remaining net loss would be allocated to Digital Realty Trust, Inc.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w:t>
      </w:r>
    </w:p>
    <w:p>
      <w:pPr>
        <w:spacing w:after="0" w:line="18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 xml:space="preserve">In addition, Digital Realty Trust, Inc. may from time to time issue long-term incentive units, which are also referred to as profits interest units, to persons who provide services to the company for such consideration or for no consideration as it may determine to be appropriate, and admit such persons as limited partners. The long-term incentive units are similar to the operating partnership’s common units in many respects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operating partnership’s common units as to the payment of regular and special periodic or other distributions except liquidating distributions. The long-term incentive units may be subject to vesting requirements.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of common units of the operating partnership, including redemption rights.</w:t>
      </w:r>
    </w:p>
    <w:p>
      <w:pPr>
        <w:spacing w:after="0" w:line="17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their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such allocation will, to the extent of any such gain, be equal to the difference between the capital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Times for making such adjustments generally include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in connection with the grant of an interest in the operating partnership (other than a de minimis interest) as consideration for the performance of services to or for the benefit of the operating partnership (including the grant of a long-term incentive unit), the issuance by the operating partnership of certain noncompensatory options, the acquisition of a partnership interest upon the exercise of a noncompensatory option and at such other times as may be desirable or required to comply with the Treasury Regulations.</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operating partnership may also from time to time issue class C units or class D units to persons who provide services to it for such consideration or for no consideration as it may determine to be appropriate. If all applicable performance and other vesting conditions are satisfied with respect to a class C unit or a class D unit, the class C unit or class D unit, as applicable, will be treated in the same manner as the long-term incentive units issued by the operating partnership. Class C units and class D units are not entitled to quarterly distributions prior to the satisfaction of all applicable performance conditions. In addition, the operating partnership may issue class D units that are subject to performance vesting, which generally receive quarterly per-unit distributions equal to ten percent of the distributions made with respect to an equivalent number of common units. Class C units and class D units, other than class D units that are not performance vested, are subject to the same conditions as other long-term incentive units with respect to achieving full parity with common units.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partnership agreement provides that Digital Realty Trust, Inc., as general partner, will determine in its discretion and distribute available cash on a quarterly basis, pro rata in accordance with the partners’ percentage interests. Available cash is the operating partnership’s net operating cash flow plus the reduction of any reserves and minus principal payment on debt and capital expenditures, investments in any entity, and increase in reserves or working capital accounts and any amounts paid in redemption of limited partner interests.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that the operating partnership will assume and pay when due, or reimburse Digital Realty Trust, Inc. for payment of all costs and expenses relating to the operating partnership’s operations, or for the operating partnership’s benefit.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Transactions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that Digital Realty Trust, Inc. may not engage in any merger, consolidation or other combination with or into another person, sale of all or substantially all of its assets or any reclassification or any recapitalization or change in outstanding shares of its common stock, which we refer to as a termination transaction, unless in connection with a termination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20" w:hanging="544"/>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obtains the consent of the holders of at least 35% of the operating partnership’s common units and long-term incentive units (including units held by it), and</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limited partners will receive, or have the right to elect to receive, for each common unit an amount of cash, securities or other property equal to the product of:</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Digital Realty Trust, Inc. common stock into which each unit is then exchangeable, and</w:t>
      </w:r>
    </w:p>
    <w:p>
      <w:pPr>
        <w:spacing w:after="0" w:line="130"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amount of cash, securities or other property paid to the holder of one share of Digital Realty Trust, Inc. common stock in consideration of one share of Digital Realty Trust, Inc. common stock in connection with the termination transaction,</w:t>
      </w:r>
    </w:p>
    <w:p>
      <w:pPr>
        <w:spacing w:after="0" w:line="5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provided that, if, in connection with a termination transaction, a purchase, tender or exchange offer is made to and accepted by the holders of more than 50% of the outstanding shares of Digital Realty Trust, Inc. common stock, each holder of common units will receive, or will have the right to elect to receive, the greatest amount of cash, securities or other property which such holder would have received had it exercised its redemption right and received shares of Digital Realty Trust, Inc. common stock in exchange for its common units immediately prior to the expiration of such purchase, tender or exchange offer and accepted such purchase, tender or exchange offer; or</w:t>
      </w:r>
    </w:p>
    <w:p>
      <w:pPr>
        <w:spacing w:after="0" w:line="89"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conditions are met:</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assets of the surviving entity are held directly or indirectly by the operating partnership or another limited partnership or limited liability company which is the surviving partnership of a merger, consolidation or combination of assets with the operating partnership;</w:t>
      </w:r>
    </w:p>
    <w:p>
      <w:pPr>
        <w:spacing w:after="0" w:line="81"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units and long-term incentive units own a percentage interest of the surviving partnership based on the relative fair market value of the operating partnership’s net assets and the other net assets of the surviving partnership immediately prior to the consummation of this transaction;</w:t>
      </w:r>
    </w:p>
    <w:p>
      <w:pPr>
        <w:spacing w:after="0" w:line="81" w:lineRule="exact"/>
        <w:rPr>
          <w:rFonts w:ascii="Times New Roman" w:cs="Times New Roman" w:eastAsia="Times New Roman" w:hAnsi="Times New Roman"/>
          <w:sz w:val="18"/>
          <w:szCs w:val="18"/>
          <w:color w:val="auto"/>
        </w:rPr>
      </w:pPr>
    </w:p>
    <w:p>
      <w:pPr>
        <w:ind w:left="1540" w:right="380" w:hanging="331"/>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such unit holders in the surviving partnership are at least as favorable as those in effect immediately prior to the consummation of the transaction and as those applicable to any other limited partners or non-managing members of the surviving partnership; and</w:t>
      </w:r>
    </w:p>
    <w:p>
      <w:pPr>
        <w:spacing w:after="0" w:line="81" w:lineRule="exact"/>
        <w:rPr>
          <w:rFonts w:ascii="Times New Roman" w:cs="Times New Roman" w:eastAsia="Times New Roman" w:hAnsi="Times New Roman"/>
          <w:sz w:val="18"/>
          <w:szCs w:val="18"/>
          <w:color w:val="auto"/>
        </w:rPr>
      </w:pPr>
    </w:p>
    <w:p>
      <w:pPr>
        <w:ind w:left="1540" w:right="80" w:hanging="331"/>
        <w:spacing w:after="0" w:line="277" w:lineRule="auto"/>
        <w:tabs>
          <w:tab w:leader="none" w:pos="15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partners may exchange their interests in the surviving partnership for either the consideration available to the limited partners pursuant to paragraph (A) in this section, or the right to redeem their common units for cash on terms equivalent to those in effect with respect to their common units immediately prior to the consummation of the transaction, or, if the ultimate controlling person of the surviving partnership has publicly traded common equity securities, shares of those common equity securities, at an exchange ratio based on the relative fair market value of those securities and Digital Realty Trust, Inc. common stock.</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operating partnership will continue in full force and effect until December 31, 2104, or until sooner dissolved in accordance with the operating partnership’s terms or as otherwise provided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 of Liability</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 the partnership agreement indemnifies Digital Realty Trust, Inc., as general partner, and its officers, directors, employees, agents and any other persons it may designate from and against any and all claims arising from the operating partnership’s operations in which any indemnitee may be involved, or is threatened to be involved, as a party or otherwise, unless it is established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indemnitee was material to the matter giving rise to the proceeding and either was committed in bad faith, constituted fraud or was the result of active and deliberate dishonesty;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indemnitee had reasonable cause to believe that the act or omission was unlawful.</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Similarly, Digital Realty Trust, Inc., as the operating partnership’s general partner, and its officers, directors, agents or employees, are not liable or accountable to the operating partnership for losses sustained, liabilities incurred or benefits not derived as a result of errors in judgment or mistakes of fact or law or any act or omission so long as Digital Realty Trust, Inc. acted in good faith.</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455"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PROVISIONS OF MARYLAND LAW AND OF THE CHARTER AND BYLAWS OF DIGITAL REALTY TRUST, INC.</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provisions of Maryland law and of Digital Realty Trust, Inc.’s charter and bylaws does not purport to be complete and is subject to and qualified in its entirety by reference to Maryland law and the company’s charter and bylaws, copies of which are exhibits to the registration statement of which this prospectus is a part. See “Where You Can Find More Information.”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Board of Directors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bylaws provide that the number of directors of the company may be established by the company’s board of directors but may not be fewer than the minimum number permitted under the MGCL or more than 15. Except as may be provided by the company’s board of directors in setting the terms of any class or series of stock, any vacancy may be filled only by a vote of a majority of the remaining directors, even if the remaining directors do not constitute a quorum. Any director elected to fill a vacancy shall serve for the remainder of the full term of the directorship in which the vacancy occurred and until a successor is elected and qualifies.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of the company’s directors is elected by the company’s common stockholders to serve until the next annual meeting and until their successors are duly elected and qualify. Holders of shares of the company’s common stock will have no right to cumulative voting in the election of directors. Consequently, at each annual meeting of stockholders, the holders of a majority of the shares of the common stock will be able to elect all of the company’s directors. Additionally, in the event that the company is in arrears on dividends on the company’s series J preferred stock, series K preferred stock or series L preferred stock for six or more quarterly periods, whether or not consecutive, holders of the company’s series J preferred stock, series K preferred stock or series L preferred stock as the case may be, voting as a single class with all other series of preferred stock upon which like voting rights have been conferred and are exercisable, will have the right to elect two additional directors to the company’s board for a limited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company’s charter provides that a director may be removed only for cause (as defined in the company’s charter) and only by the affirmative vote of stockholders entitled to cast at least two-thirds of the votes entitled to be cast generally in the election of directors. This provision, when coupled with the exclusive power of the company’s board of directors to fill vacant directorships, precludes stockholders from (1) removing incumbent directors except upon the existence of cause for removal and a substantial affirmative vote and (2) filling the vacancies created by such removal with their own nominees. In addition, any director elected to the company’s board by the holders of the company’s preferred stock may only be removed by a vote of preferred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directly or indirectly, 10% or more of the voting power of the then outstanding stock of the corporation. A person is not an interested stockholder under the statute if the board of directors approved in advance the transaction by which the person otherwise would have become an interested stockholder. The company’s board of directors may provide that its approval is subject to compliance with any terms and conditions determined by 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After such five-year period,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a board of directors prior to the time that the interested stockholder becomes an interested stockholder. Pursuant to the statute, the company’s board of directors has by resolution opted out of the business combination provisions of the MGCL and, consequently, the five-year prohibition and the supermajority vote requirements will not apply to business combinations between us and any interested stockholder of the company. As a result, anyone who later becomes an interested stockholder may be able to enter into business combinations with the company that may not be in the best interest of the company’s stockholders without compliance by the company with the super-majority vote requirements and the other provisions of the statute. The company cannot assure you that its board of directors will not opt to be subject to such business combination provisions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MGCL provides that “control shares” of a Maryland corporation acquired in a “control share acquisition” have no voting rights except to the extent approved at a special meeting by the affirmative vote of stockholders entitled to cast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9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upon satisfaction of certain conditions (including an undertaking to pay expenses), may compel the company’s board of directors to call a special meeting of stockholders to be held within 50 days of demand to consider the voting rights of the control shares. If no request for a meeting is made, the corporation may itself present the question at any stockholders’ meeting.</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62"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The company’s bylaws contain a provision exempting from the control share acquisition statute any and all acquisitions by any person of the company’s stock. The company cannot provide you any assurance that its board of directors will not amend or eliminate this provision at any time in the future.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Subtitle 8</w:t>
      </w:r>
    </w:p>
    <w:p>
      <w:pPr>
        <w:spacing w:after="0" w:line="12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Title 3, Subtitle 8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of (1) a classified board of directors, (2) a two-thirds vote requirement for removing a director, (3) a requirement that the number of directors be fixed only by vote of the directors, (4) a requirement that a vacancy on the board of directors be filled only by the remaining directors and for the remainder of the full term of the class of directors in which the vacancy occurred, or (5) a majority requirement for the calling of a stockholder-requested special meeting of stockholders. Pursuant to Subtitle 8, the company has elected to provide that vacancies on its board of directors may be filled only by the remaining directors and for the remainder of the full term of the directorship in which the vacancy occurred. Through provisions in the company’s charter and bylaws unrelated to Subtitle 8, the company already requires a two-thirds vote for the removal of any director from the board of directors, vests in the board of directors the exclusive power to fix the number of directorships and requires, unless called by the chair of the company’s board of directors, or the company’s president, chief executive officer or board of directors, the written request of stockholders entitled to cast a majority of all the votes entitled to be cast on any matter that may be properly considered at a meeting of stockholders to call a special meeting to act on such matter.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the Company’s Charter and Bylaws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company’s charter generally may be amended only if such amendment is declared advisable by the company’s board of directors and approved by the affirmative vote of stockholders entitled to cast a majority of all of the votes entitled to be cast on the matter. In the case of an amendment that would materially and adversely affect the company’s series J preferred stock, series K preferred stock or series L preferred stock,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is also required. However, the company’s charter’s provisions regarding removal of directors and the vote required for certain amendments may be amended only if such amendment is declared advisable by the company’s board of directors and approved by the affirmative vote of stockholders entitled to cast not less than two-thirds of all the votes entitled to be cast on the matter. The company’s board of directors has the power to adopt, alter or repeal any provision of the company’s bylaws or to make new bylaws. In addition, pursuant to a proposal that is submitted to the stockholders of the company for approval at a duly called annual or special meeting of stockholders in accordance with the company’s bylaws and is otherwise permitted by applicable law, the stockholders of the company may alter or repeal the company’s bylaws, or adopt new bylaws, provided such alteration, repeal or adoption is approved by the affirmative vote of a majority of all the votes entitled to be cast on the matter. However, the stockholders may not alter or repeal, or adopt new bylaws inconsistent with, the provisions of the bylaws relating to indemnification or the amendment of the bylaws without the approval of the company’s board of directors.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Outside the Ordinary Course of Business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not merge with or into another company, convert to another entity, sell all or substantially all of its assets, engage in a share exchange or engage in similar transactions outside the ordinary course of business unless the transaction is declared advisable by the company’s board of directors and approved by the affirmative vote of stockholders entitled to cast a majority of all of the votes entitled to be cast on the matter. In the case of any such transaction that would materially and adversely affect the company’s series J preferred stock, series K preferred stock or series L preferred stock, the company will also require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upon the occurrence of such a transaction, series J preferred stock, series K preferred stock or series L preferred stock,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remains outstanding with materially unchanged terms, taking into account that the company may not be the surviving entity, then the transaction will not be deemed to materially and adversely affect the company’s series J preferred stock, series K preferred stock or series L preferred stock. Furthermore, the company’s charter expressly provides that the consent of series J, series K or series L preferred stockholders is not required for a transaction if, pursuant to such a transaction, series J, series K and series L preferred stockholders receive the greater of the full trading price of the series J preferred stock, series K preferred stock or series L preferred stock, as the case may be, on the date of the transaction or the liquidation preference.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of the Company</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dissolution of the company must be declared advisable by a majority of the company’s entire board of directors and approved by the affirmative vote of stockholders entitled to cast a majority of all of the votes entitled to be cast on the matter.</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of Director Nominations and New Business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bylaws provide that:</w:t>
      </w:r>
    </w:p>
    <w:p>
      <w:pPr>
        <w:spacing w:after="0" w:line="131" w:lineRule="exact"/>
        <w:rPr>
          <w:sz w:val="20"/>
          <w:szCs w:val="20"/>
          <w:color w:val="auto"/>
        </w:rPr>
      </w:pPr>
    </w:p>
    <w:p>
      <w:pPr>
        <w:ind w:left="1080" w:right="4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annual meeting of stockholders, nominations of individuals for election to the company’s board of directors and the proposal of business to be considered by stockholders may be made only: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company’s notice of the meeting;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company’s board of directors; or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is a stockholder of record at the record date set by the Board of Directors for the purpose of determining stockholders entitled to vote at the annual meeting, at the time of giving the advance notice required by the company’s bylaws and at the time of the meeting (and any postponement or adjournment thereof), who is entitled to vote at the meeting in the election of each individual so nominated or any such other business and who has complied with the advance notice procedures set forth in the company’s bylaws; and</w:t>
      </w:r>
    </w:p>
    <w:p>
      <w:pPr>
        <w:spacing w:after="0" w:line="88"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special meetings of stockholders, only the business specified in the company’s notice of meeting may be brought before the meeting of stockholders and nominations of individuals for election to the company’s board of directors may be made only: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company’s board of directors; or</w:t>
      </w:r>
    </w:p>
    <w:p>
      <w:pPr>
        <w:spacing w:after="0" w:line="130" w:lineRule="exact"/>
        <w:rPr>
          <w:rFonts w:ascii="Times New Roman" w:cs="Times New Roman" w:eastAsia="Times New Roman" w:hAnsi="Times New Roman"/>
          <w:sz w:val="18"/>
          <w:szCs w:val="18"/>
          <w:color w:val="auto"/>
        </w:rPr>
      </w:pPr>
    </w:p>
    <w:p>
      <w:pPr>
        <w:jc w:val="both"/>
        <w:ind w:left="1540" w:right="840" w:hanging="331"/>
        <w:spacing w:after="0" w:line="26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special meeting has been called in accordance with the bylaws for the purpose of electing directors, by a stockholder who is a stockholder of record at the record date set by the Board of Directors for the purpose of determining stockholders entitled to vote at the annual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00"/>
        <w:spacing w:after="0" w:line="266" w:lineRule="auto"/>
        <w:rPr>
          <w:sz w:val="20"/>
          <w:szCs w:val="20"/>
          <w:color w:val="auto"/>
        </w:rPr>
      </w:pPr>
      <w:r>
        <w:rPr>
          <w:rFonts w:ascii="Times New Roman" w:cs="Times New Roman" w:eastAsia="Times New Roman" w:hAnsi="Times New Roman"/>
          <w:sz w:val="18"/>
          <w:szCs w:val="18"/>
          <w:color w:val="auto"/>
        </w:rPr>
        <w:t>meeting, at the time of giving the advance notice required by the company’s bylaws and at the time of the meeting (and any postponement or adjournment thereof), who is entitled to vote at the meeting and in the election of each individual so nominated who has complied with the advance notice provisions set forth in the company’s bylaws.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advance notice procedures of the company’s bylaws provide that, to be timely, a stockholder’s notice with respect to director nominations or proposals for an annual meeting must be delivered to the company’s corporate secretary at the company’s principal executive office not earlier than the 150th day nor later than 5:00 p.m., Central Time, on the 120th day prior to the first anniversary of the date of the proxy statement for the company’s preceding year’s annual meeting. If the date of the annual meeting is advanced or delayed by more than 30 days from the first anniversary of the date of the preceding year’s annual meeting, to be timely, a stockholder’s notice must be delivered not earlier than the 150th day prior to the date of such annual meeting and not later than 5:00 p.m., Central time, on the later of the 120th day prior to the date of such annual meeting, as originally convened, or the tenth day following the day on which public announcement of the date of such meeting is first made.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company’s bylaws contain proxy access provisions which permit any stockholder or group of up to 20 shareholders owning at least 3% of the company’s outstanding shares of common stock continuously for at least three years to nominate and include up to a specified number of director nominees in the company’s proxy materials for an annual meeting of shareholders. The maximum number of stockholder nominees permitted under these proxy access provisions shall not exceed 20% of the total number of directors in office as of the last day on which a stockholder nomination may be delivered.</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Under such proxy access provisions, a stockholder’s written notice of nominations of individuals for election to the company’s board of directors to be included in the company’s proxy statement for an annual meeting must be delivered to the secretary of the company at the company’s principal executive offices not earlier than the 150th day nor later than 5:00 p.m., Central Time, on the 120th day prior to the anniversary of the date of the proxy statement for the preceding year’s annual meeting of stockholders. Neither the postponement or adjournment of an annual meeting, nor the public disclosure of such postponement or adjournment, commences a new time period for the giving of a stockholder’s written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the Company’s Charter and Bylaws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company’s charter on removal of directors and the advance notice provisions of the bylaws could delay, defer or prevent a transaction or a change of control of the company that might involve a premium price for holders of the company’s common stock or otherwise be in their best interest. Likewise, if the company’s board of directors were to opt in to the business combination provisions of the MGCL or the provisions of Title 3, Subtitle 8 of the MGCL not already applicable to the company, or if the provision in the bylaws opting out of the control share acquisition provisions of the MGCL were rescinded, these provisions of the MGCL could have similar anti-takeover effects.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Limit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company’s charter provides that no person or entity may beneficially own, or be deemed to own by virtue of the applicable constructive ownership provisions of the Code, more than 9.8% (by value or by number of shares, whichever is more restrictive) of the outstanding shares of the company’s common stock or any series of preferred stock or more than 9.8% of the value of the company’s outstanding capital stock. The company refers to these restrictions as the “ownership limits.” For a fuller description of this restriction and the constructive ownership rules, see “Restrictions on Ownership and Transfer.”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 of Directors’ and Officers’ Liability</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MGCL permits a Maryland corporation to include in its charter a provision limiting the liability of its directors and officers to the corporation and its stockholders for money damages except for liability resulting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from actual receipt of an improper benefit or profit in money, property or services or active and deliberate dishonesty established by a final judgment as being material to the cause of action. The company’s charter contains such a provision which eliminates such liability to the maximum extent permitted by Maryland law.</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MGCL requires a corporation (unless its charter provides otherwise, which the company’s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89"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committed in bad faith;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the result of active and deliberate dishonesty;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81" w:lineRule="exact"/>
        <w:rPr>
          <w:sz w:val="20"/>
          <w:szCs w:val="20"/>
          <w:color w:val="auto"/>
        </w:rPr>
      </w:pPr>
    </w:p>
    <w:p>
      <w:pPr>
        <w:ind w:left="1080" w:right="2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company’s charter authorizes the company to obligate it and the company’s bylaws obligate it,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81" w:lineRule="exact"/>
        <w:rPr>
          <w:sz w:val="20"/>
          <w:szCs w:val="20"/>
          <w:color w:val="auto"/>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officer who is made or threatened to be made a party to the proceeding by reason of his or her service in that capacity;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officer of the company and at the company’s request, serves or has served at another corporation, REIT, partnership, joint venture, trust, limited liability company, employee benefit plan or any other enterprise as a director, officer, partner, trustee, member or manager and who is made or threatened to be made a party to the proceeding by reason of his or her service in that capacity.</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provided by the company’s charter and bylaws shall vest immediately upon election of a director or officer.</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company’s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partnership agreement provides that the company, as general partner, and the company’s officers and directors are indemnified to the fullest extent permitted by law. See “Description of the Partnership Agreement of Digital Realty Trust, L.P.—Indemnification and Limitation of Liability.” The company has also entered into indemnification agreements with each of its executive officers and directors that obligate the company to indemnify them to the maximum extent permitted by Maryland law.</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company’s bylaws provide that, unless the company consents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MGCL or the company’s charter or bylaws, or (d) any action asserting a claim against the company or any director or officer or other employee of the company that is governed by the internal affairs doctrine.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regarding our company’s election to be taxed as a real estate investment trust, or a REIT, and the acquisition, ownership or disposition of our capital stock or the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Digital Realty Trust, Inc., and do not include any of its subsidiaries, except as otherwise indicated. This summary is for general information only and is not tax advice. The information in this summary is based on:</w:t>
      </w:r>
    </w:p>
    <w:p>
      <w:pPr>
        <w:spacing w:after="0" w:line="93"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Code of 1986, as amended, or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temporary and proposed Treasury regulations promulgated under the Code, or the Treasury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history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interpretations and practices of the Internal Revenue Service, or the IRS;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w:t>
      </w:r>
    </w:p>
    <w:p>
      <w:pPr>
        <w:spacing w:after="0" w:line="225"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and the holders of the operating partnership’s debt securities.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the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the operating partnership’s debt securities, or our election to be taxed as a REIT.</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are urged to consult your tax advisors regarding the tax consequences to you of:</w:t>
      </w:r>
    </w:p>
    <w:p>
      <w:pPr>
        <w:spacing w:after="0" w:line="131" w:lineRule="exact"/>
        <w:rPr>
          <w:sz w:val="20"/>
          <w:szCs w:val="20"/>
          <w:color w:val="auto"/>
        </w:rPr>
      </w:pPr>
    </w:p>
    <w:p>
      <w:pPr>
        <w:ind w:left="1080" w:right="460" w:hanging="424"/>
        <w:spacing w:after="0" w:line="28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purchase, ownership and disposition of our capital stock or the operating partnership’s debt securities, including the U.S. federal, state, local, non-U.S. and other tax consequences;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election to be taxed as a REIT for U.S. federal income tax purposes;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potential changes in applicable tax laws.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117"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We have elected to be taxed as a REIT under Sections 856 through 860 of the Code commencing with our taxable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9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89" w:lineRule="exact"/>
        <w:rPr>
          <w:sz w:val="20"/>
          <w:szCs w:val="20"/>
          <w:color w:val="auto"/>
        </w:rPr>
      </w:pPr>
    </w:p>
    <w:p>
      <w:pPr>
        <w:ind w:left="1080" w:right="8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will be required to pay regular U.S. federal corporate income tax on any undistributed REIT taxable income, including undistributed capital gain.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if we fail to satisfy the 75% gross income test or the 95% gross income test, as described below, but have otherwise maintained our qualification as a REIT because certain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66" w:lineRule="auto"/>
        <w:rPr>
          <w:sz w:val="20"/>
          <w:szCs w:val="20"/>
          <w:color w:val="auto"/>
        </w:rPr>
      </w:pPr>
      <w:r>
        <w:rPr>
          <w:rFonts w:ascii="Times New Roman" w:cs="Times New Roman" w:eastAsia="Times New Roman" w:hAnsi="Times New Roman"/>
          <w:sz w:val="18"/>
          <w:szCs w:val="18"/>
          <w:color w:val="auto"/>
        </w:rPr>
        <w:t>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81" w:lineRule="exact"/>
        <w:rPr>
          <w:sz w:val="20"/>
          <w:szCs w:val="20"/>
          <w:color w:val="auto"/>
        </w:rPr>
      </w:pPr>
    </w:p>
    <w:p>
      <w:pPr>
        <w:ind w:left="1080" w:right="100" w:hanging="424"/>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99"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our subsidiaries that are C corporations and are not qualified REIT subsidiaries (described below), including our “taxable REIT subsidiaries” described below, generally will be required to pay regular U.S.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92"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8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and our subsidiaries may be subject to a variety of taxes other than U.S. federal income tax, including payroll taxes and state and local income, property and other taxes on our assets and operations.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own properties in other countries, which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Qualification as a REIT</w:t>
      </w:r>
      <w:r>
        <w:rPr>
          <w:rFonts w:ascii="Times New Roman" w:cs="Times New Roman" w:eastAsia="Times New Roman" w:hAnsi="Times New Roman"/>
          <w:sz w:val="18"/>
          <w:szCs w:val="18"/>
          <w:color w:val="auto"/>
        </w:rPr>
        <w:t>. The Code defines a REIT as a corporation, trust or association:</w:t>
      </w:r>
    </w:p>
    <w:p>
      <w:pPr>
        <w:spacing w:after="0" w:line="121" w:lineRule="exact"/>
        <w:rPr>
          <w:sz w:val="20"/>
          <w:szCs w:val="20"/>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issues transferable shares or transferable certificates to evidence its beneficial ownership;</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860 of the Code;</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financial institution or an insurance company within the meaning of certain provisions of the Code;</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by 100 or more persons;</w:t>
      </w:r>
    </w:p>
    <w:p>
      <w:pPr>
        <w:spacing w:after="0" w:line="225" w:lineRule="exact"/>
        <w:rPr>
          <w:rFonts w:ascii="Times New Roman" w:cs="Times New Roman" w:eastAsia="Times New Roman" w:hAnsi="Times New Roman"/>
          <w:sz w:val="18"/>
          <w:szCs w:val="18"/>
          <w:color w:val="auto"/>
        </w:rPr>
      </w:pPr>
    </w:p>
    <w:p>
      <w:pPr>
        <w:ind w:left="120" w:right="300" w:hanging="4"/>
        <w:spacing w:after="0" w:line="282" w:lineRule="auto"/>
        <w:tabs>
          <w:tab w:leader="none" w:pos="3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 and the amount of its distributions.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we have been organized and have operated in a manner that has allowed us, and will continue to allow us, to satisfy conditions</w:t>
      </w:r>
    </w:p>
    <w:p>
      <w:pPr>
        <w:spacing w:after="0" w:line="27" w:lineRule="exact"/>
        <w:rPr>
          <w:sz w:val="20"/>
          <w:szCs w:val="20"/>
          <w:color w:val="auto"/>
        </w:rPr>
      </w:pPr>
    </w:p>
    <w:p>
      <w:pPr>
        <w:ind w:left="120" w:right="20" w:hanging="4"/>
        <w:spacing w:after="0" w:line="251" w:lineRule="auto"/>
        <w:tabs>
          <w:tab w:leader="none" w:pos="3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we may not maintain our status as a REIT unless our taxable year is the calendar year. We have and will continue to have a calendar taxable year.</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Ownership of Interests in Partnerships, Limited Liability Companies and Qualified REIT Subsidiaries</w:t>
      </w:r>
      <w:r>
        <w:rPr>
          <w:rFonts w:ascii="Times New Roman" w:cs="Times New Roman" w:eastAsia="Times New Roman" w:hAnsi="Times New Roman"/>
          <w:sz w:val="18"/>
          <w:szCs w:val="18"/>
          <w:color w:val="auto"/>
        </w:rPr>
        <w:t>. In the case of a REIT that is a partner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and its Subsidiary Partnerships and Limited Liability Companies.”</w:t>
      </w:r>
    </w:p>
    <w:p>
      <w:pPr>
        <w:spacing w:after="0" w:line="18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have control of our operating partnership and most of its subsidiary partnerships and intend to operate them in a manner consistent with the requirements for our qualification as a REIT. If we become a limited partner or non-managing member in any partnership and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w:t>
      </w:r>
    </w:p>
    <w:p>
      <w:pPr>
        <w:spacing w:after="0" w:line="19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Ownership of Interests in Taxable REIT Subsidiaries</w:t>
      </w:r>
      <w:r>
        <w:rPr>
          <w:rFonts w:ascii="Times New Roman" w:cs="Times New Roman" w:eastAsia="Times New Roman" w:hAnsi="Times New Roman"/>
          <w:sz w:val="18"/>
          <w:szCs w:val="18"/>
          <w:color w:val="auto"/>
        </w:rPr>
        <w:t>. We, through our operating partnership, own interests in companies that have elected, together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83" w:lineRule="exact"/>
        <w:rPr>
          <w:sz w:val="20"/>
          <w:szCs w:val="20"/>
          <w:color w:val="auto"/>
        </w:rPr>
      </w:pPr>
    </w:p>
    <w:p>
      <w:pPr>
        <w:ind w:left="120"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Ownership of Interests in Subsidiary REITs</w:t>
      </w:r>
      <w:r>
        <w:rPr>
          <w:rFonts w:ascii="Times New Roman" w:cs="Times New Roman" w:eastAsia="Times New Roman" w:hAnsi="Times New Roman"/>
          <w:sz w:val="17"/>
          <w:szCs w:val="17"/>
          <w:color w:val="auto"/>
        </w:rPr>
        <w:t>. We own and may acquire direct or indirect interests in one or more entities that have elected or will elect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6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Tests</w:t>
      </w:r>
      <w:r>
        <w:rPr>
          <w:rFonts w:ascii="Times New Roman" w:cs="Times New Roman" w:eastAsia="Times New Roman" w:hAnsi="Times New Roman"/>
          <w:sz w:val="18"/>
          <w:szCs w:val="18"/>
          <w:color w:val="auto"/>
        </w:rPr>
        <w:t>. We must satisfy two gross income requirements annually to maintain our qualification as a REIT. First, in each taxable year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3" w:lineRule="exact"/>
        <w:rPr>
          <w:sz w:val="20"/>
          <w:szCs w:val="20"/>
          <w:color w:val="auto"/>
        </w:rPr>
      </w:pPr>
    </w:p>
    <w:p>
      <w:pPr>
        <w:ind w:left="120" w:right="640"/>
        <w:spacing w:after="0" w:line="260" w:lineRule="auto"/>
        <w:rPr>
          <w:sz w:val="20"/>
          <w:szCs w:val="20"/>
          <w:color w:val="auto"/>
        </w:rPr>
      </w:pPr>
      <w:r>
        <w:rPr>
          <w:rFonts w:ascii="Times New Roman" w:cs="Times New Roman" w:eastAsia="Times New Roman" w:hAnsi="Times New Roman"/>
          <w:sz w:val="18"/>
          <w:szCs w:val="18"/>
          <w:color w:val="auto"/>
        </w:rPr>
        <w:t>Rents we receive from a tenant will qualify as “rents from real property” for the purpose of satisfying the gross income requirements for a REIT described above only if all of the following conditions are met:</w:t>
      </w:r>
    </w:p>
    <w:p>
      <w:pPr>
        <w:spacing w:after="0" w:line="87" w:lineRule="exact"/>
        <w:rPr>
          <w:sz w:val="20"/>
          <w:szCs w:val="20"/>
          <w:color w:val="auto"/>
        </w:rPr>
      </w:pPr>
    </w:p>
    <w:p>
      <w:pPr>
        <w:ind w:left="1080" w:right="1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61" w:lineRule="auto"/>
        <w:rPr>
          <w:sz w:val="20"/>
          <w:szCs w:val="20"/>
          <w:color w:val="auto"/>
        </w:rPr>
      </w:pPr>
      <w:r>
        <w:rPr>
          <w:rFonts w:ascii="Times New Roman" w:cs="Times New Roman" w:eastAsia="Times New Roman" w:hAnsi="Times New Roman"/>
          <w:sz w:val="18"/>
          <w:szCs w:val="18"/>
          <w:color w:val="auto"/>
        </w:rPr>
        <w:t>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85" w:lineRule="exact"/>
        <w:rPr>
          <w:sz w:val="20"/>
          <w:szCs w:val="20"/>
          <w:color w:val="auto"/>
        </w:rPr>
      </w:pPr>
    </w:p>
    <w:p>
      <w:pPr>
        <w:ind w:left="1080" w:right="6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general maintenance of common areas, interconnection services and certain basic server services that do not require logical access to our tenants’ equipment.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generally do not intend, and as the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Income we receive that is attributable to the rental of parking spaces at the properties generally will constitute rents from real property for purposes of the gross income tests if certain services provided with respect to the parking spaces are performed by independent contractors from whom we derive no revenue, either directly or indirectly, or by a taxable REIT subsidiary, and certain other conditions are met. We believe that the income we receive that is attributable to parking spaces will meet these tests and, accordingly, will constitute rents from real property for purposes of the gross income tests.</w:t>
      </w:r>
    </w:p>
    <w:p>
      <w:pPr>
        <w:spacing w:after="0" w:line="16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gross income tests. We intend to structure any hedging transactions in a manner that does not jeopardize our status as a REIT.</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investments in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w:t>
      </w:r>
    </w:p>
    <w:p>
      <w:pPr>
        <w:spacing w:after="0" w:line="176"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67" w:lineRule="exact"/>
        <w:rPr>
          <w:sz w:val="20"/>
          <w:szCs w:val="20"/>
          <w:color w:val="auto"/>
        </w:rPr>
      </w:pPr>
    </w:p>
    <w:p>
      <w:pPr>
        <w:ind w:left="1080" w:right="10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these tests was due to reasonable cause and not due to willful neglect.</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Prohibited Transaction Income</w:t>
      </w:r>
      <w:r>
        <w:rPr>
          <w:rFonts w:ascii="Times New Roman" w:cs="Times New Roman" w:eastAsia="Times New Roman" w:hAnsi="Times New Roman"/>
          <w:sz w:val="18"/>
          <w:szCs w:val="18"/>
          <w:color w:val="auto"/>
        </w:rPr>
        <w:t>. Any gain that we realize on the sale of property (other than any foreclosure property) held as inventory or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 partnership or its subsidiary partnerships, to enter into any sales that are prohibited transactions. However, the IRS may successfully contend that some or all of the sales made by our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pacing w:after="0" w:line="172" w:lineRule="exact"/>
        <w:rPr>
          <w:sz w:val="20"/>
          <w:szCs w:val="20"/>
          <w:color w:val="auto"/>
        </w:rPr>
      </w:pPr>
    </w:p>
    <w:p>
      <w:pPr>
        <w:ind w:left="120" w:right="2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Penalty Tax</w:t>
      </w:r>
      <w:r>
        <w:rPr>
          <w:rFonts w:ascii="Times New Roman" w:cs="Times New Roman" w:eastAsia="Times New Roman" w:hAnsi="Times New Roman"/>
          <w:sz w:val="18"/>
          <w:szCs w:val="18"/>
          <w:color w:val="auto"/>
        </w:rPr>
        <w:t>. Any redetermined rents, redetermined deductions, excess interest or redetermined TRS service income we generate will be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8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From time to time, certain of our taxable REIT subsidiaries provide services to our tenants. We believe we have set, and we intend to set in the future, any fees paid to our taxable REIT subsidiaries for such services at arm’s length rates, although the fees paid may not satisfy the safe 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17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Asset Tests</w:t>
      </w:r>
      <w:r>
        <w:rPr>
          <w:rFonts w:ascii="Times New Roman" w:cs="Times New Roman" w:eastAsia="Times New Roman" w:hAnsi="Times New Roman"/>
          <w:sz w:val="18"/>
          <w:szCs w:val="18"/>
          <w:color w:val="auto"/>
        </w:rPr>
        <w:t>. At the close of each calendar quarter of our taxable year, we must also satisfy certain tests relating to the nature and diversification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8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Second, not more than 25% of the value of our total assets may be represented by securities (including securities of taxable REIT subsidiaries), other than those securities includable in the 75% asset test.</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9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Fourth, not more than 25% (20% for (i) taxable years beginning before July 31, 2008 and (ii) taxable years beginning after December 31, 2017 and before January 1, 2026) of the value of our total assets may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9" w:lineRule="auto"/>
        <w:rPr>
          <w:sz w:val="20"/>
          <w:szCs w:val="20"/>
          <w:color w:val="auto"/>
        </w:rPr>
      </w:pPr>
      <w:r>
        <w:rPr>
          <w:rFonts w:ascii="Times New Roman" w:cs="Times New Roman" w:eastAsia="Times New Roman" w:hAnsi="Times New Roman"/>
          <w:sz w:val="17"/>
          <w:szCs w:val="17"/>
          <w:color w:val="auto"/>
        </w:rPr>
        <w:t>represented by the securities of one or more taxable REIT subsidiaries. We, through our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(i) taxable years beginning before July 31, 2008 and</w:t>
      </w:r>
    </w:p>
    <w:p>
      <w:pPr>
        <w:spacing w:after="0" w:line="3" w:lineRule="exact"/>
        <w:rPr>
          <w:sz w:val="20"/>
          <w:szCs w:val="20"/>
          <w:color w:val="auto"/>
        </w:rPr>
      </w:pPr>
    </w:p>
    <w:p>
      <w:pPr>
        <w:ind w:left="120" w:right="80" w:hanging="4"/>
        <w:spacing w:after="0" w:line="255" w:lineRule="auto"/>
        <w:tabs>
          <w:tab w:leader="none" w:pos="3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years beginning after December 31, 2017 and before January 1, 2026) of the aggregate value of our gross assets. We generally do not obtain independent appraisals to support these conclusions. In addition, there can be no assurance that the IRS will not disagree with our determinations of value.</w:t>
      </w:r>
    </w:p>
    <w:p>
      <w:pPr>
        <w:spacing w:after="0" w:line="18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9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de minimis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9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Annual Distribution Requirements</w:t>
      </w:r>
      <w:r>
        <w:rPr>
          <w:rFonts w:ascii="Times New Roman" w:cs="Times New Roman" w:eastAsia="Times New Roman" w:hAnsi="Times New Roman"/>
          <w:sz w:val="18"/>
          <w:szCs w:val="18"/>
          <w:color w:val="auto"/>
        </w:rPr>
        <w:t>. To maintain our qualification as a REIT, we are required to distribute dividends, other than capital gain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stockholders each year in an amount at least equal to the sum of:</w:t>
      </w:r>
    </w:p>
    <w:p>
      <w:pPr>
        <w:spacing w:after="0" w:line="64"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sum of certain items of non-cash income over 5% of our “REIT taxable income.”</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us, as the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7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Like-Kind Exchanges</w:t>
      </w:r>
      <w:r>
        <w:rPr>
          <w:rFonts w:ascii="Times New Roman" w:cs="Times New Roman" w:eastAsia="Times New Roman" w:hAnsi="Times New Roman"/>
          <w:sz w:val="18"/>
          <w:szCs w:val="18"/>
          <w:color w:val="auto"/>
        </w:rPr>
        <w:t>. We may dispose of real property that is not held primarily for sale in transactions intended to qualify as like-kind exchanges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 Liabilities and Attributes Inherited in Connection with Acquisitions</w:t>
      </w:r>
      <w:r>
        <w:rPr>
          <w:rFonts w:ascii="Times New Roman" w:cs="Times New Roman" w:eastAsia="Times New Roman" w:hAnsi="Times New Roman"/>
          <w:sz w:val="18"/>
          <w:szCs w:val="18"/>
          <w:color w:val="auto"/>
        </w:rPr>
        <w:t>. From time to time, we or our operating partnership may acquire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Qualify</w:t>
      </w:r>
      <w:r>
        <w:rPr>
          <w:rFonts w:ascii="Times New Roman" w:cs="Times New Roman" w:eastAsia="Times New Roman" w:hAnsi="Times New Roman"/>
          <w:sz w:val="18"/>
          <w:szCs w:val="18"/>
          <w:color w:val="auto"/>
        </w:rPr>
        <w:t>. If we discover a violation of a provision of the Code that would result in our failure to qualify as a REIT, certain specified cure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Operating Partnership and its Subsidiary Partnerships and Limited Liability Companies</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All of our investments are held indirectly through our operating partnership. In addition, our operating partnership holds certain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7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Entity Classification</w:t>
      </w:r>
      <w:r>
        <w:rPr>
          <w:rFonts w:ascii="Times New Roman" w:cs="Times New Roman" w:eastAsia="Times New Roman" w:hAnsi="Times New Roman"/>
          <w:sz w:val="18"/>
          <w:szCs w:val="18"/>
          <w:color w:val="auto"/>
        </w:rPr>
        <w:t>. Our interests in our operating partnership and its subsidiary partnerships and limited liability companies involve special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will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partnership or any of its subsidiary partnerships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 We believe our operating partnership and each of its subsidiary partnerships and limited liability companies are and will continue to be treated as partnerships or disregarded entities for U.S. federal income tax purposes.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Allocations of Income, Gain, Loss and Deduction</w:t>
      </w:r>
      <w:r>
        <w:rPr>
          <w:rFonts w:ascii="Times New Roman" w:cs="Times New Roman" w:eastAsia="Times New Roman" w:hAnsi="Times New Roman"/>
          <w:sz w:val="18"/>
          <w:szCs w:val="18"/>
          <w:color w:val="auto"/>
        </w:rPr>
        <w:t>. The operating partnership agreement generally provides that items of operating income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allocated to us to the extent of the accrued preferred return on our preferred units and then to the holders of common units in proportion to the number of common units held by each such unitholder. Items of operating loss will generally be allocated first to the holders of common units in proportion to the number of common units held, and then to us with respect to our preferred units. Certain limited partners may, from time to time, guarantee debt of our operating partnership, indirectly through an agreement to make capital contributions to our operating partnership under limited circumstances. As a result of these guaranties or contribution agreements,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 In addition, the partnership agreement further provides that holders of long-term incentive units, class C units and class D units may be entitled to receive special allocations of gain in the event of a sale or hypothetical sale of assets of our operating partnership prior to the allocation of gain to holders of common units. This special allocation of gain is intended to enable the holders of long-term incentive units, class C units and class D units to convert such units into common units.</w:t>
      </w:r>
    </w:p>
    <w:p>
      <w:pPr>
        <w:spacing w:after="0" w:line="18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79"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the Properties</w:t>
      </w:r>
      <w:r>
        <w:rPr>
          <w:rFonts w:ascii="Times New Roman" w:cs="Times New Roman" w:eastAsia="Times New Roman" w:hAnsi="Times New Roman"/>
          <w:sz w:val="18"/>
          <w:szCs w:val="18"/>
          <w:color w:val="auto"/>
        </w:rPr>
        <w:t>. Under Section 704(c) of the Code, items of income, gain, loss and deduction attributable to appreciated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depreciated property that is contributed to a partnership in exchange for an interest in the partnership must be allocated in a manner so that the contributing partner is charged with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8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Appreciated property was contributed to our operating partnership in exchange for interests in our operating partnership in connection with the formation transactions. In addition, our operating partnership may, from time to time, acquire interests in property in exchange for interests in our operating partnership. In that case, the tax basis of these property interests generally will carry over to the operating partnership, notwithstanding their different book (i.e.,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(i) could cause us to be allocated lower amounts of depreciation deductions for tax purposes than would be allocated to us if any of the contributed properties were to have a tax basis equal to its respective fair market value at the time of the contribution and (ii)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(ii)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76"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Any property acquired by our operating partnership in a taxable transaction will initially have a tax basis equal to its fair market value, and Section 704(c) of the Code generally will not apply.</w:t>
      </w:r>
    </w:p>
    <w:p>
      <w:pPr>
        <w:spacing w:after="0" w:line="158"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Partnership Audit Rules</w:t>
      </w:r>
      <w:r>
        <w:rPr>
          <w:rFonts w:ascii="Times New Roman" w:cs="Times New Roman" w:eastAsia="Times New Roman" w:hAnsi="Times New Roman"/>
          <w:sz w:val="18"/>
          <w:szCs w:val="18"/>
          <w:color w:val="auto"/>
        </w:rPr>
        <w:t>. Under current tax law, subject to certain exceptions, any audit adjustment to items of income, gain, loss, deduction, or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Holders of Our Capital Stock and the Operating Partnership’s Debt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to you of purchasing, owning and disposing of our capital stock or the operating partnership’s debt securities. This discussion is limited to holders who hold shares of our capital stock or the operating partnership’s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93"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5"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capital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REITs or regulated investment companies;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capital stock or the operating partnership’s debt securities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capital stock or the operating partnership’s debt securities being taken into account in an “applicable financial statement” (as defined in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capital stock or the operating partnership’s debt securities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32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THE OPERATING PARTNERSHIP’S DEBT SECURITIES ARISING UNDER OTHER U.S. FEDERAL TAX LAWS (INCLUDING ESTATE AND GIFT TAX LAWS), UNDER THE LAWS OF ANY STATE, LOCAL OR NON-U.S. TAXING JURISDICTION OR UNDER ANY APPLICABLE TAX TREATY.</w:t>
      </w:r>
    </w:p>
    <w:p>
      <w:pPr>
        <w:spacing w:after="0" w:line="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capital stock or the operating partnership’s debt securities that,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is or is treated as:</w:t>
      </w:r>
    </w:p>
    <w:p>
      <w:pPr>
        <w:spacing w:after="0" w:line="11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capital stock or the operating partnership’s debt securities that is neither a U.S. holder nor an entity treated as a partnership for U.S. federal income tax purposes.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shares of our capital stock or the operating partnership’s debt securities, the tax treatment of a partner in the partnership generally will depend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status of the partner, the activities of the partnership and certain determinations made at the partner level. Accordingly, partnerships holding shares of our capital stock or the operating partnership’s debt securities and the partners in such partnerships should consult their tax advisors regarding the U.S. federal income tax consequences to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Holders of Our Capital Stock</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Distributions Generally</w:t>
      </w:r>
      <w:r>
        <w:rPr>
          <w:rFonts w:ascii="Times New Roman" w:cs="Times New Roman" w:eastAsia="Times New Roman" w:hAnsi="Times New Roman"/>
          <w:sz w:val="18"/>
          <w:szCs w:val="18"/>
          <w:color w:val="auto"/>
        </w:rPr>
        <w:t>. Distributions out of our current or accumulated earnings and profits will be treated as dividends and, other than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and then to our outstanding common stock.</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88"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Dividends that we properly designate as capital gain dividends will generally be taxable to our taxable U.S. holders as a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69"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Retention of Net Capital Gains</w:t>
      </w:r>
      <w:r>
        <w:rPr>
          <w:rFonts w:ascii="Times New Roman" w:cs="Times New Roman" w:eastAsia="Times New Roman" w:hAnsi="Times New Roman"/>
          <w:sz w:val="18"/>
          <w:szCs w:val="18"/>
          <w:color w:val="auto"/>
        </w:rPr>
        <w:t>. We may elect to retain, rather than distribute as a capital gain dividend, all or a portion of our net capital gains. If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this election, we would pay tax on our retained net capital gains. In addition, to the extent we so elect, our earnings and profits (determined for U.S. federal income tax purposes) would be adjusted accordingly, and a U.S. holder generally would:</w:t>
      </w:r>
    </w:p>
    <w:p>
      <w:pPr>
        <w:spacing w:after="0" w:line="80" w:lineRule="exact"/>
        <w:rPr>
          <w:sz w:val="20"/>
          <w:szCs w:val="20"/>
          <w:color w:val="auto"/>
        </w:rPr>
      </w:pPr>
    </w:p>
    <w:p>
      <w:pPr>
        <w:ind w:left="1080" w:right="1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have paid its share of the capital gains tax imposed on us on the designated amounts included in the U.S. holder’s income as long-term capital gain;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credit or refund for the amount of tax deemed paid by it;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adjusted tax basis of its capital stock by the difference between the amount of includable gains and the tax deemed to have been paid by it;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holder that is a corporation, appropriately adjust its earnings and profits for the retained capital gains in accordance with Treasury Regulations to be promulgated by the IRS.</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Passive Activity Losses and Investment Interest Limitations</w:t>
      </w:r>
      <w:r>
        <w:rPr>
          <w:rFonts w:ascii="Times New Roman" w:cs="Times New Roman" w:eastAsia="Times New Roman" w:hAnsi="Times New Roman"/>
          <w:sz w:val="18"/>
          <w:szCs w:val="18"/>
          <w:color w:val="auto"/>
        </w:rPr>
        <w:t>. Distributions we make and gain arising from the sale or exchange of our capital stock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8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Dispositions of Our Capital Stock</w:t>
      </w:r>
      <w:r>
        <w:rPr>
          <w:rFonts w:ascii="Times New Roman" w:cs="Times New Roman" w:eastAsia="Times New Roman" w:hAnsi="Times New Roman"/>
          <w:sz w:val="18"/>
          <w:szCs w:val="18"/>
          <w:color w:val="auto"/>
        </w:rPr>
        <w:t>. Except as described below under “—Taxation of Taxable U.S. Holders of Our Capital Stock—Redemption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83"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Redemption or Repurchase by Us</w:t>
      </w:r>
      <w:r>
        <w:rPr>
          <w:rFonts w:ascii="Times New Roman" w:cs="Times New Roman" w:eastAsia="Times New Roman" w:hAnsi="Times New Roman"/>
          <w:sz w:val="18"/>
          <w:szCs w:val="18"/>
          <w:color w:val="auto"/>
        </w:rPr>
        <w:t>. A redemption or repurchase of shares of our capital stock will be treated under Section 302 of the Code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(and taxable as a dividend to the extent of our current and accumulated earnings and profits as described above under “—Distributions Generally”) unless the redemption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67"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“substantially disproportionate” with respect to the U.S.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redemption” of the U.S. holder’s stock interest in 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within the meaning of Section 302(b) of the Code.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not treated as a distribution, it will be treated as a taxable sale or exchange in the manner described under “—Dispositions of Our Capital Stock.”</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 Rates</w:t>
      </w:r>
      <w:r>
        <w:rPr>
          <w:rFonts w:ascii="Times New Roman" w:cs="Times New Roman" w:eastAsia="Times New Roman" w:hAnsi="Times New Roman"/>
          <w:sz w:val="18"/>
          <w:szCs w:val="18"/>
          <w:color w:val="auto"/>
        </w:rPr>
        <w:t>. The maximum tax rate for non-corporate taxpayers for (1) long-term capital gains, including certain “capital gain dividends,” generally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Holders of Our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stock is (and, we anticipate, will continue to be) publicly traded, we cannot guarantee that this will always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Holders of Our Capital Stock</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Distributions Generally</w:t>
      </w:r>
      <w:r>
        <w:rPr>
          <w:rFonts w:ascii="Times New Roman" w:cs="Times New Roman" w:eastAsia="Times New Roman" w:hAnsi="Times New Roman"/>
          <w:sz w:val="18"/>
          <w:szCs w:val="18"/>
          <w:color w:val="auto"/>
        </w:rPr>
        <w:t>. Distributions (including any taxable stock distributions) that are neither attributable to gains from sales or exchanges by us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9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Except as otherwise provided below, we expect to withhold U.S. federal income tax at the rate of 30% on any distributions made to a non-U.S. holder unless:</w:t>
      </w:r>
    </w:p>
    <w:p>
      <w:pPr>
        <w:spacing w:after="0" w:line="67" w:lineRule="exact"/>
        <w:rPr>
          <w:sz w:val="20"/>
          <w:szCs w:val="20"/>
          <w:color w:val="auto"/>
        </w:rPr>
      </w:pPr>
    </w:p>
    <w:p>
      <w:pPr>
        <w:ind w:left="1080" w:right="2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furnishes an IRS Form W-8BEN or W-8BEN-E (or other applicable documentation) evidencing eligibility for that reduced treaty rate; or</w:t>
      </w:r>
    </w:p>
    <w:p>
      <w:pPr>
        <w:spacing w:after="0" w:line="67"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furnishes an IRS Form W-8ECI (or other applicable documentation) claiming that the distribution is income effectively connected with the non-U.S. holder’s trade or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8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 and Distributions Attributable to a Sale or Exchange of United States Real Property Interests</w:t>
      </w:r>
      <w:r>
        <w:rPr>
          <w:rFonts w:ascii="Times New Roman" w:cs="Times New Roman" w:eastAsia="Times New Roman" w:hAnsi="Times New Roman"/>
          <w:sz w:val="18"/>
          <w:szCs w:val="18"/>
          <w:color w:val="auto"/>
        </w:rPr>
        <w:t>. Distributions to a non-U.S.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that we properly designate as capital gain dividends, other than those arising from the disposition of a USRPI, generally should not be subject to U.S. federal income taxation, unless:</w:t>
      </w:r>
    </w:p>
    <w:p>
      <w:pPr>
        <w:spacing w:after="0" w:line="80" w:lineRule="exact"/>
        <w:rPr>
          <w:sz w:val="20"/>
          <w:szCs w:val="20"/>
          <w:color w:val="auto"/>
        </w:rPr>
      </w:pPr>
    </w:p>
    <w:p>
      <w:pPr>
        <w:ind w:left="1080" w:right="60" w:hanging="532"/>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Retention of Net Capital Gains</w:t>
      </w:r>
      <w:r>
        <w:rPr>
          <w:rFonts w:ascii="Times New Roman" w:cs="Times New Roman" w:eastAsia="Times New Roman" w:hAnsi="Times New Roman"/>
          <w:sz w:val="18"/>
          <w:szCs w:val="18"/>
          <w:color w:val="auto"/>
        </w:rPr>
        <w:t>. Although the law is not clear on the matter, it appears that amounts we designate as retained net capital gains in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capital stock should be treated with respect to non-U.S. holders as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6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Sale of Our Capital Stock</w:t>
      </w:r>
      <w:r>
        <w:rPr>
          <w:rFonts w:ascii="Times New Roman" w:cs="Times New Roman" w:eastAsia="Times New Roman" w:hAnsi="Times New Roman"/>
          <w:sz w:val="18"/>
          <w:szCs w:val="18"/>
          <w:color w:val="auto"/>
        </w:rPr>
        <w:t>. Except as described below under “—Redemption or Repurchase by Us,” gain realized by a non-U.S. holder upon the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stock is (and, we anticipate, will continue to be) publicly traded, no assurance can be given that we will continue to be a “domestically controlled qualified investment entity.”</w:t>
      </w:r>
    </w:p>
    <w:p>
      <w:pPr>
        <w:spacing w:after="0" w:line="19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68" w:lineRule="exact"/>
        <w:rPr>
          <w:sz w:val="20"/>
          <w:szCs w:val="20"/>
          <w:color w:val="auto"/>
        </w:rPr>
      </w:pPr>
    </w:p>
    <w:p>
      <w:pPr>
        <w:ind w:left="560" w:right="80" w:hanging="4"/>
        <w:spacing w:after="0" w:line="282" w:lineRule="auto"/>
        <w:tabs>
          <w:tab w:leader="none" w:pos="8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of capital stock is “regularly traded,” as defined by applicable Treasury Regulations, on an established securities market such as the NYSE; and</w:t>
      </w:r>
    </w:p>
    <w:p>
      <w:pPr>
        <w:spacing w:after="0" w:line="53" w:lineRule="exact"/>
        <w:rPr>
          <w:rFonts w:ascii="Times New Roman" w:cs="Times New Roman" w:eastAsia="Times New Roman" w:hAnsi="Times New Roman"/>
          <w:sz w:val="18"/>
          <w:szCs w:val="18"/>
          <w:color w:val="auto"/>
        </w:rPr>
      </w:pPr>
    </w:p>
    <w:p>
      <w:pPr>
        <w:ind w:left="560" w:right="400" w:hanging="4"/>
        <w:spacing w:after="0" w:line="282" w:lineRule="auto"/>
        <w:tabs>
          <w:tab w:leader="none" w:pos="8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owned, actually and constructively, 10% or less of such class of capital stock throughout the shorter of the five-year period ending on the date of the sale or other taxable disposition or the non-U.S. holder’s holding period.</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w:t>
      </w:r>
    </w:p>
    <w:p>
      <w:pPr>
        <w:spacing w:after="0" w:line="5"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(1), unless such class of stock is “regularly traded” and the non-U.S. holder did not own more than 10% of such class of stock at any time during the one-year period ending on the date of the distribution described in clause (1).</w:t>
      </w:r>
    </w:p>
    <w:p>
      <w:pPr>
        <w:spacing w:after="0" w:line="18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Redemption or Repurchase by Us</w:t>
      </w:r>
      <w:r>
        <w:rPr>
          <w:rFonts w:ascii="Times New Roman" w:cs="Times New Roman" w:eastAsia="Times New Roman" w:hAnsi="Times New Roman"/>
          <w:sz w:val="18"/>
          <w:szCs w:val="18"/>
          <w:color w:val="auto"/>
        </w:rPr>
        <w:t>. A redemption or repurchase of shares of our capital stock will be treated under Section 302 of the Code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the Operating Partnership’s Debt Securities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of purchasing, owning and disposing of debt securities issued by the operating partnership. This discussion assumes the debt securities will be issued with less than a statutory de minimis amount of original issue discount for U.S. federal income tax purposes. In addition, this discussion is limited to persons purchasing the debt securities for cash at original issue and at their original “issue price” within the meaning of Section 1273 of the Code (i.e., the first price at which a substantial amount of the debt securities is sold to the public for cash).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Payments of Interest</w:t>
      </w:r>
      <w:r>
        <w:rPr>
          <w:rFonts w:ascii="Times New Roman" w:cs="Times New Roman" w:eastAsia="Times New Roman" w:hAnsi="Times New Roman"/>
          <w:sz w:val="18"/>
          <w:szCs w:val="18"/>
          <w:color w:val="auto"/>
        </w:rPr>
        <w:t>. Interest on a debt security generally will be taxable to a U.S. holder as ordinary income at the time such interest is received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accrued, in accordance with such U.S. holder’s method of accounting for U.S. federal income tax purposes.</w:t>
      </w:r>
    </w:p>
    <w:p>
      <w:pPr>
        <w:spacing w:after="0" w:line="155"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r>
        <w:rPr>
          <w:rFonts w:ascii="Times New Roman" w:cs="Times New Roman" w:eastAsia="Times New Roman" w:hAnsi="Times New Roman"/>
          <w:sz w:val="18"/>
          <w:szCs w:val="18"/>
          <w:color w:val="auto"/>
        </w:rPr>
        <w:t>. A U.S. holder will recognize gain or loss on the sale, exchange, redemption, retirement or other taxable disposition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Payments of Interest</w:t>
      </w:r>
      <w:r>
        <w:rPr>
          <w:rFonts w:ascii="Times New Roman" w:cs="Times New Roman" w:eastAsia="Times New Roman" w:hAnsi="Times New Roman"/>
          <w:sz w:val="18"/>
          <w:szCs w:val="18"/>
          <w:color w:val="auto"/>
        </w:rPr>
        <w:t>. Interest paid on a debt security to a non-U.S. holder that is not effectively connected with the non-U.S. holder’s conduct of a trade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business within the United States generally will not be subject to U.S. federal income tax or withholding, provided that:</w:t>
      </w:r>
    </w:p>
    <w:p>
      <w:pPr>
        <w:spacing w:after="0" w:line="64"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operating partnership’s capital or profits;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the operating partnership through actual or constructive stock ownership;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58"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r>
        <w:rPr>
          <w:rFonts w:ascii="Times New Roman" w:cs="Times New Roman" w:eastAsia="Times New Roman" w:hAnsi="Times New Roman"/>
          <w:sz w:val="18"/>
          <w:szCs w:val="18"/>
          <w:color w:val="auto"/>
        </w:rPr>
        <w:t>. A non-U.S. holder will not be subject to U.S. federal income tax on any gain realized upon the sale,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the Operating Partnership’s Debt Securities—Non-U.S. Holders—Payments of Interest”) unless:</w:t>
      </w:r>
    </w:p>
    <w:p>
      <w:pPr>
        <w:spacing w:after="0" w:line="86" w:lineRule="exact"/>
        <w:rPr>
          <w:sz w:val="20"/>
          <w:szCs w:val="20"/>
          <w:color w:val="auto"/>
        </w:rPr>
      </w:pPr>
    </w:p>
    <w:p>
      <w:pPr>
        <w:ind w:left="1080" w:right="14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w:t>
      </w:r>
      <w:r>
        <w:rPr>
          <w:rFonts w:ascii="Times New Roman" w:cs="Times New Roman" w:eastAsia="Times New Roman" w:hAnsi="Times New Roman"/>
          <w:sz w:val="18"/>
          <w:szCs w:val="18"/>
          <w:color w:val="auto"/>
        </w:rPr>
        <w:t>. A U.S. holder may be subject to information reporting and backup withholding when such holder receives payments on our capital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86" w:lineRule="exact"/>
        <w:rPr>
          <w:sz w:val="20"/>
          <w:szCs w:val="20"/>
          <w:color w:val="auto"/>
        </w:rPr>
      </w:pPr>
    </w:p>
    <w:p>
      <w:pPr>
        <w:ind w:left="1080" w:right="5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Non-U.S. Holders</w:t>
      </w:r>
      <w:r>
        <w:rPr>
          <w:rFonts w:ascii="Times New Roman" w:cs="Times New Roman" w:eastAsia="Times New Roman" w:hAnsi="Times New Roman"/>
          <w:sz w:val="17"/>
          <w:szCs w:val="17"/>
          <w:color w:val="auto"/>
        </w:rPr>
        <w:t>. Payments of dividends on our capital stock or interest on the operating partnership’s debt securities generally will not be 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the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7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Medicare Contribution Tax on Unearned Income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the operating partnership’s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the operating partnership’s debt securities, or (subject to the proposed Treasury Regulations discussed below) gross proceeds from the sale or other disposition of our capital stock or the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3" w:lineRule="exact"/>
        <w:rPr>
          <w:sz w:val="20"/>
          <w:szCs w:val="20"/>
          <w:color w:val="auto"/>
        </w:rPr>
      </w:pPr>
    </w:p>
    <w:p>
      <w:pPr>
        <w:ind w:left="120" w:right="140" w:hanging="4"/>
        <w:spacing w:after="0" w:line="252" w:lineRule="auto"/>
        <w:tabs>
          <w:tab w:leader="none" w:pos="3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capital stock or interest on the operating partnership’s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capital stock or the operating partnership’s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advisors regarding the effect of state, local and non-U.S. tax laws with respect to our tax treatment as a REIT and on an investment in our capital stock or our operating partnership’s debt securities.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registration statement of which this prospectus forms a part is used by selling securityholders for the resale of any securities registered thereunder pursuant to a registration rights agreement to be entered into by us with such selling securityholders or otherwise, information about such selling securityholders,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domestically or abroad to one or more underwriters for public offering and sale by them or may sell the securities to investors directly or through dealers or agents, or through a combination of methods. Any underwriter, dealer or agent involved in the offer and sale of the securities will be named in the applicable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may offer and sell the securities at: (i) a fixed price or prices, which may be changed, (ii) market prices prevailing at the time of sale,</w:t>
      </w:r>
    </w:p>
    <w:p>
      <w:pPr>
        <w:spacing w:after="0" w:line="27" w:lineRule="exact"/>
        <w:rPr>
          <w:sz w:val="20"/>
          <w:szCs w:val="20"/>
          <w:color w:val="auto"/>
        </w:rPr>
      </w:pPr>
    </w:p>
    <w:p>
      <w:pPr>
        <w:ind w:left="120" w:right="40" w:hanging="4"/>
        <w:spacing w:after="0" w:line="252" w:lineRule="auto"/>
        <w:tabs>
          <w:tab w:leader="none" w:pos="4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at the time of sale or (iv) negotiated prices. We also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9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w:t>
      </w:r>
    </w:p>
    <w:p>
      <w:pPr>
        <w:spacing w:after="0" w:line="18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any series of securities issued hereunder will be a new issue with no established trading market (other than the common stock, which is listed on the NYSE). If the company sells any shares of the common stock pursuant to a prospectus supplement, such shares will be listed on the NYSE, subject to official notice of issuance. We may elect to list any other securities issued hereunder on any exchange, but we are not obligated to do so. Any underwriters or agents to or through whom such securities are sold by us or our operating partnership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8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we may authorize underwriters or other persons acting as our agents to solicit offers by institutions or other suitable purchasers to purchase the securities from us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and their affiliates may be customers of, engage in transactions with and perform services for us and our operating partnership in the ordinary course of business.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320" w:top="455" w:right="5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Venable LLP, Baltimore, Maryland, has issued an opinion to us regarding certain matters of Maryland law, including the validity of the securities covered by this prospectus. Latham &amp; Watkins LLP, Los Angeles, California has issued an opinion to us regarding certain matters with respect to the validity of the debt securities and guarantees covered by this prospectus and an opinion regarding certain tax matters described under “United States Federal Income Tax Considerations.”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840"/>
          </w:cols>
          <w:pgMar w:left="320" w:top="455" w:right="7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Digital Realty Trust,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Digital Realty Trust, L.P.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40"/>
          </w:cols>
          <w:pgMar w:left="320" w:top="455" w:right="6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970280</wp:posOffset>
            </wp:positionV>
            <wp:extent cx="1474470"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1474470" cy="5143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42"/>
          <w:szCs w:val="42"/>
          <w:b w:val="1"/>
          <w:bCs w:val="1"/>
          <w:color w:val="auto"/>
        </w:rPr>
        <w:t>Digital Realty Trust, Inc.</w:t>
      </w:r>
    </w:p>
    <w:p>
      <w:pPr>
        <w:spacing w:after="0" w:line="200" w:lineRule="exact"/>
        <w:rPr>
          <w:sz w:val="20"/>
          <w:szCs w:val="20"/>
          <w:color w:val="auto"/>
        </w:rPr>
      </w:pP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9"/>
          <w:szCs w:val="29"/>
          <w:b w:val="1"/>
          <w:bCs w:val="1"/>
          <w:color w:val="auto"/>
        </w:rPr>
        <w:t>$2,346,087,437.83</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435610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504190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3"/>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lowerRoman"/>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48">
    <w:nsid w:val="310C50B3"/>
    <w:multiLevelType w:val="hybridMultilevel"/>
    <w:lvl w:ilvl="0">
      <w:lvlJc w:val="left"/>
      <w:lvlText w:val="(%1)"/>
      <w:numFmt w:val="upperLetter"/>
      <w:start w:val="2"/>
    </w:lvl>
    <w:lvl w:ilvl="1">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lvl w:ilvl="1">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lowerRoman"/>
      <w:start w:val="2"/>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3"/>
    </w:lvl>
  </w:abstractNum>
  <w:abstractNum w:abstractNumId="78">
    <w:nsid w:val="1A32234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jpe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43" Type="http://schemas.openxmlformats.org/officeDocument/2006/relationships/hyperlink" Target="http://www.sec.gov/ix?doc=/Archives/edgar/data/1297996/000110465926015365/dlr-20251231x10k.htm" TargetMode="External"/><Relationship Id="rId44" Type="http://schemas.openxmlformats.org/officeDocument/2006/relationships/hyperlink" Target="http://www.sec.gov/ix?doc=/Archives/edgar/data/0001297996/000130817926000296/dlr015307-def14a.htm" TargetMode="External"/><Relationship Id="rId45" Type="http://schemas.openxmlformats.org/officeDocument/2006/relationships/hyperlink" Target="http://www.sec.gov/ix?doc=/Archives/edgar/data/0001297996/000110465926054255/dlr-20260331x10q.htm" TargetMode="External"/><Relationship Id="rId46" Type="http://schemas.openxmlformats.org/officeDocument/2006/relationships/hyperlink" Target="http://www.sec.gov/ix?doc=/Archives/edgar/data/0001297996/000119312526053164/d112316d8k.htm" TargetMode="External"/><Relationship Id="rId47" Type="http://schemas.openxmlformats.org/officeDocument/2006/relationships/hyperlink" Target="http://www.sec.gov/ix?doc=/Archives/edgar/data/0001297996/000119312526202581/d140571d8k.htm" TargetMode="External"/><Relationship Id="rId48" Type="http://schemas.openxmlformats.org/officeDocument/2006/relationships/hyperlink" Target="http://www.sec.gov/ix?doc=/Archives/edgar/data/0001297996/000119312526276844/d50837d8k.htm" TargetMode="External"/><Relationship Id="rId49" Type="http://schemas.openxmlformats.org/officeDocument/2006/relationships/hyperlink" Target="http://www.sec.gov/ix?doc=/Archives/edgar/data/0001297996/000110465926068907/dlr-20260529x8k.htm" TargetMode="External"/><Relationship Id="rId50" Type="http://schemas.openxmlformats.org/officeDocument/2006/relationships/hyperlink" Target="http://www.sec.gov/Archives/edgar/data/1297996/000119312504179636/d8a12b.htm" TargetMode="External"/><Relationship Id="rId61" Type="http://schemas.openxmlformats.org/officeDocument/2006/relationships/hyperlink" Target="http://www.sec.gov/Archives/edgar/data/1297996/000110465926015365/dlr-20251231x10k.htm" TargetMode="External"/><Relationship Id="rId62" Type="http://schemas.openxmlformats.org/officeDocument/2006/relationships/hyperlink" Target="http://www.sec.gov/Archives/edgar/data/1297996/000130817925000509/dlr000000-def14a.htm" TargetMode="External"/><Relationship Id="rId63" Type="http://schemas.openxmlformats.org/officeDocument/2006/relationships/hyperlink" Target="http://www.sec.gov/Archives/edgar/data/1297996/000155837025001424/dlr-20241231x10k.htm" TargetMode="External"/><Relationship Id="rId64" Type="http://schemas.openxmlformats.org/officeDocument/2006/relationships/hyperlink" Target="http://www.sec.gov/Archives/edgar/data/1297996/000119312517248824/d425847d8a12b.htm" TargetMode="External"/><Relationship Id="rId65" Type="http://schemas.openxmlformats.org/officeDocument/2006/relationships/hyperlink" Target="http://www.sec.gov/Archives/edgar/data/1297996/000119312519072090/d721065d8a12b.htm" TargetMode="External"/><Relationship Id="rId66" Type="http://schemas.openxmlformats.org/officeDocument/2006/relationships/hyperlink" Target="http://www.sec.gov/Archives/edgar/data/1297996/000119312519265151/d81096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2026-06-29T17:15:20Z</dcterms:created>
  <dcterms:modified xsi:type="dcterms:W3CDTF">2026-06-29T17:15:20Z</dcterms:modified>
</cp:coreProperties>
</file>