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2344"/>
        <w:spacing w:after="0"/>
        <w:rPr>
          <w:sz w:val="20"/>
          <w:szCs w:val="20"/>
          <w:color w:val="auto"/>
        </w:rPr>
      </w:pPr>
      <w:r>
        <w:rPr>
          <w:rFonts w:ascii="Times New Roman" w:cs="Times New Roman" w:eastAsia="Times New Roman" w:hAnsi="Times New Roman"/>
          <w:sz w:val="43"/>
          <w:szCs w:val="43"/>
          <w:b w:val="1"/>
          <w:bCs w:val="1"/>
          <w:color w:val="auto"/>
        </w:rPr>
        <w:t>DIGITAL REALTY TRUST, INC.</w:t>
      </w:r>
    </w:p>
    <w:p>
      <w:pPr>
        <w:spacing w:after="0" w:line="63"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43"/>
          <w:szCs w:val="43"/>
          <w:b w:val="1"/>
          <w:bCs w:val="1"/>
          <w:color w:val="auto"/>
        </w:rPr>
        <w:t>DIGITAL REALTY TRUST, L.P.</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6"/>
        </w:trPr>
        <w:tc>
          <w:tcPr>
            <w:tcW w:w="3540" w:type="dxa"/>
            <w:vAlign w:val="bottom"/>
          </w:tcPr>
          <w:p>
            <w:pPr>
              <w:jc w:val="center"/>
              <w:ind w:right="1798"/>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001-32336</w:t>
            </w:r>
          </w:p>
        </w:tc>
        <w:tc>
          <w:tcPr>
            <w:tcW w:w="2800" w:type="dxa"/>
            <w:vAlign w:val="bottom"/>
          </w:tcPr>
          <w:p>
            <w:pPr>
              <w:jc w:val="center"/>
              <w:ind w:left="1579"/>
              <w:spacing w:after="0"/>
              <w:rPr>
                <w:sz w:val="20"/>
                <w:szCs w:val="20"/>
                <w:color w:val="auto"/>
              </w:rPr>
            </w:pPr>
            <w:r>
              <w:rPr>
                <w:rFonts w:ascii="Times New Roman" w:cs="Times New Roman" w:eastAsia="Times New Roman" w:hAnsi="Times New Roman"/>
                <w:sz w:val="18"/>
                <w:szCs w:val="18"/>
                <w:b w:val="1"/>
                <w:bCs w:val="1"/>
                <w:color w:val="auto"/>
                <w:w w:val="98"/>
              </w:rPr>
              <w:t>26-0081711</w:t>
            </w:r>
          </w:p>
        </w:tc>
      </w:tr>
      <w:tr>
        <w:trPr>
          <w:trHeight w:val="214"/>
        </w:trPr>
        <w:tc>
          <w:tcPr>
            <w:tcW w:w="3540" w:type="dxa"/>
            <w:vAlign w:val="bottom"/>
          </w:tcPr>
          <w:p>
            <w:pPr>
              <w:jc w:val="center"/>
              <w:ind w:right="1798"/>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000-54023</w:t>
            </w:r>
          </w:p>
        </w:tc>
        <w:tc>
          <w:tcPr>
            <w:tcW w:w="2800" w:type="dxa"/>
            <w:vAlign w:val="bottom"/>
          </w:tcPr>
          <w:p>
            <w:pPr>
              <w:jc w:val="center"/>
              <w:ind w:left="1579"/>
              <w:spacing w:after="0"/>
              <w:rPr>
                <w:sz w:val="20"/>
                <w:szCs w:val="20"/>
                <w:color w:val="auto"/>
              </w:rPr>
            </w:pPr>
            <w:r>
              <w:rPr>
                <w:rFonts w:ascii="Times New Roman" w:cs="Times New Roman" w:eastAsia="Times New Roman" w:hAnsi="Times New Roman"/>
                <w:sz w:val="18"/>
                <w:szCs w:val="18"/>
                <w:b w:val="1"/>
                <w:bCs w:val="1"/>
                <w:color w:val="auto"/>
                <w:w w:val="98"/>
              </w:rPr>
              <w:t>20-2402955</w:t>
            </w:r>
          </w:p>
        </w:tc>
      </w:tr>
      <w:tr>
        <w:trPr>
          <w:trHeight w:val="148"/>
        </w:trPr>
        <w:tc>
          <w:tcPr>
            <w:tcW w:w="3540" w:type="dxa"/>
            <w:vAlign w:val="bottom"/>
          </w:tcPr>
          <w:p>
            <w:pPr>
              <w:jc w:val="center"/>
              <w:ind w:right="18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7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7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601 West 2nd Street, Floor 32</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Austin, Texas</w:t>
            </w:r>
          </w:p>
        </w:tc>
        <w:tc>
          <w:tcPr>
            <w:tcW w:w="2440" w:type="dxa"/>
            <w:vAlign w:val="bottom"/>
          </w:tcPr>
          <w:p>
            <w:pPr>
              <w:spacing w:after="0"/>
              <w:rPr>
                <w:sz w:val="19"/>
                <w:szCs w:val="19"/>
                <w:color w:val="auto"/>
              </w:rPr>
            </w:pPr>
          </w:p>
        </w:tc>
        <w:tc>
          <w:tcPr>
            <w:tcW w:w="2800" w:type="dxa"/>
            <w:vAlign w:val="bottom"/>
          </w:tcPr>
          <w:p>
            <w:pPr>
              <w:jc w:val="right"/>
              <w:ind w:right="1179"/>
              <w:spacing w:after="0"/>
              <w:rPr>
                <w:sz w:val="20"/>
                <w:szCs w:val="20"/>
                <w:color w:val="auto"/>
              </w:rPr>
            </w:pPr>
            <w:r>
              <w:rPr>
                <w:rFonts w:ascii="Times New Roman" w:cs="Times New Roman" w:eastAsia="Times New Roman" w:hAnsi="Times New Roman"/>
                <w:sz w:val="18"/>
                <w:szCs w:val="18"/>
                <w:b w:val="1"/>
                <w:bCs w:val="1"/>
                <w:color w:val="auto"/>
              </w:rPr>
              <w:t>78701</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(737) 281-0101</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4" w:right="200" w:hanging="424"/>
        <w:spacing w:after="0" w:line="258"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9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DLR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Series J Cumulative Redeemable Preferred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DLR Pr J</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K Cumulative Redeemable Preferred Stock</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DLR Pr K</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Series L Cumulative Redeemable Preferred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DLR Pr L</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1" w:lineRule="exact"/>
        <w:rPr>
          <w:sz w:val="24"/>
          <w:szCs w:val="24"/>
          <w:color w:val="auto"/>
        </w:rPr>
      </w:pPr>
    </w:p>
    <w:tbl>
      <w:tblPr>
        <w:tblLayout w:type="fixed"/>
        <w:tblInd w:w="4" w:type="dxa"/>
        <w:tblCellMar>
          <w:top w:w="0" w:type="dxa"/>
          <w:left w:w="0" w:type="dxa"/>
          <w:bottom w:w="0" w:type="dxa"/>
          <w:right w:w="0" w:type="dxa"/>
        </w:tblCellMar>
      </w:tblPr>
      <w:tr>
        <w:trPr>
          <w:trHeight w:val="22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Digital Realty Trust, Inc.:</w:t>
            </w:r>
          </w:p>
        </w:tc>
        <w:tc>
          <w:tcPr>
            <w:tcW w:w="416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6"/>
              </w:rPr>
              <w:t xml:space="preserve">Emerging growth company  </w:t>
            </w:r>
            <w:r>
              <w:rPr>
                <w:rFonts w:ascii="MS PGothic" w:cs="MS PGothic" w:eastAsia="MS PGothic" w:hAnsi="MS PGothic"/>
                <w:sz w:val="18"/>
                <w:szCs w:val="18"/>
                <w:color w:val="auto"/>
                <w:w w:val="96"/>
              </w:rPr>
              <w:t>☐</w:t>
            </w:r>
          </w:p>
        </w:tc>
      </w:tr>
      <w:tr>
        <w:trPr>
          <w:trHeight w:val="30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Digital Realty Trust, L.P.:</w:t>
            </w:r>
          </w:p>
        </w:tc>
        <w:tc>
          <w:tcPr>
            <w:tcW w:w="416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6"/>
              </w:rPr>
              <w:t xml:space="preserve">Emerging growth company  </w:t>
            </w:r>
            <w:r>
              <w:rPr>
                <w:rFonts w:ascii="MS PGothic" w:cs="MS PGothic" w:eastAsia="MS PGothic" w:hAnsi="MS PGothic"/>
                <w:sz w:val="18"/>
                <w:szCs w:val="18"/>
                <w:color w:val="auto"/>
                <w:w w:val="96"/>
              </w:rPr>
              <w:t>☐</w:t>
            </w:r>
          </w:p>
        </w:tc>
      </w:tr>
    </w:tbl>
    <w:p>
      <w:pPr>
        <w:spacing w:after="0" w:line="16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Digital Realty Trust, Inc.:  </w:t>
      </w:r>
      <w:r>
        <w:rPr>
          <w:rFonts w:ascii="MS PGothic" w:cs="MS PGothic" w:eastAsia="MS PGothic" w:hAnsi="MS PGothic"/>
          <w:sz w:val="18"/>
          <w:szCs w:val="18"/>
          <w:color w:val="auto"/>
        </w:rPr>
        <w:t>☐</w:t>
      </w:r>
    </w:p>
    <w:p>
      <w:pPr>
        <w:spacing w:after="0" w:line="6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Digital Realty Trust, L.P.: 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206375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731"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Digital Realty Trust, Inc.’s (the “Company”) previously-disclosed acquisition on October 19, 2026 of approximately 16% of the interests in the company’s Teraco joint venture, pursuant to a put right exercised by certain of the joint venture’s third party partners, the Company is registering the resale of certain shares of common stock, $0.01 par value per share, that were issued as consideration in the transaction pursuant to a prospectus supplement being filed with the Securities and Exchange Commission on the date hereof. A copy of the legal opinion of Venable LLP regarding certain Maryland law issues concerning the shares of common stock that may be offered and sold pursuant to the prospectus supplement and the accompanying prospectus is filed herewith as Exhibit 5.1 and is incorporated herein by reference.</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Current Report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4"/>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Opinion of Venable LLP.</w:t>
            </w:r>
          </w:p>
        </w:tc>
        <w:tc>
          <w:tcPr>
            <w:tcW w:w="4020" w:type="dxa"/>
            <w:vAlign w:val="bottom"/>
            <w:gridSpan w:val="2"/>
          </w:tcPr>
          <w:p>
            <w:pPr>
              <w:spacing w:after="0"/>
              <w:rPr>
                <w:sz w:val="23"/>
                <w:szCs w:val="23"/>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Consent of Venable LLP (included in Exhibit 5.1).</w:t>
            </w:r>
          </w:p>
        </w:tc>
      </w:tr>
      <w:tr>
        <w:trPr>
          <w:trHeight w:val="20"/>
        </w:trPr>
        <w:tc>
          <w:tcPr>
            <w:tcW w:w="88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840"/>
          </w:cols>
          <w:pgMar w:left="440" w:top="293" w:right="619" w:bottom="1440"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Digital Realty Trust,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Jeannie Lee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Digital Realty Trust,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Digital Realty Trust, Inc.</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Jeannie Lee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Secretary</w:t>
      </w:r>
    </w:p>
    <w:p>
      <w:pPr>
        <w:sectPr>
          <w:pgSz w:w="11900" w:h="16838" w:orient="portrait"/>
          <w:cols w:equalWidth="0" w:num="1">
            <w:col w:w="10600"/>
          </w:cols>
          <w:pgMar w:left="440" w:top="293"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54672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67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Realty Trust, Inc.</w:t>
      </w:r>
    </w:p>
    <w:p>
      <w:pPr>
        <w:spacing w:after="0" w:line="196" w:lineRule="auto"/>
        <w:rPr>
          <w:sz w:val="20"/>
          <w:szCs w:val="20"/>
          <w:color w:val="auto"/>
        </w:rPr>
      </w:pPr>
      <w:r>
        <w:rPr>
          <w:rFonts w:ascii="Times New Roman" w:cs="Times New Roman" w:eastAsia="Times New Roman" w:hAnsi="Times New Roman"/>
          <w:sz w:val="18"/>
          <w:szCs w:val="18"/>
          <w:color w:val="auto"/>
        </w:rPr>
        <w:t>601 West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32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 Registration Statement on Form S-3 (Registration Nos. 333-293494 and 333-293494-01)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We have served as Maryland counsel to Digital Realty Trust, Inc., a Maryland corporation (the “Company”), in connection with certain matters of Maryland law arising out of the registration of 3,425,031 shares (the “Shares”) of common stock, $.01 par value per share (the “Common Stock”), of the Company, covered by the above-referenced Registration Statement, and all amendments thereto (the “Registration Statement”), filed by the Company and Digital Realty Trust, L.P., a Maryland limited partnership, with the United States Securities and Exchange Commission (the “Commission”) under the Securities Act of 1933, as amended (the “1933 Act”). The Shares were issued by the Company to the stockholders of the Company named under the caption “Selling Stockholders” in the Prospectus Supplement (as defined herein) pursuant to the terms of the Purchase Agreement, dated as of June 22, 2026 (the “Purchase Agreement”), by and among the Company, Digital Titan 2 (PTY) LTD, and TDE Luxco.</w:t>
      </w:r>
    </w:p>
    <w:p>
      <w:pPr>
        <w:spacing w:after="0" w:line="189"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2" w:lineRule="exact"/>
        <w:rPr>
          <w:sz w:val="20"/>
          <w:szCs w:val="20"/>
          <w:color w:val="auto"/>
        </w:rPr>
      </w:pPr>
    </w:p>
    <w:p>
      <w:pPr>
        <w:ind w:left="1160" w:hanging="173"/>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right="520" w:firstLine="987"/>
        <w:spacing w:after="0" w:line="312" w:lineRule="auto"/>
        <w:tabs>
          <w:tab w:leader="none" w:pos="117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Prospectus, dated February 17, 2026, as supplemented by a Prospectus Supplement, dated October 30, 2026 (the “Prospectus Supplement”), filed with the Commission pursuant to Rule 424(b)(7) of the General Rules and Regulations promulgated under the 1933 Act;</w:t>
      </w:r>
    </w:p>
    <w:p>
      <w:pPr>
        <w:spacing w:after="0" w:line="139" w:lineRule="exact"/>
        <w:rPr>
          <w:rFonts w:ascii="Times New Roman" w:cs="Times New Roman" w:eastAsia="Times New Roman" w:hAnsi="Times New Roman"/>
          <w:sz w:val="17"/>
          <w:szCs w:val="17"/>
          <w:color w:val="auto"/>
        </w:rPr>
      </w:pPr>
    </w:p>
    <w:p>
      <w:pPr>
        <w:ind w:left="1160" w:hanging="173"/>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of the Company (the “Charter”), certified by the State Department of Assessments and Taxation of Maryland (the “SDAT”);</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Ninth Amended and Restated Bylaws of the Company, certified as of the date hereof by an officer of the Company;</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3695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08610"/>
                    </a:xfrm>
                    <a:prstGeom prst="rect">
                      <a:avLst/>
                    </a:prstGeom>
                    <a:noFill/>
                  </pic:spPr>
                </pic:pic>
              </a:graphicData>
            </a:graphic>
          </wp:anchor>
        </w:drawing>
        <w:t>Digital Realty Trust,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ind w:left="1160" w:hanging="17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SDAT as to the good standing of the Company, dated as of a recent date;</w:t>
      </w:r>
    </w:p>
    <w:p>
      <w:pPr>
        <w:spacing w:after="0" w:line="225" w:lineRule="exact"/>
        <w:rPr>
          <w:rFonts w:ascii="Times New Roman" w:cs="Times New Roman" w:eastAsia="Times New Roman" w:hAnsi="Times New Roman"/>
          <w:sz w:val="18"/>
          <w:szCs w:val="18"/>
          <w:color w:val="auto"/>
        </w:rPr>
      </w:pPr>
    </w:p>
    <w:p>
      <w:pPr>
        <w:ind w:right="520" w:firstLine="987"/>
        <w:spacing w:after="0" w:line="282"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adopted by the Board of Directors of the Company relating to, among other matters, the Purchase Agreement and the authorization of the issuance of the Shares pursuant to the terms thereof, certified as of the date hereof by an officer of the Company;</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an officer of the Company, dated as of the date hereof; and</w:t>
      </w:r>
    </w:p>
    <w:p>
      <w:pPr>
        <w:spacing w:after="0" w:line="225" w:lineRule="exact"/>
        <w:rPr>
          <w:rFonts w:ascii="Times New Roman" w:cs="Times New Roman" w:eastAsia="Times New Roman" w:hAnsi="Times New Roman"/>
          <w:sz w:val="18"/>
          <w:szCs w:val="18"/>
          <w:color w:val="auto"/>
        </w:rPr>
      </w:pPr>
    </w:p>
    <w:p>
      <w:pPr>
        <w:ind w:right="320" w:firstLine="987"/>
        <w:spacing w:after="0" w:line="282"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matters as we have deemed necessary or appropriate to express the opinion set forth below, subject to the assumptions, limitations and qualifications stated herein.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Each individual executing any of the Documents, whether on behalf of such individual or any other person, is legally competent to 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w:t>
      </w:r>
    </w:p>
    <w:p>
      <w:pPr>
        <w:spacing w:after="0" w:line="207" w:lineRule="exact"/>
        <w:rPr>
          <w:sz w:val="20"/>
          <w:szCs w:val="20"/>
          <w:color w:val="auto"/>
        </w:rPr>
      </w:pPr>
    </w:p>
    <w:p>
      <w:pPr>
        <w:ind w:left="1160" w:hanging="173"/>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on behalf of a party (other than the Company) is duly authorized to do so.</w:t>
      </w:r>
    </w:p>
    <w:p>
      <w:pPr>
        <w:spacing w:after="0" w:line="225" w:lineRule="exact"/>
        <w:rPr>
          <w:rFonts w:ascii="Times New Roman" w:cs="Times New Roman" w:eastAsia="Times New Roman" w:hAnsi="Times New Roman"/>
          <w:sz w:val="18"/>
          <w:szCs w:val="18"/>
          <w:color w:val="auto"/>
        </w:rPr>
      </w:pPr>
    </w:p>
    <w:p>
      <w:pPr>
        <w:ind w:right="180" w:firstLine="987"/>
        <w:spacing w:after="0" w:line="266" w:lineRule="auto"/>
        <w:tabs>
          <w:tab w:leader="none" w:pos="11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75" w:lineRule="exact"/>
        <w:rPr>
          <w:rFonts w:ascii="Times New Roman" w:cs="Times New Roman" w:eastAsia="Times New Roman" w:hAnsi="Times New Roman"/>
          <w:sz w:val="18"/>
          <w:szCs w:val="18"/>
          <w:color w:val="auto"/>
        </w:rPr>
      </w:pPr>
    </w:p>
    <w:p>
      <w:pPr>
        <w:ind w:right="140" w:firstLine="987"/>
        <w:spacing w:after="0" w:line="256" w:lineRule="auto"/>
        <w:tabs>
          <w:tab w:leader="none" w:pos="11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7"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were not issued and have not been transferred in violation of the restrictions on transfer and ownership set forth in Article VI</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the Charter.</w:t>
      </w:r>
    </w:p>
    <w:p>
      <w:pPr>
        <w:sectPr>
          <w:pgSz w:w="11900" w:h="16838" w:orient="portrait"/>
          <w:cols w:equalWidth="0" w:num="1">
            <w:col w:w="11000"/>
          </w:cols>
          <w:pgMar w:left="440" w:top="931"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3695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08610"/>
                    </a:xfrm>
                    <a:prstGeom prst="rect">
                      <a:avLst/>
                    </a:prstGeom>
                    <a:noFill/>
                  </pic:spPr>
                </pic:pic>
              </a:graphicData>
            </a:graphic>
          </wp:anchor>
        </w:drawing>
        <w:t>Digital Realty Trust,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w:t>
      </w:r>
    </w:p>
    <w:p>
      <w:pPr>
        <w:spacing w:after="0" w:line="117" w:lineRule="exact"/>
        <w:rPr>
          <w:sz w:val="20"/>
          <w:szCs w:val="20"/>
          <w:color w:val="auto"/>
        </w:rPr>
      </w:pPr>
    </w:p>
    <w:p>
      <w:pPr>
        <w:ind w:right="260" w:firstLine="987"/>
        <w:spacing w:after="0" w:line="282" w:lineRule="auto"/>
        <w:tabs>
          <w:tab w:leader="none" w:pos="11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existing under and by virtue of the laws of the State of Maryland and is in good standing with the SDAT.</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has been duly authorized and the Shares are validly issued, fully paid and nonassessable.</w:t>
      </w:r>
    </w:p>
    <w:p>
      <w:pPr>
        <w:spacing w:after="0" w:line="225"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The foregoing opinion is limited to the laws of the State of Maryland and we do not express any opinion herein concerning federal law or the laws of any other state. We express no opinion as to compliance with any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judicial decisions which may permit the introduction of parol evidence to modify the terms or the interpretation of agreements.</w:t>
      </w:r>
    </w:p>
    <w:p>
      <w:pPr>
        <w:spacing w:after="0" w:line="168"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issuance of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Venable LLP</w:t>
      </w:r>
    </w:p>
    <w:sectPr>
      <w:pgSz w:w="11900" w:h="16838" w:orient="portrait"/>
      <w:cols w:equalWidth="0" w:num="1">
        <w:col w:w="11000"/>
      </w:cols>
      <w:pgMar w:left="440" w:top="93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2026-10-30T16:37:23Z</dcterms:created>
  <dcterms:modified xsi:type="dcterms:W3CDTF">2026-10-30T16:37:23Z</dcterms:modified>
</cp:coreProperties>
</file>