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22026_080642.xml.htm"/>
      <w:bookmarkStart w:id="1" w:name="ksform406022026_0806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Swanezy Susan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W. 2ND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FLOOR 32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 REALTY TRUST, INC.</w:t>
              </w:r>
            </w:hyperlink>
            <w:r>
              <w:rPr/>
              <w:t xml:space="preserve"> [ </w:t>
            </w:r>
            <w:r>
              <w:rPr>
                <w:rFonts w:ascii="Times;serif" w:hAnsi="Times;serif"/>
                <w:color w:val="0000FF"/>
                <w:sz w:val="24"/>
                <w:shd w:fill="FFFFFF" w:val="clear"/>
              </w:rPr>
              <w:t>DLR</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19"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Long-Term Incentive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1,289</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Long-Term Incentive Units are profits interest units in Digital Realty Trust, L.P. ("Operating Partnership"), of which the Issuer is the general partner. Profits interest units may initially not have full parity with common limited partnership units of Operating Partnership ("Common Units") with respect to liquidating distributions; however upon the occurrence of specified events, profits interest units may achieve full parity with Common Units for all purposes. Vested profits interest units that have achieved full parity with Common Units may be converted into an equal number of Common Units on a 1-for-1 basis at any time. Common Units are redeemable for cash based on the FMV of an equivalent number of shares of common stock of the Issuer, or, at the election of the Issuer, for an equal number of shares of the Issuer's common stock, subject to adjustment in the event of stock splits, stock dividends, issuance of stock rights, specified extraordinary distributions or similar events.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Awards vest on the earlier of (i) the first anniversary of the grant date or (b) the day before the date of the next annual meeting of stockholders of the Company to occur following the grant date. The vested profits interest units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statement of changes in beneficial ownership of securities ("Form 4") of the Issuer is filed to report information that is also being reported concurrently on a Form 4 for the Operating Partnership.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Salini Nandipati,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4062" TargetMode="External"/><Relationship Id="rId5" Type="http://schemas.openxmlformats.org/officeDocument/2006/relationships/hyperlink" Target="http://www.sec.gov/cgi-bin/browse-edgar?action=getcompany&amp;CIK=0001297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803</Words>
  <Characters>4308</Characters>
  <CharactersWithSpaces>5048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