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Digital Realty Trust,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Norges Bank</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NORWAY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19,362,846.00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19,290,135.00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274,881.00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19,565,016.00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5.5676 %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FI, 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21"/>
        <w:gridCol w:w="8929"/>
        <w:gridCol w:w="155"/>
      </w:tblGrid>
      <w:tr>
        <w:trPr/>
        <w:tc>
          <w:tcPr>
            <w:tcW w:w="1121" w:type="dxa"/>
            <w:tcBorders/>
            <w:vAlign w:val="center"/>
          </w:tcPr>
          <w:p>
            <w:pPr>
              <w:pStyle w:val="TableContents"/>
              <w:bidi w:val="0"/>
              <w:spacing w:before="0" w:after="283"/>
              <w:jc w:val="left"/>
              <w:rPr/>
            </w:pPr>
            <w:r>
              <w:rPr/>
              <w:t>Item 1.</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issuer: </w:t>
            </w:r>
          </w:p>
          <w:p>
            <w:pPr>
              <w:pStyle w:val="TableContents"/>
              <w:bidi w:val="0"/>
              <w:spacing w:before="0" w:after="0"/>
              <w:jc w:val="left"/>
              <w:rPr/>
            </w:pPr>
            <w:r>
              <w:rPr/>
              <w:t>Digital Realty Trust, Inc.</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601 West 2nd Street, Floor 32, Austin, TX, 78701</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2.</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person filing: </w:t>
            </w:r>
          </w:p>
          <w:p>
            <w:pPr>
              <w:pStyle w:val="TableContents"/>
              <w:bidi w:val="0"/>
              <w:spacing w:before="0" w:after="0"/>
              <w:jc w:val="left"/>
              <w:rPr/>
            </w:pPr>
            <w:r>
              <w:rPr/>
              <w:t>Norges Bank</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Bankplassen 2, PO Box 1179 Sentrum, Oslo, NO-0107, Oslo, Norway</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jc w:val="left"/>
              <w:rPr/>
            </w:pPr>
            <w:r>
              <w:rPr/>
              <w:t xml:space="preserve">Citizenship: </w:t>
            </w:r>
          </w:p>
          <w:p>
            <w:pPr>
              <w:pStyle w:val="TableContents"/>
              <w:bidi w:val="0"/>
              <w:spacing w:before="0" w:after="0"/>
              <w:jc w:val="left"/>
              <w:rPr/>
            </w:pPr>
            <w:r>
              <w:rPr/>
              <w:t>Norway</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3.</w:t>
            </w:r>
          </w:p>
        </w:tc>
        <w:tc>
          <w:tcPr>
            <w:tcW w:w="892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(f)</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(g)</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(h)</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(j)</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(k)</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9084" w:type="dxa"/>
            <w:gridSpan w:val="2"/>
            <w:tcBorders/>
            <w:vAlign w:val="center"/>
          </w:tcPr>
          <w:p>
            <w:pPr>
              <w:pStyle w:val="TableContents"/>
              <w:bidi w:val="0"/>
              <w:spacing w:before="0" w:after="0"/>
              <w:jc w:val="left"/>
              <w:rPr/>
            </w:pPr>
            <w:r>
              <w:rPr/>
              <w:t>Investment Adviser</w:t>
            </w:r>
          </w:p>
        </w:tc>
      </w:tr>
      <w:tr>
        <w:trPr/>
        <w:tc>
          <w:tcPr>
            <w:tcW w:w="1121" w:type="dxa"/>
            <w:tcBorders/>
            <w:vAlign w:val="center"/>
          </w:tcPr>
          <w:p>
            <w:pPr>
              <w:pStyle w:val="TableContents"/>
              <w:bidi w:val="0"/>
              <w:spacing w:before="0" w:after="283"/>
              <w:jc w:val="left"/>
              <w:rPr/>
            </w:pPr>
            <w:r>
              <w:rPr/>
              <w:t>Item 4.</w:t>
            </w:r>
          </w:p>
        </w:tc>
        <w:tc>
          <w:tcPr>
            <w:tcW w:w="892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19565016</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5.5676  %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19362846</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19290135</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274881</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5.</w:t>
            </w:r>
          </w:p>
        </w:tc>
        <w:tc>
          <w:tcPr>
            <w:tcW w:w="892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6.</w:t>
            </w:r>
          </w:p>
        </w:tc>
        <w:tc>
          <w:tcPr>
            <w:tcW w:w="892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Certain shares reported herein are invested on behalf of the Government of Norway.</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7.</w:t>
            </w:r>
          </w:p>
        </w:tc>
        <w:tc>
          <w:tcPr>
            <w:tcW w:w="892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8.</w:t>
            </w:r>
          </w:p>
        </w:tc>
        <w:tc>
          <w:tcPr>
            <w:tcW w:w="892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9.</w:t>
            </w:r>
          </w:p>
        </w:tc>
        <w:tc>
          <w:tcPr>
            <w:tcW w:w="892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67"/>
        <w:gridCol w:w="9038"/>
      </w:tblGrid>
      <w:tr>
        <w:trPr/>
        <w:tc>
          <w:tcPr>
            <w:tcW w:w="1167" w:type="dxa"/>
            <w:tcBorders/>
            <w:vAlign w:val="center"/>
          </w:tcPr>
          <w:p>
            <w:pPr>
              <w:pStyle w:val="TableContents"/>
              <w:bidi w:val="0"/>
              <w:spacing w:before="0" w:after="283"/>
              <w:jc w:val="left"/>
              <w:rPr/>
            </w:pPr>
            <w:r>
              <w:rPr/>
              <w:t>Item 10.</w:t>
            </w:r>
          </w:p>
        </w:tc>
        <w:tc>
          <w:tcPr>
            <w:tcW w:w="9038" w:type="dxa"/>
            <w:tcBorders/>
            <w:vAlign w:val="center"/>
          </w:tcPr>
          <w:p>
            <w:pPr>
              <w:pStyle w:val="TableContents"/>
              <w:bidi w:val="0"/>
              <w:spacing w:before="0" w:after="283"/>
              <w:jc w:val="left"/>
              <w:rPr/>
            </w:pPr>
            <w:r>
              <w:rPr/>
              <w:t>Certifications:</w:t>
            </w:r>
          </w:p>
        </w:tc>
      </w:tr>
      <w:tr>
        <w:trPr/>
        <w:tc>
          <w:tcPr>
            <w:tcW w:w="1167" w:type="dxa"/>
            <w:tcBorders/>
            <w:vAlign w:val="center"/>
          </w:tcPr>
          <w:p>
            <w:pPr>
              <w:pStyle w:val="TableContents"/>
              <w:bidi w:val="0"/>
              <w:spacing w:before="0" w:after="283"/>
              <w:jc w:val="left"/>
              <w:rPr/>
            </w:pPr>
            <w:r>
              <w:rPr/>
              <w:t> </w:t>
            </w:r>
          </w:p>
        </w:tc>
        <w:tc>
          <w:tcPr>
            <w:tcW w:w="9038"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I also certify that, to the best of my knowledge and belief, the foreign regulatory scheme applicable to the investment management division of Norges Bank, the central bank of Norway, is substantially comparable to the regulatory scheme applicable to the functionally equivalent U.S. institution(s). I undertake to furnish to the Commission staff, upon request, information that would otherwise be disclosed in a Schedule 13D.</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3056" w:type="dxa"/>
        <w:jc w:val="left"/>
        <w:tblInd w:w="0" w:type="dxa"/>
        <w:tblLayout w:type="fixed"/>
        <w:tblCellMar>
          <w:top w:w="28" w:type="dxa"/>
          <w:left w:w="28" w:type="dxa"/>
          <w:bottom w:w="28" w:type="dxa"/>
          <w:right w:w="28" w:type="dxa"/>
        </w:tblCellMar>
      </w:tblPr>
      <w:tblGrid>
        <w:gridCol w:w="1528"/>
        <w:gridCol w:w="1528"/>
      </w:tblGrid>
      <w:tr>
        <w:trPr/>
        <w:tc>
          <w:tcPr>
            <w:tcW w:w="1528" w:type="dxa"/>
            <w:tcBorders/>
            <w:vAlign w:val="center"/>
          </w:tcPr>
          <w:p>
            <w:pPr>
              <w:pStyle w:val="TableContents"/>
              <w:bidi w:val="0"/>
              <w:spacing w:before="0" w:after="0"/>
              <w:jc w:val="left"/>
              <w:rPr/>
            </w:pPr>
            <w:r>
              <w:rPr/>
              <w:t> </w:t>
            </w:r>
          </w:p>
          <w:tbl>
            <w:tblPr>
              <w:tblW w:w="1426" w:type="dxa"/>
              <w:jc w:val="left"/>
              <w:tblInd w:w="0" w:type="dxa"/>
              <w:tblLayout w:type="fixed"/>
              <w:tblCellMar>
                <w:top w:w="28" w:type="dxa"/>
                <w:left w:w="28" w:type="dxa"/>
                <w:bottom w:w="28" w:type="dxa"/>
                <w:right w:w="28" w:type="dxa"/>
              </w:tblCellMar>
            </w:tblPr>
            <w:tblGrid>
              <w:gridCol w:w="1426"/>
            </w:tblGrid>
            <w:tr>
              <w:trPr/>
              <w:tc>
                <w:tcPr>
                  <w:tcW w:w="1426" w:type="dxa"/>
                  <w:tcBorders/>
                  <w:vAlign w:val="center"/>
                </w:tcPr>
                <w:p>
                  <w:pPr>
                    <w:pStyle w:val="TableContents"/>
                    <w:bidi w:val="0"/>
                    <w:spacing w:before="0" w:after="0"/>
                    <w:jc w:val="left"/>
                    <w:rPr/>
                  </w:pPr>
                  <w:r>
                    <w:rPr/>
                    <w:t>Norges Bank</w:t>
                  </w:r>
                </w:p>
              </w:tc>
            </w:tr>
          </w:tbl>
          <w:p>
            <w:pPr>
              <w:pStyle w:val="TableContents"/>
              <w:bidi w:val="0"/>
              <w:spacing w:before="0" w:after="283"/>
              <w:jc w:val="left"/>
              <w:rPr/>
            </w:pPr>
            <w:r>
              <w:rPr/>
            </w:r>
          </w:p>
        </w:tc>
        <w:tc>
          <w:tcPr>
            <w:tcW w:w="152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43"/>
        <w:gridCol w:w="4262"/>
      </w:tblGrid>
      <w:tr>
        <w:trPr/>
        <w:tc>
          <w:tcPr>
            <w:tcW w:w="594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8"/>
              <w:gridCol w:w="9037"/>
            </w:tblGrid>
            <w:tr>
              <w:trPr/>
              <w:tc>
                <w:tcPr>
                  <w:tcW w:w="1168" w:type="dxa"/>
                  <w:tcBorders/>
                  <w:vAlign w:val="center"/>
                </w:tcPr>
                <w:p>
                  <w:pPr>
                    <w:pStyle w:val="TableContents"/>
                    <w:bidi w:val="0"/>
                    <w:spacing w:before="0" w:after="283"/>
                    <w:jc w:val="left"/>
                    <w:rPr/>
                  </w:pPr>
                  <w:r>
                    <w:rPr/>
                    <w:t>Signature:</w:t>
                  </w:r>
                </w:p>
              </w:tc>
              <w:tc>
                <w:tcPr>
                  <w:tcW w:w="9037" w:type="dxa"/>
                  <w:tcBorders/>
                  <w:vAlign w:val="center"/>
                </w:tcPr>
                <w:p>
                  <w:pPr>
                    <w:pStyle w:val="TableContents"/>
                    <w:bidi w:val="0"/>
                    <w:spacing w:before="0" w:after="283"/>
                    <w:jc w:val="left"/>
                    <w:rPr/>
                  </w:pPr>
                  <w:r>
                    <w:rPr/>
                    <w:t>Stanislav Boiadjiev</w:t>
                  </w:r>
                </w:p>
              </w:tc>
            </w:tr>
            <w:tr>
              <w:trPr/>
              <w:tc>
                <w:tcPr>
                  <w:tcW w:w="1168" w:type="dxa"/>
                  <w:tcBorders/>
                  <w:vAlign w:val="center"/>
                </w:tcPr>
                <w:p>
                  <w:pPr>
                    <w:pStyle w:val="TableContents"/>
                    <w:bidi w:val="0"/>
                    <w:spacing w:before="0" w:after="283"/>
                    <w:jc w:val="left"/>
                    <w:rPr/>
                  </w:pPr>
                  <w:r>
                    <w:rPr/>
                    <w:t>Name/Title:</w:t>
                  </w:r>
                </w:p>
              </w:tc>
              <w:tc>
                <w:tcPr>
                  <w:tcW w:w="9037" w:type="dxa"/>
                  <w:tcBorders/>
                  <w:vAlign w:val="center"/>
                </w:tcPr>
                <w:p>
                  <w:pPr>
                    <w:pStyle w:val="TableContents"/>
                    <w:bidi w:val="0"/>
                    <w:spacing w:before="0" w:after="283"/>
                    <w:jc w:val="left"/>
                    <w:rPr/>
                  </w:pPr>
                  <w:r>
                    <w:rPr/>
                    <w:t>Business and Regulatory Compliance</w:t>
                  </w:r>
                </w:p>
              </w:tc>
            </w:tr>
            <w:tr>
              <w:trPr/>
              <w:tc>
                <w:tcPr>
                  <w:tcW w:w="1168" w:type="dxa"/>
                  <w:tcBorders/>
                  <w:vAlign w:val="center"/>
                </w:tcPr>
                <w:p>
                  <w:pPr>
                    <w:pStyle w:val="TableContents"/>
                    <w:bidi w:val="0"/>
                    <w:spacing w:before="0" w:after="283"/>
                    <w:jc w:val="left"/>
                    <w:rPr/>
                  </w:pPr>
                  <w:r>
                    <w:rPr/>
                    <w:t>Date:</w:t>
                  </w:r>
                </w:p>
              </w:tc>
              <w:tc>
                <w:tcPr>
                  <w:tcW w:w="9037" w:type="dxa"/>
                  <w:tcBorders/>
                  <w:vAlign w:val="center"/>
                </w:tcPr>
                <w:p>
                  <w:pPr>
                    <w:pStyle w:val="TableContents"/>
                    <w:bidi w:val="0"/>
                    <w:spacing w:before="0" w:after="283"/>
                    <w:jc w:val="left"/>
                    <w:rPr/>
                  </w:pPr>
                  <w:r>
                    <w:rPr/>
                    <w:t>08/12/2026</w:t>
                  </w:r>
                </w:p>
              </w:tc>
            </w:tr>
          </w:tbl>
          <w:p>
            <w:pPr>
              <w:pStyle w:val="TableContents"/>
              <w:bidi w:val="0"/>
              <w:spacing w:before="0" w:after="283"/>
              <w:jc w:val="left"/>
              <w:rPr/>
            </w:pPr>
            <w:r>
              <w:rPr/>
            </w:r>
          </w:p>
        </w:tc>
        <w:tc>
          <w:tcPr>
            <w:tcW w:w="4262"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checked.jpg" TargetMode="External"/><Relationship Id="rId18" Type="http://schemas.openxmlformats.org/officeDocument/2006/relationships/image" Target="https://cdn.kscope.io/box-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890</Words>
  <Characters>4600</Characters>
  <CharactersWithSpaces>5479</CharactersWithSpaces>
  <Paragraphs>162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